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FBEDB" w14:textId="77777777" w:rsidR="00AE3698" w:rsidRPr="0057483D" w:rsidRDefault="00AE3698">
      <w:pPr>
        <w:pStyle w:val="Header"/>
        <w:widowControl w:val="0"/>
        <w:tabs>
          <w:tab w:val="clear" w:pos="567"/>
          <w:tab w:val="clear" w:pos="4153"/>
          <w:tab w:val="clear" w:pos="8306"/>
        </w:tabs>
        <w:rPr>
          <w:rFonts w:ascii="Times New Roman" w:hAnsi="Times New Roman"/>
          <w:color w:val="000000"/>
          <w:sz w:val="22"/>
          <w:szCs w:val="22"/>
          <w:lang w:val="fi-FI"/>
        </w:rPr>
      </w:pPr>
      <w:bookmarkStart w:id="0" w:name="_GoBack"/>
      <w:bookmarkEnd w:id="0"/>
    </w:p>
    <w:p w14:paraId="586FBEDC" w14:textId="77777777" w:rsidR="00AE3698" w:rsidRPr="0057483D" w:rsidRDefault="00AE3698">
      <w:pPr>
        <w:widowControl w:val="0"/>
        <w:rPr>
          <w:rFonts w:ascii="Times New Roman" w:hAnsi="Times New Roman"/>
          <w:sz w:val="22"/>
          <w:szCs w:val="22"/>
        </w:rPr>
      </w:pPr>
    </w:p>
    <w:p w14:paraId="586FBEDD" w14:textId="77777777" w:rsidR="00AE3698" w:rsidRPr="0057483D" w:rsidRDefault="00AE3698">
      <w:pPr>
        <w:pStyle w:val="EndnoteText"/>
        <w:widowControl w:val="0"/>
        <w:tabs>
          <w:tab w:val="clear" w:pos="567"/>
        </w:tabs>
        <w:rPr>
          <w:color w:val="000000"/>
          <w:szCs w:val="22"/>
          <w:lang w:val="fi-FI"/>
        </w:rPr>
      </w:pPr>
    </w:p>
    <w:p w14:paraId="586FBEDE" w14:textId="77777777" w:rsidR="00AE3698" w:rsidRPr="0057483D" w:rsidRDefault="00AE3698">
      <w:pPr>
        <w:widowControl w:val="0"/>
        <w:rPr>
          <w:rFonts w:ascii="Times New Roman" w:hAnsi="Times New Roman"/>
          <w:sz w:val="22"/>
          <w:szCs w:val="22"/>
        </w:rPr>
      </w:pPr>
    </w:p>
    <w:p w14:paraId="586FBEDF" w14:textId="77777777" w:rsidR="00AE3698" w:rsidRPr="0057483D" w:rsidRDefault="00AE3698">
      <w:pPr>
        <w:widowControl w:val="0"/>
        <w:rPr>
          <w:rFonts w:ascii="Times New Roman" w:hAnsi="Times New Roman"/>
          <w:sz w:val="22"/>
          <w:szCs w:val="22"/>
        </w:rPr>
      </w:pPr>
    </w:p>
    <w:p w14:paraId="586FBEE0" w14:textId="77777777" w:rsidR="00AE3698" w:rsidRPr="0057483D" w:rsidRDefault="00AE3698">
      <w:pPr>
        <w:widowControl w:val="0"/>
        <w:rPr>
          <w:rFonts w:ascii="Times New Roman" w:hAnsi="Times New Roman"/>
          <w:sz w:val="22"/>
          <w:szCs w:val="22"/>
        </w:rPr>
      </w:pPr>
    </w:p>
    <w:p w14:paraId="586FBEE1" w14:textId="77777777" w:rsidR="00AE3698" w:rsidRPr="0057483D" w:rsidRDefault="00AE3698">
      <w:pPr>
        <w:widowControl w:val="0"/>
        <w:rPr>
          <w:rFonts w:ascii="Times New Roman" w:hAnsi="Times New Roman"/>
          <w:sz w:val="22"/>
          <w:szCs w:val="22"/>
        </w:rPr>
      </w:pPr>
    </w:p>
    <w:p w14:paraId="586FBEE2" w14:textId="77777777" w:rsidR="00AE3698" w:rsidRPr="0057483D" w:rsidRDefault="00AE3698">
      <w:pPr>
        <w:widowControl w:val="0"/>
        <w:rPr>
          <w:rFonts w:ascii="Times New Roman" w:hAnsi="Times New Roman"/>
          <w:sz w:val="22"/>
          <w:szCs w:val="22"/>
        </w:rPr>
      </w:pPr>
    </w:p>
    <w:p w14:paraId="586FBEE3" w14:textId="77777777" w:rsidR="00AE3698" w:rsidRPr="0057483D" w:rsidRDefault="00AE3698">
      <w:pPr>
        <w:widowControl w:val="0"/>
        <w:rPr>
          <w:rFonts w:ascii="Times New Roman" w:hAnsi="Times New Roman"/>
          <w:sz w:val="22"/>
          <w:szCs w:val="22"/>
        </w:rPr>
      </w:pPr>
    </w:p>
    <w:p w14:paraId="586FBEE4" w14:textId="77777777" w:rsidR="00AE3698" w:rsidRPr="0057483D" w:rsidRDefault="00AE3698">
      <w:pPr>
        <w:widowControl w:val="0"/>
        <w:rPr>
          <w:rFonts w:ascii="Times New Roman" w:hAnsi="Times New Roman"/>
          <w:sz w:val="22"/>
          <w:szCs w:val="22"/>
        </w:rPr>
      </w:pPr>
    </w:p>
    <w:p w14:paraId="586FBEE5" w14:textId="77777777" w:rsidR="00AE3698" w:rsidRPr="0057483D" w:rsidRDefault="00AE3698">
      <w:pPr>
        <w:pStyle w:val="EndnoteText"/>
        <w:widowControl w:val="0"/>
        <w:tabs>
          <w:tab w:val="clear" w:pos="567"/>
        </w:tabs>
        <w:rPr>
          <w:color w:val="000000"/>
          <w:szCs w:val="22"/>
          <w:lang w:val="fi-FI"/>
        </w:rPr>
      </w:pPr>
    </w:p>
    <w:p w14:paraId="586FBEE6" w14:textId="77777777" w:rsidR="00AE3698" w:rsidRPr="0057483D" w:rsidRDefault="00AE3698">
      <w:pPr>
        <w:widowControl w:val="0"/>
        <w:rPr>
          <w:rFonts w:ascii="Times New Roman" w:hAnsi="Times New Roman"/>
          <w:sz w:val="22"/>
          <w:szCs w:val="22"/>
        </w:rPr>
      </w:pPr>
    </w:p>
    <w:p w14:paraId="586FBEE7" w14:textId="77777777" w:rsidR="00AE3698" w:rsidRPr="0057483D" w:rsidRDefault="00AE3698">
      <w:pPr>
        <w:widowControl w:val="0"/>
        <w:rPr>
          <w:rFonts w:ascii="Times New Roman" w:hAnsi="Times New Roman"/>
          <w:sz w:val="22"/>
          <w:szCs w:val="22"/>
        </w:rPr>
      </w:pPr>
    </w:p>
    <w:p w14:paraId="586FBEE8" w14:textId="77777777" w:rsidR="00AE3698" w:rsidRPr="0057483D" w:rsidRDefault="00AE3698">
      <w:pPr>
        <w:widowControl w:val="0"/>
        <w:rPr>
          <w:rFonts w:ascii="Times New Roman" w:hAnsi="Times New Roman"/>
          <w:sz w:val="22"/>
          <w:szCs w:val="22"/>
        </w:rPr>
      </w:pPr>
    </w:p>
    <w:p w14:paraId="586FBEE9" w14:textId="77777777" w:rsidR="00AE3698" w:rsidRPr="0057483D" w:rsidRDefault="00AE3698">
      <w:pPr>
        <w:widowControl w:val="0"/>
        <w:rPr>
          <w:rFonts w:ascii="Times New Roman" w:hAnsi="Times New Roman"/>
          <w:sz w:val="22"/>
          <w:szCs w:val="22"/>
        </w:rPr>
      </w:pPr>
    </w:p>
    <w:p w14:paraId="586FBEEA" w14:textId="77777777" w:rsidR="00AE3698" w:rsidRPr="0057483D" w:rsidRDefault="00AE3698">
      <w:pPr>
        <w:widowControl w:val="0"/>
        <w:rPr>
          <w:rFonts w:ascii="Times New Roman" w:hAnsi="Times New Roman"/>
          <w:sz w:val="22"/>
          <w:szCs w:val="22"/>
        </w:rPr>
      </w:pPr>
    </w:p>
    <w:p w14:paraId="586FBEEB" w14:textId="77777777" w:rsidR="00AE3698" w:rsidRPr="0057483D" w:rsidRDefault="00AE3698">
      <w:pPr>
        <w:widowControl w:val="0"/>
        <w:rPr>
          <w:rFonts w:ascii="Times New Roman" w:hAnsi="Times New Roman"/>
          <w:sz w:val="22"/>
          <w:szCs w:val="22"/>
        </w:rPr>
      </w:pPr>
    </w:p>
    <w:p w14:paraId="586FBEEC" w14:textId="77777777" w:rsidR="00AE3698" w:rsidRPr="0057483D" w:rsidRDefault="00AE3698">
      <w:pPr>
        <w:widowControl w:val="0"/>
        <w:rPr>
          <w:rFonts w:ascii="Times New Roman" w:hAnsi="Times New Roman"/>
          <w:sz w:val="22"/>
          <w:szCs w:val="22"/>
        </w:rPr>
      </w:pPr>
    </w:p>
    <w:p w14:paraId="586FBEED" w14:textId="77777777" w:rsidR="00AE3698" w:rsidRPr="0057483D" w:rsidRDefault="00AE3698">
      <w:pPr>
        <w:widowControl w:val="0"/>
        <w:rPr>
          <w:rFonts w:ascii="Times New Roman" w:hAnsi="Times New Roman"/>
          <w:sz w:val="22"/>
          <w:szCs w:val="22"/>
        </w:rPr>
      </w:pPr>
    </w:p>
    <w:p w14:paraId="586FBEEE" w14:textId="77777777" w:rsidR="00AE3698" w:rsidRPr="0057483D" w:rsidRDefault="00AE3698">
      <w:pPr>
        <w:widowControl w:val="0"/>
        <w:rPr>
          <w:rFonts w:ascii="Times New Roman" w:hAnsi="Times New Roman"/>
          <w:sz w:val="22"/>
          <w:szCs w:val="22"/>
        </w:rPr>
      </w:pPr>
    </w:p>
    <w:p w14:paraId="586FBEEF" w14:textId="77777777" w:rsidR="00AE3698" w:rsidRPr="0057483D" w:rsidRDefault="00AE3698">
      <w:pPr>
        <w:widowControl w:val="0"/>
        <w:rPr>
          <w:rFonts w:ascii="Times New Roman" w:hAnsi="Times New Roman"/>
          <w:sz w:val="22"/>
          <w:szCs w:val="22"/>
        </w:rPr>
      </w:pPr>
    </w:p>
    <w:p w14:paraId="586FBEF0" w14:textId="77777777" w:rsidR="00AE3698" w:rsidRPr="0057483D" w:rsidRDefault="00AE3698">
      <w:pPr>
        <w:pStyle w:val="EndnoteText"/>
        <w:widowControl w:val="0"/>
        <w:tabs>
          <w:tab w:val="clear" w:pos="567"/>
        </w:tabs>
        <w:rPr>
          <w:color w:val="000000"/>
          <w:szCs w:val="22"/>
          <w:lang w:val="fi-FI"/>
        </w:rPr>
      </w:pPr>
    </w:p>
    <w:p w14:paraId="586FBEF1" w14:textId="77777777" w:rsidR="00AE3698" w:rsidRPr="0057483D" w:rsidRDefault="00AE3698">
      <w:pPr>
        <w:widowControl w:val="0"/>
        <w:rPr>
          <w:rFonts w:ascii="Times New Roman" w:hAnsi="Times New Roman"/>
          <w:sz w:val="22"/>
          <w:szCs w:val="22"/>
        </w:rPr>
      </w:pPr>
    </w:p>
    <w:p w14:paraId="586FBEF2" w14:textId="77777777" w:rsidR="00AE3698" w:rsidRPr="00912A5D" w:rsidRDefault="00AE3698">
      <w:pPr>
        <w:widowControl w:val="0"/>
        <w:jc w:val="center"/>
        <w:rPr>
          <w:rFonts w:ascii="Times New Roman" w:hAnsi="Times New Roman"/>
          <w:b/>
          <w:sz w:val="22"/>
          <w:szCs w:val="22"/>
        </w:rPr>
      </w:pPr>
      <w:r w:rsidRPr="00912A5D">
        <w:rPr>
          <w:rFonts w:ascii="Times New Roman" w:hAnsi="Times New Roman"/>
          <w:b/>
          <w:sz w:val="22"/>
          <w:szCs w:val="22"/>
        </w:rPr>
        <w:t>LIITE I</w:t>
      </w:r>
    </w:p>
    <w:p w14:paraId="586FBEF3" w14:textId="77777777" w:rsidR="00AE3698" w:rsidRPr="00912A5D" w:rsidRDefault="00AE3698">
      <w:pPr>
        <w:widowControl w:val="0"/>
        <w:jc w:val="center"/>
        <w:rPr>
          <w:rFonts w:ascii="Times New Roman" w:hAnsi="Times New Roman"/>
          <w:sz w:val="22"/>
          <w:szCs w:val="22"/>
        </w:rPr>
      </w:pPr>
    </w:p>
    <w:p w14:paraId="586FBEF4" w14:textId="77777777" w:rsidR="00AE3698" w:rsidRPr="00912A5D" w:rsidRDefault="00AE3698">
      <w:pPr>
        <w:widowControl w:val="0"/>
        <w:jc w:val="center"/>
        <w:rPr>
          <w:rFonts w:ascii="Times New Roman" w:hAnsi="Times New Roman"/>
          <w:b/>
          <w:sz w:val="22"/>
          <w:szCs w:val="22"/>
        </w:rPr>
      </w:pPr>
      <w:r w:rsidRPr="00912A5D">
        <w:rPr>
          <w:rFonts w:ascii="Times New Roman" w:hAnsi="Times New Roman"/>
          <w:b/>
          <w:sz w:val="22"/>
          <w:szCs w:val="22"/>
        </w:rPr>
        <w:t>VALMISTEYHTEENVETO</w:t>
      </w:r>
    </w:p>
    <w:p w14:paraId="586FBEF5" w14:textId="77777777" w:rsidR="00AE3698" w:rsidRPr="00912A5D" w:rsidRDefault="00AE3698">
      <w:pPr>
        <w:widowControl w:val="0"/>
        <w:jc w:val="center"/>
        <w:rPr>
          <w:rFonts w:ascii="Times New Roman" w:hAnsi="Times New Roman"/>
          <w:sz w:val="22"/>
          <w:szCs w:val="22"/>
        </w:rPr>
      </w:pPr>
    </w:p>
    <w:p w14:paraId="586FBEF6" w14:textId="77777777" w:rsidR="00CD3600" w:rsidRDefault="00AE3698" w:rsidP="00CD3600">
      <w:pPr>
        <w:suppressAutoHyphens/>
        <w:rPr>
          <w:rFonts w:ascii="Times New Roman" w:hAnsi="Times New Roman"/>
          <w:noProof/>
          <w:color w:val="auto"/>
          <w:sz w:val="22"/>
          <w:szCs w:val="22"/>
          <w:lang w:eastAsia="fr-LU"/>
        </w:rPr>
      </w:pPr>
      <w:r w:rsidRPr="00912A5D">
        <w:rPr>
          <w:rFonts w:ascii="Times New Roman" w:hAnsi="Times New Roman"/>
          <w:b/>
          <w:sz w:val="22"/>
          <w:szCs w:val="22"/>
        </w:rPr>
        <w:br w:type="page"/>
      </w:r>
      <w:r w:rsidR="00CC29DC" w:rsidRPr="00CD3600">
        <w:rPr>
          <w:rFonts w:ascii="Times New Roman" w:hAnsi="Times New Roman"/>
          <w:noProof/>
          <w:color w:val="auto"/>
          <w:sz w:val="20"/>
          <w:lang w:val="en-US"/>
        </w:rPr>
        <w:lastRenderedPageBreak/>
        <w:drawing>
          <wp:inline distT="0" distB="0" distL="0" distR="0" wp14:anchorId="586FD3A6" wp14:editId="586FD3A7">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CD3600" w:rsidRPr="00CD3600">
        <w:rPr>
          <w:rFonts w:ascii="Times New Roman" w:hAnsi="Times New Roman"/>
          <w:color w:val="auto"/>
          <w:sz w:val="22"/>
          <w:szCs w:val="22"/>
          <w:lang w:eastAsia="fr-LU"/>
        </w:rPr>
        <w:t>Tähän lääkkeeseen kohdistuu lisäseuranta. Tällä tavalla voidaan havaita nopeasti uutta turvallisuutta koskevaa tietoa. Terveydenhuollon ammattilaisia pyydetään ilmoittamaan epäillyistä lääkkeen haittavaikutuksista. Ks. kohdasta</w:t>
      </w:r>
      <w:r w:rsidR="005E6202">
        <w:rPr>
          <w:rFonts w:ascii="Times New Roman" w:hAnsi="Times New Roman"/>
          <w:color w:val="auto"/>
          <w:sz w:val="22"/>
          <w:szCs w:val="22"/>
          <w:lang w:eastAsia="fr-LU"/>
        </w:rPr>
        <w:t> </w:t>
      </w:r>
      <w:r w:rsidR="00CD3600" w:rsidRPr="00CD3600">
        <w:rPr>
          <w:rFonts w:ascii="Times New Roman" w:hAnsi="Times New Roman"/>
          <w:color w:val="auto"/>
          <w:sz w:val="22"/>
          <w:szCs w:val="22"/>
          <w:lang w:eastAsia="fr-LU"/>
        </w:rPr>
        <w:t>4.8, miten haittavaikutuksista ilmoitetaan</w:t>
      </w:r>
      <w:r w:rsidR="00CD3600" w:rsidRPr="00CD3600">
        <w:rPr>
          <w:rFonts w:ascii="Times New Roman" w:hAnsi="Times New Roman"/>
          <w:noProof/>
          <w:color w:val="auto"/>
          <w:sz w:val="22"/>
          <w:szCs w:val="22"/>
          <w:lang w:eastAsia="fr-LU"/>
        </w:rPr>
        <w:t>.</w:t>
      </w:r>
    </w:p>
    <w:p w14:paraId="586FBEF7" w14:textId="77777777" w:rsidR="00CD3600" w:rsidRPr="00CD3600" w:rsidRDefault="00CD3600" w:rsidP="00CD3600">
      <w:pPr>
        <w:suppressAutoHyphens/>
        <w:rPr>
          <w:rFonts w:ascii="Times New Roman" w:hAnsi="Times New Roman"/>
          <w:noProof/>
          <w:color w:val="auto"/>
          <w:sz w:val="22"/>
          <w:szCs w:val="22"/>
          <w:lang w:eastAsia="fr-LU"/>
        </w:rPr>
      </w:pPr>
    </w:p>
    <w:p w14:paraId="586FBEF8" w14:textId="77777777" w:rsidR="00CD3600" w:rsidRPr="00CD3600" w:rsidRDefault="00CD3600" w:rsidP="00CD3600">
      <w:pPr>
        <w:suppressAutoHyphens/>
        <w:ind w:left="567" w:hanging="567"/>
        <w:rPr>
          <w:rFonts w:ascii="Times New Roman" w:hAnsi="Times New Roman"/>
          <w:noProof/>
          <w:color w:val="auto"/>
          <w:sz w:val="22"/>
          <w:szCs w:val="22"/>
          <w:lang w:eastAsia="fr-LU"/>
        </w:rPr>
      </w:pPr>
    </w:p>
    <w:p w14:paraId="586FBEF9"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1.</w:t>
      </w:r>
      <w:r w:rsidRPr="00912A5D">
        <w:rPr>
          <w:rFonts w:ascii="Times New Roman" w:hAnsi="Times New Roman"/>
          <w:b/>
          <w:sz w:val="22"/>
          <w:szCs w:val="22"/>
        </w:rPr>
        <w:tab/>
        <w:t>LÄÄKEVALMISTEEN NIMI</w:t>
      </w:r>
    </w:p>
    <w:p w14:paraId="586FBEFA" w14:textId="77777777" w:rsidR="00AE3698" w:rsidRPr="00912A5D" w:rsidRDefault="00AE3698" w:rsidP="00345374">
      <w:pPr>
        <w:keepNext/>
        <w:widowControl w:val="0"/>
        <w:rPr>
          <w:rFonts w:ascii="Times New Roman" w:hAnsi="Times New Roman"/>
          <w:i/>
          <w:sz w:val="22"/>
          <w:szCs w:val="22"/>
        </w:rPr>
      </w:pPr>
    </w:p>
    <w:p w14:paraId="586FBEFC" w14:textId="77777777" w:rsidR="00901CDC" w:rsidRPr="00912A5D" w:rsidRDefault="00901CDC" w:rsidP="00901CDC">
      <w:pPr>
        <w:pStyle w:val="EndnoteText"/>
        <w:widowControl w:val="0"/>
        <w:tabs>
          <w:tab w:val="clear" w:pos="567"/>
        </w:tabs>
        <w:rPr>
          <w:color w:val="000000"/>
          <w:szCs w:val="22"/>
          <w:lang w:val="fi-FI"/>
        </w:rPr>
      </w:pPr>
      <w:r w:rsidRPr="00912A5D">
        <w:rPr>
          <w:color w:val="000000"/>
          <w:szCs w:val="22"/>
          <w:lang w:val="fi-FI"/>
        </w:rPr>
        <w:t xml:space="preserve">Glivec </w:t>
      </w:r>
      <w:r>
        <w:rPr>
          <w:color w:val="000000"/>
          <w:szCs w:val="22"/>
          <w:lang w:val="fi-FI"/>
        </w:rPr>
        <w:t>10</w:t>
      </w:r>
      <w:r w:rsidRPr="00912A5D">
        <w:rPr>
          <w:color w:val="000000"/>
          <w:szCs w:val="22"/>
          <w:lang w:val="fi-FI"/>
        </w:rPr>
        <w:t>0 mg kovat kapselit</w:t>
      </w:r>
    </w:p>
    <w:p w14:paraId="586FBEFD" w14:textId="77777777" w:rsidR="00AE3698" w:rsidRPr="00912A5D" w:rsidRDefault="00AE3698">
      <w:pPr>
        <w:pStyle w:val="EndnoteText"/>
        <w:widowControl w:val="0"/>
        <w:tabs>
          <w:tab w:val="clear" w:pos="567"/>
        </w:tabs>
        <w:rPr>
          <w:color w:val="000000"/>
          <w:szCs w:val="22"/>
          <w:lang w:val="fi-FI"/>
        </w:rPr>
      </w:pPr>
    </w:p>
    <w:p w14:paraId="586FBEFE" w14:textId="77777777" w:rsidR="00AE3698" w:rsidRPr="00912A5D" w:rsidRDefault="00AE3698">
      <w:pPr>
        <w:pStyle w:val="EndnoteText"/>
        <w:widowControl w:val="0"/>
        <w:tabs>
          <w:tab w:val="clear" w:pos="567"/>
        </w:tabs>
        <w:rPr>
          <w:color w:val="000000"/>
          <w:szCs w:val="22"/>
          <w:lang w:val="fi-FI"/>
        </w:rPr>
      </w:pPr>
    </w:p>
    <w:p w14:paraId="586FBEFF"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2.</w:t>
      </w:r>
      <w:r w:rsidRPr="00912A5D">
        <w:rPr>
          <w:rFonts w:ascii="Times New Roman" w:hAnsi="Times New Roman"/>
          <w:b/>
          <w:sz w:val="22"/>
          <w:szCs w:val="22"/>
        </w:rPr>
        <w:tab/>
        <w:t>VAIKUTTAVAT AINEET JA NIIDEN MÄÄRÄT</w:t>
      </w:r>
    </w:p>
    <w:p w14:paraId="586FBF00" w14:textId="77777777" w:rsidR="00AE3698" w:rsidRPr="00912A5D" w:rsidRDefault="00AE3698" w:rsidP="00345374">
      <w:pPr>
        <w:keepNext/>
        <w:widowControl w:val="0"/>
        <w:rPr>
          <w:rFonts w:ascii="Times New Roman" w:hAnsi="Times New Roman"/>
          <w:i/>
          <w:sz w:val="22"/>
          <w:szCs w:val="22"/>
        </w:rPr>
      </w:pPr>
    </w:p>
    <w:p w14:paraId="586FBF05" w14:textId="77777777" w:rsidR="00901CDC" w:rsidRPr="00912A5D" w:rsidRDefault="00901CDC" w:rsidP="00901CDC">
      <w:pPr>
        <w:widowControl w:val="0"/>
        <w:rPr>
          <w:rFonts w:ascii="Times New Roman" w:hAnsi="Times New Roman"/>
          <w:sz w:val="22"/>
          <w:szCs w:val="22"/>
        </w:rPr>
      </w:pPr>
      <w:r w:rsidRPr="00912A5D">
        <w:rPr>
          <w:rFonts w:ascii="Times New Roman" w:hAnsi="Times New Roman"/>
          <w:sz w:val="22"/>
          <w:szCs w:val="22"/>
        </w:rPr>
        <w:t xml:space="preserve">Yksi kapseli sisältää </w:t>
      </w:r>
      <w:r>
        <w:rPr>
          <w:rFonts w:ascii="Times New Roman" w:hAnsi="Times New Roman"/>
          <w:sz w:val="22"/>
          <w:szCs w:val="22"/>
        </w:rPr>
        <w:t>10</w:t>
      </w:r>
      <w:r w:rsidRPr="00912A5D">
        <w:rPr>
          <w:rFonts w:ascii="Times New Roman" w:hAnsi="Times New Roman"/>
          <w:sz w:val="22"/>
          <w:szCs w:val="22"/>
        </w:rPr>
        <w:t>0 mg imatinibia (mesilaattina).</w:t>
      </w:r>
    </w:p>
    <w:p w14:paraId="586FBF06" w14:textId="77777777" w:rsidR="00901CDC" w:rsidRPr="00912A5D" w:rsidRDefault="00901CDC">
      <w:pPr>
        <w:widowControl w:val="0"/>
        <w:rPr>
          <w:rFonts w:ascii="Times New Roman" w:hAnsi="Times New Roman"/>
          <w:sz w:val="22"/>
          <w:szCs w:val="22"/>
        </w:rPr>
      </w:pPr>
    </w:p>
    <w:p w14:paraId="586FBF07" w14:textId="77777777" w:rsidR="00AE3698" w:rsidRPr="00912A5D" w:rsidRDefault="00AE3698">
      <w:pPr>
        <w:suppressAutoHyphens/>
        <w:rPr>
          <w:rFonts w:ascii="Times New Roman" w:hAnsi="Times New Roman"/>
          <w:noProof/>
          <w:sz w:val="22"/>
          <w:szCs w:val="22"/>
        </w:rPr>
      </w:pPr>
      <w:r w:rsidRPr="00912A5D">
        <w:rPr>
          <w:rFonts w:ascii="Times New Roman" w:hAnsi="Times New Roman"/>
          <w:noProof/>
          <w:sz w:val="22"/>
          <w:szCs w:val="22"/>
        </w:rPr>
        <w:t>Täydellinen apuaineluettelo, ks. kohta 6.1.</w:t>
      </w:r>
    </w:p>
    <w:p w14:paraId="586FBF08" w14:textId="77777777" w:rsidR="00AE3698" w:rsidRPr="00912A5D" w:rsidRDefault="00AE3698">
      <w:pPr>
        <w:widowControl w:val="0"/>
        <w:rPr>
          <w:rFonts w:ascii="Times New Roman" w:hAnsi="Times New Roman"/>
          <w:sz w:val="22"/>
          <w:szCs w:val="22"/>
        </w:rPr>
      </w:pPr>
    </w:p>
    <w:p w14:paraId="586FBF09" w14:textId="77777777" w:rsidR="00AE3698" w:rsidRPr="00912A5D" w:rsidRDefault="00AE3698">
      <w:pPr>
        <w:widowControl w:val="0"/>
        <w:rPr>
          <w:rFonts w:ascii="Times New Roman" w:hAnsi="Times New Roman"/>
          <w:sz w:val="22"/>
          <w:szCs w:val="22"/>
        </w:rPr>
      </w:pPr>
    </w:p>
    <w:p w14:paraId="586FBF0A"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3.</w:t>
      </w:r>
      <w:r w:rsidRPr="00912A5D">
        <w:rPr>
          <w:rFonts w:ascii="Times New Roman" w:hAnsi="Times New Roman"/>
          <w:b/>
          <w:sz w:val="22"/>
          <w:szCs w:val="22"/>
        </w:rPr>
        <w:tab/>
        <w:t>LÄÄKEMUOTO</w:t>
      </w:r>
    </w:p>
    <w:p w14:paraId="586FBF0B" w14:textId="77777777" w:rsidR="00AE3698" w:rsidRPr="00912A5D" w:rsidRDefault="00AE3698" w:rsidP="00345374">
      <w:pPr>
        <w:pStyle w:val="EndnoteText"/>
        <w:keepNext/>
        <w:widowControl w:val="0"/>
        <w:tabs>
          <w:tab w:val="clear" w:pos="567"/>
        </w:tabs>
        <w:rPr>
          <w:color w:val="000000"/>
          <w:szCs w:val="22"/>
          <w:lang w:val="fi-FI"/>
        </w:rPr>
      </w:pPr>
    </w:p>
    <w:p w14:paraId="586FBF0C"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Kova kapseli</w:t>
      </w:r>
    </w:p>
    <w:p w14:paraId="586FBF0D" w14:textId="77777777" w:rsidR="00AE3698" w:rsidRDefault="00AE3698">
      <w:pPr>
        <w:widowControl w:val="0"/>
        <w:rPr>
          <w:rFonts w:ascii="Times New Roman" w:hAnsi="Times New Roman"/>
          <w:sz w:val="22"/>
          <w:szCs w:val="22"/>
        </w:rPr>
      </w:pPr>
    </w:p>
    <w:p w14:paraId="586FBF12" w14:textId="77777777" w:rsidR="00901CDC" w:rsidRPr="00912A5D" w:rsidRDefault="00901CDC" w:rsidP="00901CDC">
      <w:pPr>
        <w:widowControl w:val="0"/>
        <w:rPr>
          <w:rFonts w:ascii="Times New Roman" w:hAnsi="Times New Roman"/>
          <w:sz w:val="22"/>
          <w:szCs w:val="22"/>
        </w:rPr>
      </w:pPr>
      <w:r w:rsidRPr="00912A5D">
        <w:rPr>
          <w:rFonts w:ascii="Times New Roman" w:hAnsi="Times New Roman"/>
          <w:sz w:val="22"/>
          <w:szCs w:val="22"/>
        </w:rPr>
        <w:t>Valkoinen tai keltainen jauhe oranssissa tai harmahtavanoranssissa himmeässä kapselissa, merkintä ”</w:t>
      </w:r>
      <w:smartTag w:uri="urn:schemas-microsoft-com:office:smarttags" w:element="State">
        <w:r w:rsidRPr="00912A5D">
          <w:rPr>
            <w:rFonts w:ascii="Times New Roman" w:hAnsi="Times New Roman"/>
            <w:sz w:val="22"/>
            <w:szCs w:val="22"/>
          </w:rPr>
          <w:t>NVR</w:t>
        </w:r>
      </w:smartTag>
      <w:r w:rsidRPr="00912A5D">
        <w:rPr>
          <w:rFonts w:ascii="Times New Roman" w:hAnsi="Times New Roman"/>
          <w:sz w:val="22"/>
          <w:szCs w:val="22"/>
        </w:rPr>
        <w:t> SI”.</w:t>
      </w:r>
    </w:p>
    <w:p w14:paraId="586FBF13" w14:textId="77777777" w:rsidR="00901CDC" w:rsidRPr="00912A5D" w:rsidRDefault="00901CDC">
      <w:pPr>
        <w:widowControl w:val="0"/>
        <w:rPr>
          <w:rFonts w:ascii="Times New Roman" w:hAnsi="Times New Roman"/>
          <w:sz w:val="22"/>
          <w:szCs w:val="22"/>
        </w:rPr>
      </w:pPr>
    </w:p>
    <w:p w14:paraId="586FBF14" w14:textId="77777777" w:rsidR="00AE3698" w:rsidRPr="00912A5D" w:rsidRDefault="00AE3698">
      <w:pPr>
        <w:widowControl w:val="0"/>
        <w:rPr>
          <w:rFonts w:ascii="Times New Roman" w:hAnsi="Times New Roman"/>
          <w:sz w:val="22"/>
          <w:szCs w:val="22"/>
        </w:rPr>
      </w:pPr>
    </w:p>
    <w:p w14:paraId="586FBF15"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w:t>
      </w:r>
      <w:r w:rsidRPr="00912A5D">
        <w:rPr>
          <w:rFonts w:ascii="Times New Roman" w:hAnsi="Times New Roman"/>
          <w:b/>
          <w:sz w:val="22"/>
          <w:szCs w:val="22"/>
        </w:rPr>
        <w:tab/>
        <w:t>KLIINISET TIEDOT</w:t>
      </w:r>
    </w:p>
    <w:p w14:paraId="586FBF16" w14:textId="77777777" w:rsidR="00AE3698" w:rsidRPr="00912A5D" w:rsidRDefault="00AE3698" w:rsidP="00345374">
      <w:pPr>
        <w:keepNext/>
        <w:widowControl w:val="0"/>
        <w:suppressAutoHyphens/>
        <w:rPr>
          <w:rFonts w:ascii="Times New Roman" w:hAnsi="Times New Roman"/>
          <w:sz w:val="22"/>
          <w:szCs w:val="22"/>
        </w:rPr>
      </w:pPr>
    </w:p>
    <w:p w14:paraId="586FBF17"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4.1</w:t>
      </w:r>
      <w:r w:rsidRPr="00912A5D">
        <w:rPr>
          <w:rFonts w:ascii="Times New Roman" w:hAnsi="Times New Roman"/>
          <w:b/>
          <w:sz w:val="22"/>
          <w:szCs w:val="22"/>
        </w:rPr>
        <w:tab/>
        <w:t>Käyttöaiheet</w:t>
      </w:r>
    </w:p>
    <w:p w14:paraId="586FBF18" w14:textId="77777777" w:rsidR="00AE3698" w:rsidRPr="00912A5D" w:rsidRDefault="00AE3698" w:rsidP="00345374">
      <w:pPr>
        <w:pStyle w:val="EndnoteText"/>
        <w:keepNext/>
        <w:widowControl w:val="0"/>
        <w:tabs>
          <w:tab w:val="clear" w:pos="567"/>
        </w:tabs>
        <w:rPr>
          <w:color w:val="000000"/>
          <w:szCs w:val="22"/>
          <w:lang w:val="fi-FI"/>
        </w:rPr>
      </w:pPr>
    </w:p>
    <w:p w14:paraId="586FBF19" w14:textId="77777777" w:rsidR="00AE3698" w:rsidRPr="00912A5D" w:rsidRDefault="00AE3698" w:rsidP="00345374">
      <w:pPr>
        <w:pStyle w:val="EndnoteText"/>
        <w:keepNext/>
        <w:widowControl w:val="0"/>
        <w:tabs>
          <w:tab w:val="clear" w:pos="567"/>
        </w:tabs>
        <w:rPr>
          <w:color w:val="000000"/>
          <w:szCs w:val="22"/>
          <w:lang w:val="fi-FI"/>
        </w:rPr>
      </w:pPr>
      <w:r w:rsidRPr="00912A5D">
        <w:rPr>
          <w:color w:val="000000"/>
          <w:szCs w:val="22"/>
          <w:lang w:val="fi-FI"/>
        </w:rPr>
        <w:t>Glivec on tarkoitettu</w:t>
      </w:r>
    </w:p>
    <w:p w14:paraId="586FBF1A" w14:textId="77777777" w:rsidR="00AE3698" w:rsidRPr="00912A5D" w:rsidRDefault="00AE3698" w:rsidP="00B41940">
      <w:pPr>
        <w:pStyle w:val="EndnoteText"/>
        <w:widowControl w:val="0"/>
        <w:numPr>
          <w:ilvl w:val="0"/>
          <w:numId w:val="12"/>
        </w:numPr>
        <w:tabs>
          <w:tab w:val="clear" w:pos="567"/>
          <w:tab w:val="clear" w:pos="720"/>
        </w:tabs>
        <w:ind w:left="567" w:hanging="567"/>
        <w:rPr>
          <w:color w:val="000000"/>
          <w:szCs w:val="22"/>
          <w:lang w:val="fi-FI"/>
        </w:rPr>
      </w:pPr>
      <w:r w:rsidRPr="00912A5D">
        <w:rPr>
          <w:color w:val="000000"/>
          <w:szCs w:val="22"/>
          <w:lang w:val="fi-FI"/>
        </w:rPr>
        <w:t>Philadelphia-kromosomi (bcr-abl)-positiivisen (Ph+) kroonisen myelooisen leukemian (</w:t>
      </w:r>
      <w:smartTag w:uri="urn:schemas-microsoft-com:office:smarttags" w:element="State">
        <w:r w:rsidRPr="00912A5D">
          <w:rPr>
            <w:color w:val="000000"/>
            <w:szCs w:val="22"/>
            <w:lang w:val="fi-FI"/>
          </w:rPr>
          <w:t>KML</w:t>
        </w:r>
      </w:smartTag>
      <w:r w:rsidRPr="00912A5D">
        <w:rPr>
          <w:color w:val="000000"/>
          <w:szCs w:val="22"/>
          <w:lang w:val="fi-FI"/>
        </w:rPr>
        <w:t>) hoitoon aikuis- ja lapsipotilaille, joiden sairaus on vasta diagnosoitu mutta joille luuytimensiirtoa ei katsota ensisijaiseksi hoitomuodoksi.</w:t>
      </w:r>
    </w:p>
    <w:p w14:paraId="586FBF1B" w14:textId="77777777" w:rsidR="00AE3698" w:rsidRPr="00912A5D" w:rsidRDefault="00AE3698"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Philadelphia-kromosomipositiivisen kroonisen myelooisen leukemian hoitoon aikuis- ja lapsipotilaille alfa-interferonihoidon epäonnistuttua kroonisessa vaiheessa tai taudin ollessa blastikriisivaiheessa tai akseleraatiovaiheessa.</w:t>
      </w:r>
    </w:p>
    <w:p w14:paraId="586FBF1C" w14:textId="77777777" w:rsidR="00AE3698" w:rsidRPr="00912A5D" w:rsidRDefault="00AE3698"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kemoterapian osana aikuis</w:t>
      </w:r>
      <w:r w:rsidR="00551279">
        <w:rPr>
          <w:color w:val="000000"/>
          <w:szCs w:val="22"/>
          <w:lang w:val="fi-FI"/>
        </w:rPr>
        <w:t>- ja lapsi</w:t>
      </w:r>
      <w:r w:rsidRPr="00912A5D">
        <w:rPr>
          <w:color w:val="000000"/>
          <w:szCs w:val="22"/>
          <w:lang w:val="fi-FI"/>
        </w:rPr>
        <w:t xml:space="preserve">potilaille, joilla on vasta diagnosoitu Philadelphia-kromosomipositiivinen akuutti lymfaattinen leukemia (Ph+ </w:t>
      </w:r>
      <w:smartTag w:uri="urn:schemas-microsoft-com:office:smarttags" w:element="State">
        <w:r w:rsidRPr="00912A5D">
          <w:rPr>
            <w:color w:val="000000"/>
            <w:szCs w:val="22"/>
            <w:lang w:val="fi-FI"/>
          </w:rPr>
          <w:t>ALL</w:t>
        </w:r>
      </w:smartTag>
      <w:r w:rsidRPr="00912A5D">
        <w:rPr>
          <w:color w:val="000000"/>
          <w:szCs w:val="22"/>
          <w:lang w:val="fi-FI"/>
        </w:rPr>
        <w:t>).</w:t>
      </w:r>
    </w:p>
    <w:p w14:paraId="586FBF1D" w14:textId="77777777" w:rsidR="00AE3698" w:rsidRPr="00912A5D" w:rsidRDefault="00AE3698"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 xml:space="preserve">monoterapiana aikuispotilaille, joilla on uusiutunut tai vaikeahoitoinen Ph+ </w:t>
      </w:r>
      <w:smartTag w:uri="urn:schemas-microsoft-com:office:smarttags" w:element="State">
        <w:r w:rsidRPr="00912A5D">
          <w:rPr>
            <w:color w:val="000000"/>
            <w:szCs w:val="22"/>
            <w:lang w:val="fi-FI"/>
          </w:rPr>
          <w:t>ALL</w:t>
        </w:r>
      </w:smartTag>
      <w:r w:rsidRPr="00912A5D">
        <w:rPr>
          <w:color w:val="000000"/>
          <w:szCs w:val="22"/>
          <w:lang w:val="fi-FI"/>
        </w:rPr>
        <w:t>.</w:t>
      </w:r>
    </w:p>
    <w:p w14:paraId="586FBF1E" w14:textId="77777777" w:rsidR="00AE3698" w:rsidRPr="00912A5D" w:rsidRDefault="00AE3698"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aikuispotilaille, joilla on myelodysplastinen oireyhtymä tai myeloproliferatiivinen sairaus (</w:t>
      </w:r>
      <w:smartTag w:uri="urn:schemas-microsoft-com:office:smarttags" w:element="State">
        <w:r w:rsidRPr="00912A5D">
          <w:rPr>
            <w:color w:val="000000"/>
            <w:szCs w:val="22"/>
            <w:lang w:val="fi-FI"/>
          </w:rPr>
          <w:t>MDS</w:t>
        </w:r>
      </w:smartTag>
      <w:r w:rsidRPr="00912A5D">
        <w:rPr>
          <w:color w:val="000000"/>
          <w:szCs w:val="22"/>
          <w:lang w:val="fi-FI"/>
        </w:rPr>
        <w:t>/MPD), johon liittyy verihiutalekasvutekijäreseptorigeenien (PDGFR) uudelleenjärjestäytymistä.</w:t>
      </w:r>
    </w:p>
    <w:p w14:paraId="586FBF1F" w14:textId="77777777" w:rsidR="00AE3698" w:rsidRPr="00912A5D" w:rsidRDefault="00AE3698"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aikuispotilaille, joilla on pitkälle edennyt hypereosinofiilinen oireyhtymä (HES) ja/tai krooninen eosinofiilinen leukemia (</w:t>
      </w:r>
      <w:smartTag w:uri="urn:schemas-microsoft-com:office:smarttags" w:element="State">
        <w:r w:rsidRPr="00912A5D">
          <w:rPr>
            <w:color w:val="000000"/>
            <w:szCs w:val="22"/>
            <w:lang w:val="fi-FI"/>
          </w:rPr>
          <w:t>CEL</w:t>
        </w:r>
      </w:smartTag>
      <w:r w:rsidRPr="00912A5D">
        <w:rPr>
          <w:color w:val="000000"/>
          <w:szCs w:val="22"/>
          <w:lang w:val="fi-FI"/>
        </w:rPr>
        <w:t>), johon liittyy FIP1L1-PDGFR:n uudelleenjärjestäytymistä.</w:t>
      </w:r>
    </w:p>
    <w:p w14:paraId="586FBF20" w14:textId="77777777" w:rsidR="00AE3698" w:rsidRPr="00912A5D" w:rsidRDefault="00AE3698">
      <w:pPr>
        <w:widowControl w:val="0"/>
        <w:rPr>
          <w:rFonts w:ascii="Times New Roman" w:hAnsi="Times New Roman"/>
          <w:sz w:val="22"/>
          <w:szCs w:val="22"/>
        </w:rPr>
      </w:pPr>
    </w:p>
    <w:p w14:paraId="586FBF21"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Glivecin vaikutusta luuytimensiirron lopputulokseen ei ole selvitetty.</w:t>
      </w:r>
    </w:p>
    <w:p w14:paraId="586FBF22" w14:textId="77777777" w:rsidR="00AE3698" w:rsidRPr="00912A5D" w:rsidRDefault="00AE3698">
      <w:pPr>
        <w:widowControl w:val="0"/>
        <w:rPr>
          <w:rFonts w:ascii="Times New Roman" w:hAnsi="Times New Roman"/>
          <w:sz w:val="22"/>
          <w:szCs w:val="22"/>
        </w:rPr>
      </w:pPr>
    </w:p>
    <w:p w14:paraId="586FBF23" w14:textId="77777777" w:rsidR="00A627D5" w:rsidRPr="00912A5D" w:rsidRDefault="00A627D5" w:rsidP="00345374">
      <w:pPr>
        <w:keepNext/>
        <w:widowControl w:val="0"/>
        <w:rPr>
          <w:rFonts w:ascii="Times New Roman" w:hAnsi="Times New Roman"/>
          <w:sz w:val="22"/>
          <w:szCs w:val="22"/>
        </w:rPr>
      </w:pPr>
      <w:r w:rsidRPr="00912A5D">
        <w:rPr>
          <w:rFonts w:ascii="Times New Roman" w:hAnsi="Times New Roman"/>
          <w:sz w:val="22"/>
          <w:szCs w:val="22"/>
        </w:rPr>
        <w:t>Glivec on tarkoitettu</w:t>
      </w:r>
    </w:p>
    <w:p w14:paraId="586FBF24" w14:textId="77777777" w:rsidR="00A627D5" w:rsidRDefault="00A627D5" w:rsidP="00B41940">
      <w:pPr>
        <w:widowControl w:val="0"/>
        <w:numPr>
          <w:ilvl w:val="0"/>
          <w:numId w:val="14"/>
        </w:numPr>
        <w:tabs>
          <w:tab w:val="clear" w:pos="720"/>
        </w:tabs>
        <w:ind w:left="567" w:hanging="567"/>
        <w:rPr>
          <w:rFonts w:ascii="Times New Roman" w:hAnsi="Times New Roman"/>
          <w:sz w:val="22"/>
          <w:szCs w:val="22"/>
        </w:rPr>
      </w:pPr>
      <w:r w:rsidRPr="00912A5D">
        <w:rPr>
          <w:rFonts w:ascii="Times New Roman" w:hAnsi="Times New Roman"/>
          <w:sz w:val="22"/>
          <w:szCs w:val="22"/>
        </w:rPr>
        <w:t>pahanlaatuista Kit (CD 117)-positiivista ruuansulatuskanavan stroomakasvainta (GIST) sairastavien aikuisten potilaiden hoitoon silloin, kun kasvainta ei voida leikata ja/tai kun kasvain on metastasoitunut.</w:t>
      </w:r>
    </w:p>
    <w:p w14:paraId="586FBF25" w14:textId="77777777" w:rsidR="00A627D5" w:rsidRPr="00F2758D" w:rsidRDefault="00A627D5" w:rsidP="00B41940">
      <w:pPr>
        <w:widowControl w:val="0"/>
        <w:numPr>
          <w:ilvl w:val="0"/>
          <w:numId w:val="14"/>
        </w:numPr>
        <w:tabs>
          <w:tab w:val="clear" w:pos="720"/>
        </w:tabs>
        <w:ind w:left="567" w:hanging="567"/>
        <w:rPr>
          <w:rFonts w:ascii="Times New Roman" w:hAnsi="Times New Roman"/>
          <w:sz w:val="22"/>
          <w:szCs w:val="22"/>
        </w:rPr>
      </w:pPr>
      <w:r w:rsidRPr="000A28D8">
        <w:rPr>
          <w:rFonts w:ascii="Times New Roman" w:hAnsi="Times New Roman"/>
          <w:sz w:val="22"/>
          <w:szCs w:val="22"/>
        </w:rPr>
        <w:t xml:space="preserve">Kit (CD 117)-positiivisen GIST:in resektion jälkeiseen liitännäishoitoon aikuisille potilaille, </w:t>
      </w:r>
      <w:r w:rsidRPr="00F2758D">
        <w:rPr>
          <w:rFonts w:ascii="Times New Roman" w:hAnsi="Times New Roman"/>
          <w:sz w:val="22"/>
          <w:szCs w:val="22"/>
        </w:rPr>
        <w:t>joiden taudin uusiutumisriski on huomattava.</w:t>
      </w:r>
      <w:r w:rsidR="001F716E" w:rsidRPr="00F2758D">
        <w:rPr>
          <w:rFonts w:ascii="Times New Roman" w:hAnsi="Times New Roman"/>
          <w:sz w:val="22"/>
          <w:szCs w:val="22"/>
        </w:rPr>
        <w:t xml:space="preserve"> Liitännäishoitoa</w:t>
      </w:r>
      <w:r w:rsidR="006000C2" w:rsidRPr="00F2758D">
        <w:rPr>
          <w:rFonts w:ascii="Times New Roman" w:hAnsi="Times New Roman"/>
          <w:sz w:val="22"/>
          <w:szCs w:val="22"/>
        </w:rPr>
        <w:t xml:space="preserve"> </w:t>
      </w:r>
      <w:r w:rsidR="001F716E" w:rsidRPr="00F2758D">
        <w:rPr>
          <w:rFonts w:ascii="Times New Roman" w:hAnsi="Times New Roman"/>
          <w:sz w:val="22"/>
          <w:szCs w:val="22"/>
        </w:rPr>
        <w:t>ei tulisi antaa p</w:t>
      </w:r>
      <w:r w:rsidR="006000C2" w:rsidRPr="00F2758D">
        <w:rPr>
          <w:rFonts w:ascii="Times New Roman" w:hAnsi="Times New Roman"/>
          <w:sz w:val="22"/>
          <w:szCs w:val="22"/>
        </w:rPr>
        <w:t>otilaille,</w:t>
      </w:r>
      <w:r w:rsidR="00423A80" w:rsidRPr="00F2758D">
        <w:rPr>
          <w:rFonts w:ascii="Times New Roman" w:hAnsi="Times New Roman"/>
          <w:sz w:val="22"/>
          <w:szCs w:val="22"/>
        </w:rPr>
        <w:t xml:space="preserve"> </w:t>
      </w:r>
      <w:r w:rsidR="006000C2" w:rsidRPr="00F2758D">
        <w:rPr>
          <w:rFonts w:ascii="Times New Roman" w:hAnsi="Times New Roman"/>
          <w:sz w:val="22"/>
          <w:szCs w:val="22"/>
        </w:rPr>
        <w:t>joiden</w:t>
      </w:r>
      <w:r w:rsidR="00423A80" w:rsidRPr="00F2758D">
        <w:rPr>
          <w:rFonts w:ascii="Times New Roman" w:hAnsi="Times New Roman"/>
          <w:sz w:val="22"/>
          <w:szCs w:val="22"/>
        </w:rPr>
        <w:t xml:space="preserve"> </w:t>
      </w:r>
      <w:r w:rsidR="006000C2" w:rsidRPr="00F2758D">
        <w:rPr>
          <w:rFonts w:ascii="Times New Roman" w:hAnsi="Times New Roman"/>
          <w:sz w:val="22"/>
          <w:szCs w:val="22"/>
        </w:rPr>
        <w:t xml:space="preserve">uusiutumisriski </w:t>
      </w:r>
      <w:r w:rsidR="00423A80" w:rsidRPr="00F2758D">
        <w:rPr>
          <w:rFonts w:ascii="Times New Roman" w:hAnsi="Times New Roman"/>
          <w:sz w:val="22"/>
          <w:szCs w:val="22"/>
        </w:rPr>
        <w:t>on matala tai erittäin matala</w:t>
      </w:r>
      <w:r w:rsidR="001F716E" w:rsidRPr="00F2758D">
        <w:rPr>
          <w:rFonts w:ascii="Times New Roman" w:hAnsi="Times New Roman"/>
          <w:sz w:val="22"/>
          <w:szCs w:val="22"/>
        </w:rPr>
        <w:t>.</w:t>
      </w:r>
    </w:p>
    <w:p w14:paraId="586FBF26" w14:textId="77777777" w:rsidR="00A627D5" w:rsidRPr="00912A5D" w:rsidRDefault="00A627D5" w:rsidP="00B41940">
      <w:pPr>
        <w:widowControl w:val="0"/>
        <w:numPr>
          <w:ilvl w:val="0"/>
          <w:numId w:val="14"/>
        </w:numPr>
        <w:tabs>
          <w:tab w:val="clear" w:pos="720"/>
        </w:tabs>
        <w:ind w:left="567" w:hanging="567"/>
        <w:rPr>
          <w:rFonts w:ascii="Times New Roman" w:hAnsi="Times New Roman"/>
          <w:sz w:val="22"/>
          <w:szCs w:val="22"/>
        </w:rPr>
      </w:pPr>
      <w:r w:rsidRPr="00F2758D">
        <w:rPr>
          <w:rFonts w:ascii="Times New Roman" w:hAnsi="Times New Roman"/>
          <w:sz w:val="22"/>
          <w:szCs w:val="22"/>
        </w:rPr>
        <w:t>aikuisten dermatofibrosarcoma protuberans- (DFSP-) potilaiden hoitoon, kun kasvainta ei voida</w:t>
      </w:r>
      <w:r w:rsidRPr="00912A5D">
        <w:rPr>
          <w:rFonts w:ascii="Times New Roman" w:hAnsi="Times New Roman"/>
          <w:sz w:val="22"/>
          <w:szCs w:val="22"/>
        </w:rPr>
        <w:t xml:space="preserve"> leikata ja aikuisille potilaille, joilla on uusiutunut ja/tai metastasoitunut DFSP, jota ei voi </w:t>
      </w:r>
      <w:r w:rsidRPr="00912A5D">
        <w:rPr>
          <w:rFonts w:ascii="Times New Roman" w:hAnsi="Times New Roman"/>
          <w:sz w:val="22"/>
          <w:szCs w:val="22"/>
        </w:rPr>
        <w:lastRenderedPageBreak/>
        <w:t>leikata.</w:t>
      </w:r>
    </w:p>
    <w:p w14:paraId="586FBF27" w14:textId="77777777" w:rsidR="00A627D5" w:rsidRPr="00912A5D" w:rsidRDefault="00A627D5" w:rsidP="00A627D5">
      <w:pPr>
        <w:widowControl w:val="0"/>
        <w:rPr>
          <w:rFonts w:ascii="Times New Roman" w:hAnsi="Times New Roman"/>
          <w:sz w:val="22"/>
          <w:szCs w:val="22"/>
        </w:rPr>
      </w:pPr>
    </w:p>
    <w:p w14:paraId="586FBF28" w14:textId="77777777" w:rsidR="00A627D5" w:rsidRPr="00912A5D" w:rsidRDefault="00A627D5" w:rsidP="00A627D5">
      <w:pPr>
        <w:pStyle w:val="EndnoteText"/>
        <w:rPr>
          <w:color w:val="000000"/>
          <w:lang w:val="fi-FI"/>
        </w:rPr>
      </w:pPr>
      <w:r w:rsidRPr="00912A5D">
        <w:rPr>
          <w:color w:val="000000"/>
          <w:lang w:val="fi-FI"/>
        </w:rPr>
        <w:t xml:space="preserve">Näyttö Glivecin tehosta aikuis- ja lapsipotilaiden </w:t>
      </w:r>
      <w:smartTag w:uri="urn:schemas-microsoft-com:office:smarttags" w:element="State">
        <w:r w:rsidRPr="00912A5D">
          <w:rPr>
            <w:color w:val="000000"/>
            <w:lang w:val="fi-FI"/>
          </w:rPr>
          <w:t>KML</w:t>
        </w:r>
      </w:smartTag>
      <w:r w:rsidRPr="00912A5D">
        <w:rPr>
          <w:color w:val="000000"/>
          <w:lang w:val="fi-FI"/>
        </w:rPr>
        <w:t xml:space="preserve">:ssa perustuu hematologisten ja sytogeneettisten vasteiden määrään ja havaittuun aikaan ilman merkkejä taudin etenemisestä, Ph+ </w:t>
      </w:r>
      <w:smartTag w:uri="urn:schemas-microsoft-com:office:smarttags" w:element="State">
        <w:r w:rsidRPr="00912A5D">
          <w:rPr>
            <w:color w:val="000000"/>
            <w:lang w:val="fi-FI"/>
          </w:rPr>
          <w:t>ALL</w:t>
        </w:r>
      </w:smartTag>
      <w:r w:rsidRPr="00912A5D">
        <w:rPr>
          <w:color w:val="000000"/>
          <w:lang w:val="fi-FI"/>
        </w:rPr>
        <w:t xml:space="preserve">:issa ja </w:t>
      </w:r>
      <w:smartTag w:uri="urn:schemas-microsoft-com:office:smarttags" w:element="State">
        <w:r w:rsidRPr="00912A5D">
          <w:rPr>
            <w:color w:val="000000"/>
            <w:lang w:val="fi-FI"/>
          </w:rPr>
          <w:t>MDS</w:t>
        </w:r>
      </w:smartTag>
      <w:r w:rsidRPr="00912A5D">
        <w:rPr>
          <w:color w:val="000000"/>
          <w:lang w:val="fi-FI"/>
        </w:rPr>
        <w:t>/MPD:ssä hematologiseen ja sytogeneettiseen vasteeseen</w:t>
      </w:r>
      <w:r w:rsidRPr="00912A5D">
        <w:rPr>
          <w:color w:val="000000"/>
          <w:szCs w:val="22"/>
          <w:lang w:val="fi-FI"/>
        </w:rPr>
        <w:t>, HES:ssä/</w:t>
      </w:r>
      <w:smartTag w:uri="urn:schemas-microsoft-com:office:smarttags" w:element="State">
        <w:r w:rsidRPr="00912A5D">
          <w:rPr>
            <w:color w:val="000000"/>
            <w:szCs w:val="22"/>
            <w:lang w:val="fi-FI"/>
          </w:rPr>
          <w:t>CEL</w:t>
        </w:r>
      </w:smartTag>
      <w:r w:rsidRPr="00912A5D">
        <w:rPr>
          <w:color w:val="000000"/>
          <w:szCs w:val="22"/>
          <w:lang w:val="fi-FI"/>
        </w:rPr>
        <w:t>:ssä hematologisten vasteiden määrään</w:t>
      </w:r>
      <w:r>
        <w:rPr>
          <w:color w:val="000000"/>
          <w:szCs w:val="22"/>
          <w:lang w:val="fi-FI"/>
        </w:rPr>
        <w:t>,</w:t>
      </w:r>
      <w:r w:rsidRPr="00912A5D">
        <w:rPr>
          <w:color w:val="000000"/>
          <w:lang w:val="fi-FI"/>
        </w:rPr>
        <w:t xml:space="preserve"> aikuispotilaiden GIST:issä</w:t>
      </w:r>
      <w:r>
        <w:rPr>
          <w:color w:val="000000"/>
          <w:lang w:val="fi-FI"/>
        </w:rPr>
        <w:t>,</w:t>
      </w:r>
      <w:r w:rsidRPr="00912A5D">
        <w:rPr>
          <w:color w:val="000000"/>
          <w:lang w:val="fi-FI"/>
        </w:rPr>
        <w:t xml:space="preserve"> </w:t>
      </w:r>
      <w:r w:rsidRPr="001F55AC">
        <w:rPr>
          <w:szCs w:val="22"/>
          <w:lang w:val="fi-FI"/>
        </w:rPr>
        <w:t>jota ei voida leikata ja/tai joka on metastasoitunut</w:t>
      </w:r>
      <w:r w:rsidRPr="00912A5D">
        <w:rPr>
          <w:color w:val="000000"/>
          <w:lang w:val="fi-FI"/>
        </w:rPr>
        <w:t xml:space="preserve"> ja DFSP:ssä objektiivisten vasteiden määrään</w:t>
      </w:r>
      <w:r>
        <w:rPr>
          <w:color w:val="000000"/>
          <w:lang w:val="fi-FI"/>
        </w:rPr>
        <w:t>, sekä liitännäishoidetussa GIST:issä uusiutumisvapaaseen eloonjäämiseen</w:t>
      </w:r>
      <w:r w:rsidRPr="00912A5D">
        <w:rPr>
          <w:color w:val="000000"/>
          <w:lang w:val="fi-FI"/>
        </w:rPr>
        <w:t>. Glivecin käytöstä on hyvin vähän kokemusta potilailla, joilla on myelodysplastinen oireyhtymä/myeloproliferatiivinen sairaus ja siihen liittyvää PDGFR-geenin uudelleenjärjestäytymistä (ks. kohta 5.1). Juuri diagnosoitua kroonisessa vaiheessa olevaa KML:aa lukuun ottamatta kontrolloituja tutkimuksia, jotka osoittaisivat kliinistä tehoa tai eloonjäämisetua näissä taudeissa, ei ole tehty.</w:t>
      </w:r>
    </w:p>
    <w:p w14:paraId="586FBF29" w14:textId="77777777" w:rsidR="00A627D5" w:rsidRPr="00912A5D" w:rsidRDefault="00A627D5" w:rsidP="00A627D5">
      <w:pPr>
        <w:widowControl w:val="0"/>
        <w:rPr>
          <w:rFonts w:ascii="Times New Roman" w:hAnsi="Times New Roman"/>
          <w:sz w:val="22"/>
          <w:szCs w:val="22"/>
        </w:rPr>
      </w:pPr>
    </w:p>
    <w:p w14:paraId="586FBF2A"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4.2</w:t>
      </w:r>
      <w:r w:rsidRPr="00912A5D">
        <w:rPr>
          <w:rFonts w:ascii="Times New Roman" w:hAnsi="Times New Roman"/>
          <w:b/>
          <w:sz w:val="22"/>
          <w:szCs w:val="22"/>
        </w:rPr>
        <w:tab/>
        <w:t>Annostus ja antotapa</w:t>
      </w:r>
    </w:p>
    <w:p w14:paraId="586FBF2B" w14:textId="77777777" w:rsidR="00AE3698" w:rsidRPr="00912A5D" w:rsidRDefault="00AE3698" w:rsidP="00345374">
      <w:pPr>
        <w:pStyle w:val="EndnoteText"/>
        <w:keepNext/>
        <w:widowControl w:val="0"/>
        <w:tabs>
          <w:tab w:val="clear" w:pos="567"/>
        </w:tabs>
        <w:rPr>
          <w:color w:val="000000"/>
          <w:szCs w:val="22"/>
          <w:lang w:val="fi-FI"/>
        </w:rPr>
      </w:pPr>
    </w:p>
    <w:p w14:paraId="586FBF2C"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Hoito tulee aloittaa tilanteesta riippuen hematologista syöpäsairautta tai pahanlaatuista sarkoomaa sairastavien potilaiden hoitoon perehtyneen lääkärin toimesta.</w:t>
      </w:r>
    </w:p>
    <w:p w14:paraId="586FBF2D" w14:textId="77777777" w:rsidR="00AE3698" w:rsidRPr="00912A5D" w:rsidRDefault="00AE3698">
      <w:pPr>
        <w:pStyle w:val="EndnoteText"/>
        <w:widowControl w:val="0"/>
        <w:tabs>
          <w:tab w:val="clear" w:pos="567"/>
        </w:tabs>
        <w:rPr>
          <w:color w:val="000000"/>
          <w:szCs w:val="22"/>
          <w:lang w:val="fi-FI"/>
        </w:rPr>
      </w:pPr>
    </w:p>
    <w:p w14:paraId="586FBF2E"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Määrätty annos tulee antaa suun kautta aterian yhteydessä ja ison vesilasillisen kera ruuansulatuskanavan ärsytyksen riskin minimoimiseksi. Annokset 400 mg ja 600 mg pitää antaa kerran vuorokaudessa. Sen sijaan 800 mg annos pitää antaa kahdesti vuorokaudessa 400 mg annoksena aamulla ja illalla. Jos potilas (lapsi) ei pysty nielaisemaan kapselia kokonaisena, voidaan sen sisältö sekoittaa lasilliseen </w:t>
      </w:r>
      <w:r w:rsidR="00C025E4">
        <w:rPr>
          <w:color w:val="000000"/>
          <w:szCs w:val="22"/>
          <w:lang w:val="fi-FI"/>
        </w:rPr>
        <w:t xml:space="preserve">hiilihapotonta </w:t>
      </w:r>
      <w:r w:rsidRPr="00912A5D">
        <w:rPr>
          <w:color w:val="000000"/>
          <w:szCs w:val="22"/>
          <w:lang w:val="fi-FI"/>
        </w:rPr>
        <w:t>vettä tai omenamehua. Eläintutkimukset ovat osoittaneet lisääntymistoksisuutta, eikä mahdollista riskiä sikiölle tunneta. Siksi hedelmällisessä iässä olevia naisia, jotka avaavat kapselin, tulee neuvoa käsittelemään kapselin sisältöä varoen ja välttämään aineen joutumista iholle, silmiin tai hengitysteihin (ks. kohta 4.6). Kädet tulee pestä välittömästi avoimien kapselien käsittelemisen jälkeen.</w:t>
      </w:r>
    </w:p>
    <w:p w14:paraId="586FBF2F" w14:textId="77777777" w:rsidR="00AE3698" w:rsidRPr="00912A5D" w:rsidRDefault="00AE3698">
      <w:pPr>
        <w:pStyle w:val="EndnoteText"/>
        <w:widowControl w:val="0"/>
        <w:tabs>
          <w:tab w:val="clear" w:pos="567"/>
        </w:tabs>
        <w:rPr>
          <w:color w:val="000000"/>
          <w:szCs w:val="22"/>
          <w:lang w:val="fi-FI"/>
        </w:rPr>
      </w:pPr>
    </w:p>
    <w:p w14:paraId="586FBF30" w14:textId="77777777" w:rsidR="00AE3698" w:rsidRPr="00912A5D" w:rsidRDefault="00AE3698" w:rsidP="00345374">
      <w:pPr>
        <w:pStyle w:val="EndnoteText"/>
        <w:keepNext/>
        <w:widowControl w:val="0"/>
        <w:tabs>
          <w:tab w:val="clear" w:pos="567"/>
        </w:tabs>
        <w:rPr>
          <w:color w:val="000000"/>
          <w:szCs w:val="22"/>
          <w:u w:val="single"/>
          <w:lang w:val="fi-FI"/>
        </w:rPr>
      </w:pPr>
      <w:r w:rsidRPr="00912A5D">
        <w:rPr>
          <w:color w:val="000000"/>
          <w:szCs w:val="22"/>
          <w:u w:val="single"/>
          <w:lang w:val="fi-FI"/>
        </w:rPr>
        <w:t>Annostus aikuisille kroonisessa myelooisessa leukemiassa (</w:t>
      </w:r>
      <w:smartTag w:uri="urn:schemas-microsoft-com:office:smarttags" w:element="State">
        <w:r w:rsidRPr="00912A5D">
          <w:rPr>
            <w:color w:val="000000"/>
            <w:szCs w:val="22"/>
            <w:u w:val="single"/>
            <w:lang w:val="fi-FI"/>
          </w:rPr>
          <w:t>KML</w:t>
        </w:r>
      </w:smartTag>
      <w:r w:rsidRPr="00912A5D">
        <w:rPr>
          <w:color w:val="000000"/>
          <w:szCs w:val="22"/>
          <w:u w:val="single"/>
          <w:lang w:val="fi-FI"/>
        </w:rPr>
        <w:t>)</w:t>
      </w:r>
    </w:p>
    <w:p w14:paraId="586FBF31" w14:textId="77777777" w:rsidR="00AE3698" w:rsidRPr="00912A5D" w:rsidRDefault="00AE3698">
      <w:pPr>
        <w:pStyle w:val="EndnoteText"/>
        <w:widowControl w:val="0"/>
        <w:rPr>
          <w:color w:val="000000"/>
          <w:szCs w:val="22"/>
          <w:lang w:val="fi-FI"/>
        </w:rPr>
      </w:pPr>
      <w:r w:rsidRPr="00912A5D">
        <w:rPr>
          <w:color w:val="000000"/>
          <w:szCs w:val="22"/>
          <w:lang w:val="fi-FI"/>
        </w:rPr>
        <w:t xml:space="preserve">Kroonisessa vaiheessa oleville </w:t>
      </w:r>
      <w:r w:rsidR="007505A0">
        <w:rPr>
          <w:color w:val="000000"/>
          <w:szCs w:val="22"/>
          <w:lang w:val="fi-FI"/>
        </w:rPr>
        <w:t xml:space="preserve">aikuisille </w:t>
      </w:r>
      <w:smartTag w:uri="urn:schemas-microsoft-com:office:smarttags" w:element="State">
        <w:r w:rsidRPr="00912A5D">
          <w:rPr>
            <w:color w:val="000000"/>
            <w:szCs w:val="22"/>
            <w:lang w:val="fi-FI"/>
          </w:rPr>
          <w:t>KML</w:t>
        </w:r>
      </w:smartTag>
      <w:r w:rsidRPr="00912A5D">
        <w:rPr>
          <w:color w:val="000000"/>
          <w:szCs w:val="22"/>
          <w:lang w:val="fi-FI"/>
        </w:rPr>
        <w:t xml:space="preserve">-potilaille suositeltu Glivec-annos on 400 mg/vrk. </w:t>
      </w:r>
      <w:smartTag w:uri="urn:schemas-microsoft-com:office:smarttags" w:element="State">
        <w:r w:rsidRPr="00912A5D">
          <w:rPr>
            <w:color w:val="000000"/>
            <w:szCs w:val="22"/>
            <w:lang w:val="fi-FI"/>
          </w:rPr>
          <w:t>KML</w:t>
        </w:r>
      </w:smartTag>
      <w:r w:rsidRPr="00912A5D">
        <w:rPr>
          <w:color w:val="000000"/>
          <w:szCs w:val="22"/>
          <w:lang w:val="fi-FI"/>
        </w:rPr>
        <w:t xml:space="preserve"> on kroonisessa vaiheessa, kun kaikki seuraavat edellytykset täyttyvät: veressä ja luuytimessä blasteja &lt; 15 %, perifeerisessä veressä basofiilejä &lt; 20 %, verihiutaleita &gt; 100 x 10</w:t>
      </w:r>
      <w:r w:rsidRPr="00912A5D">
        <w:rPr>
          <w:color w:val="000000"/>
          <w:szCs w:val="22"/>
          <w:vertAlign w:val="superscript"/>
          <w:lang w:val="fi-FI"/>
        </w:rPr>
        <w:t>9</w:t>
      </w:r>
      <w:r w:rsidRPr="00912A5D">
        <w:rPr>
          <w:color w:val="000000"/>
          <w:szCs w:val="22"/>
          <w:lang w:val="fi-FI"/>
        </w:rPr>
        <w:t>/l.</w:t>
      </w:r>
    </w:p>
    <w:p w14:paraId="586FBF32" w14:textId="77777777" w:rsidR="00AE3698" w:rsidRPr="00912A5D" w:rsidRDefault="00AE3698">
      <w:pPr>
        <w:pStyle w:val="EndnoteText"/>
        <w:widowControl w:val="0"/>
        <w:rPr>
          <w:color w:val="000000"/>
          <w:szCs w:val="22"/>
          <w:lang w:val="fi-FI"/>
        </w:rPr>
      </w:pPr>
    </w:p>
    <w:p w14:paraId="586FBF33" w14:textId="77777777" w:rsidR="00AE3698" w:rsidRPr="00912A5D" w:rsidRDefault="00AE3698">
      <w:pPr>
        <w:pStyle w:val="EndnoteText"/>
        <w:widowControl w:val="0"/>
        <w:rPr>
          <w:color w:val="000000"/>
          <w:szCs w:val="22"/>
          <w:lang w:val="fi-FI"/>
        </w:rPr>
      </w:pPr>
      <w:r w:rsidRPr="00912A5D">
        <w:rPr>
          <w:color w:val="000000"/>
          <w:szCs w:val="22"/>
          <w:lang w:val="fi-FI"/>
        </w:rPr>
        <w:t xml:space="preserve">Akseleraatiovaiheessa oleville </w:t>
      </w:r>
      <w:r w:rsidR="007505A0">
        <w:rPr>
          <w:color w:val="000000"/>
          <w:szCs w:val="22"/>
          <w:lang w:val="fi-FI"/>
        </w:rPr>
        <w:t>aikuis</w:t>
      </w:r>
      <w:r w:rsidRPr="00912A5D">
        <w:rPr>
          <w:color w:val="000000"/>
          <w:szCs w:val="22"/>
          <w:lang w:val="fi-FI"/>
        </w:rPr>
        <w:t xml:space="preserve">potilaille suositeltu Glivec-annos on 600 mg/vrk. </w:t>
      </w:r>
      <w:smartTag w:uri="urn:schemas-microsoft-com:office:smarttags" w:element="State">
        <w:r w:rsidRPr="00912A5D">
          <w:rPr>
            <w:color w:val="000000"/>
            <w:szCs w:val="22"/>
            <w:lang w:val="fi-FI"/>
          </w:rPr>
          <w:t>KML</w:t>
        </w:r>
      </w:smartTag>
      <w:r w:rsidRPr="00912A5D">
        <w:rPr>
          <w:color w:val="000000"/>
          <w:szCs w:val="22"/>
          <w:lang w:val="fi-FI"/>
        </w:rPr>
        <w:t xml:space="preserve"> on akseleraatiovaiheessa, mikäli jokin seuraavista edellytyksistä täyttyy: veressä tai luuytimessä on blasteja ≥ 15 % mutta &lt; 30 %, veressä tai luuytimessä on ≥ 30 % blasteja ja promyelosyyttejä yhteensä (olettaen että blasteja &lt; 30 %), perifeerisessä veressä on basofiilejä ≥ 20 %, verihiutaleita on (ei hoidosta johtuen) &lt; 100 x 10</w:t>
      </w:r>
      <w:r w:rsidRPr="00912A5D">
        <w:rPr>
          <w:color w:val="000000"/>
          <w:szCs w:val="22"/>
          <w:vertAlign w:val="superscript"/>
          <w:lang w:val="fi-FI"/>
        </w:rPr>
        <w:t>9</w:t>
      </w:r>
      <w:r w:rsidRPr="00912A5D">
        <w:rPr>
          <w:color w:val="000000"/>
          <w:szCs w:val="22"/>
          <w:lang w:val="fi-FI"/>
        </w:rPr>
        <w:t>/l.</w:t>
      </w:r>
    </w:p>
    <w:p w14:paraId="586FBF34" w14:textId="77777777" w:rsidR="00AE3698" w:rsidRPr="00912A5D" w:rsidRDefault="00AE3698">
      <w:pPr>
        <w:pStyle w:val="EndnoteText"/>
        <w:widowControl w:val="0"/>
        <w:rPr>
          <w:color w:val="000000"/>
          <w:szCs w:val="22"/>
          <w:lang w:val="fi-FI"/>
        </w:rPr>
      </w:pPr>
    </w:p>
    <w:p w14:paraId="586FBF35" w14:textId="77777777" w:rsidR="00AE3698" w:rsidRPr="00912A5D" w:rsidRDefault="00AE3698">
      <w:pPr>
        <w:pStyle w:val="EndnoteText"/>
        <w:widowControl w:val="0"/>
        <w:rPr>
          <w:color w:val="000000"/>
          <w:szCs w:val="22"/>
          <w:lang w:val="fi-FI"/>
        </w:rPr>
      </w:pPr>
      <w:r w:rsidRPr="00912A5D">
        <w:rPr>
          <w:color w:val="000000"/>
          <w:szCs w:val="22"/>
          <w:lang w:val="fi-FI"/>
        </w:rPr>
        <w:t xml:space="preserve">Blastikriisissä oleville </w:t>
      </w:r>
      <w:r w:rsidR="007505A0">
        <w:rPr>
          <w:color w:val="000000"/>
          <w:szCs w:val="22"/>
          <w:lang w:val="fi-FI"/>
        </w:rPr>
        <w:t>aikuis</w:t>
      </w:r>
      <w:r w:rsidRPr="00912A5D">
        <w:rPr>
          <w:color w:val="000000"/>
          <w:szCs w:val="22"/>
          <w:lang w:val="fi-FI"/>
        </w:rPr>
        <w:t>potilaille suositeltu Glivec-annos on 600 mg/vrk. Blastikriisissä veressä tai luuytimessä on ≥ 30 % blasteja tai potilaalla on luuytimen ulkopuolinen sairaus pois lukien hepatosplenomegalia.</w:t>
      </w:r>
    </w:p>
    <w:p w14:paraId="586FBF36" w14:textId="77777777" w:rsidR="00AE3698" w:rsidRPr="00912A5D" w:rsidRDefault="00AE3698">
      <w:pPr>
        <w:pStyle w:val="EndnoteText"/>
        <w:widowControl w:val="0"/>
        <w:rPr>
          <w:color w:val="000000"/>
          <w:szCs w:val="22"/>
          <w:lang w:val="fi-FI"/>
        </w:rPr>
      </w:pPr>
    </w:p>
    <w:p w14:paraId="586FBF37" w14:textId="77777777" w:rsidR="00AE3698" w:rsidRPr="00912A5D" w:rsidRDefault="00AE3698">
      <w:pPr>
        <w:pStyle w:val="EndnoteText"/>
        <w:widowControl w:val="0"/>
        <w:rPr>
          <w:color w:val="000000"/>
          <w:szCs w:val="22"/>
          <w:lang w:val="fi-FI"/>
        </w:rPr>
      </w:pPr>
      <w:r w:rsidRPr="00912A5D">
        <w:rPr>
          <w:color w:val="000000"/>
          <w:szCs w:val="22"/>
          <w:lang w:val="fi-FI"/>
        </w:rPr>
        <w:t>Hoidon kesto: Kliinisissä tutkimuksissa Glivec-hoitoa jatkettiin, kunnes tauti alkoi edetä. Hoidon keskeyttämisen vaikutusta, sen jälkeen kun täydellinen sytogeneettinen vaste on saavutettu, ei ole tutkittu.</w:t>
      </w:r>
    </w:p>
    <w:p w14:paraId="586FBF38" w14:textId="77777777" w:rsidR="00AE3698" w:rsidRPr="00912A5D" w:rsidRDefault="00AE3698">
      <w:pPr>
        <w:pStyle w:val="EndnoteText"/>
        <w:widowControl w:val="0"/>
        <w:tabs>
          <w:tab w:val="clear" w:pos="567"/>
        </w:tabs>
        <w:rPr>
          <w:color w:val="000000"/>
          <w:szCs w:val="22"/>
          <w:lang w:val="fi-FI"/>
        </w:rPr>
      </w:pPr>
    </w:p>
    <w:p w14:paraId="586FBF39"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Annoksen suurentamista 400 mg:sta 600 mg:aan tai 800 mg:aan taudin kroonisessa vaiheessa tai 600 mg:sta suurimpaan annokseen 800 mg (400 mg annosteltuna kahdesti vuorokaudessa) akseleraatiovaiheessa tai blastikriisissä oleville potilaille voidaan harkita seuraavissa tapauksissa edellyttäen, ettei vaikeita haittavaikutuksia ja vaikeaa leukemiaan liittymätöntä neutropeniaa tai trombosytopeniaa ole esiintynyt: jos tauti etenee (ajankohdasta riippumatta); jos vähintään 3 kuukauden hoito ei ole tuottanut tyydyttävää hematologista vastetta; jos 12 kuukauden hoito ei ole tuottanut sytogeneettistä vastetta tai jos aiemmin saavutettu hematologinen ja/tai sytogeneettinen vaste häviää. Potilaita on seurattava huolellisesti, kun annosta nostetaan, koska korkeammilla annoksilla voi esiintyä enemmän haittavaikutuksia.</w:t>
      </w:r>
    </w:p>
    <w:p w14:paraId="586FBF3A" w14:textId="77777777" w:rsidR="00AE3698" w:rsidRPr="00912A5D" w:rsidRDefault="00AE3698">
      <w:pPr>
        <w:pStyle w:val="EndnoteText"/>
        <w:widowControl w:val="0"/>
        <w:tabs>
          <w:tab w:val="clear" w:pos="567"/>
        </w:tabs>
        <w:rPr>
          <w:color w:val="000000"/>
          <w:szCs w:val="22"/>
          <w:lang w:val="fi-FI"/>
        </w:rPr>
      </w:pPr>
    </w:p>
    <w:p w14:paraId="586FBF3B" w14:textId="77777777" w:rsidR="00AE3698" w:rsidRPr="00912A5D" w:rsidRDefault="00AE3698" w:rsidP="00345374">
      <w:pPr>
        <w:pStyle w:val="EndnoteText"/>
        <w:keepNext/>
        <w:widowControl w:val="0"/>
        <w:tabs>
          <w:tab w:val="clear" w:pos="567"/>
        </w:tabs>
        <w:rPr>
          <w:color w:val="000000"/>
          <w:szCs w:val="22"/>
          <w:u w:val="single"/>
          <w:lang w:val="fi-FI"/>
        </w:rPr>
      </w:pPr>
      <w:r w:rsidRPr="00912A5D">
        <w:rPr>
          <w:color w:val="000000"/>
          <w:szCs w:val="22"/>
          <w:u w:val="single"/>
          <w:lang w:val="fi-FI"/>
        </w:rPr>
        <w:lastRenderedPageBreak/>
        <w:t>Annostus lapsille kroonisessa myelooisessa leukemiassa (</w:t>
      </w:r>
      <w:smartTag w:uri="urn:schemas-microsoft-com:office:smarttags" w:element="State">
        <w:r w:rsidRPr="00912A5D">
          <w:rPr>
            <w:color w:val="000000"/>
            <w:szCs w:val="22"/>
            <w:u w:val="single"/>
            <w:lang w:val="fi-FI"/>
          </w:rPr>
          <w:t>KML</w:t>
        </w:r>
      </w:smartTag>
      <w:r w:rsidRPr="00912A5D">
        <w:rPr>
          <w:color w:val="000000"/>
          <w:szCs w:val="22"/>
          <w:u w:val="single"/>
          <w:lang w:val="fi-FI"/>
        </w:rPr>
        <w:t>)</w:t>
      </w:r>
    </w:p>
    <w:p w14:paraId="586FBF3C"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Annoksen määrittämisen lapsille tulee perustua kehon pinta-alaan (mg/m</w:t>
      </w:r>
      <w:r w:rsidRPr="00912A5D">
        <w:rPr>
          <w:color w:val="000000"/>
          <w:szCs w:val="22"/>
          <w:vertAlign w:val="superscript"/>
          <w:lang w:val="fi-FI"/>
        </w:rPr>
        <w:t>2</w:t>
      </w:r>
      <w:r w:rsidRPr="00912A5D">
        <w:rPr>
          <w:color w:val="000000"/>
          <w:szCs w:val="22"/>
          <w:lang w:val="fi-FI"/>
        </w:rPr>
        <w:t xml:space="preserve">). Kroonisen vaiheen </w:t>
      </w:r>
      <w:smartTag w:uri="urn:schemas-microsoft-com:office:smarttags" w:element="State">
        <w:r w:rsidRPr="00912A5D">
          <w:rPr>
            <w:color w:val="000000"/>
            <w:szCs w:val="22"/>
            <w:lang w:val="fi-FI"/>
          </w:rPr>
          <w:t>KML</w:t>
        </w:r>
      </w:smartTag>
      <w:r w:rsidRPr="00912A5D">
        <w:rPr>
          <w:color w:val="000000"/>
          <w:szCs w:val="22"/>
          <w:lang w:val="fi-FI"/>
        </w:rPr>
        <w:t xml:space="preserve">:a ja pitkälle edennyttä </w:t>
      </w:r>
      <w:smartTag w:uri="urn:schemas-microsoft-com:office:smarttags" w:element="State">
        <w:r w:rsidRPr="00912A5D">
          <w:rPr>
            <w:color w:val="000000"/>
            <w:szCs w:val="22"/>
            <w:lang w:val="fi-FI"/>
          </w:rPr>
          <w:t>KML</w:t>
        </w:r>
      </w:smartTag>
      <w:r w:rsidRPr="00912A5D">
        <w:rPr>
          <w:color w:val="000000"/>
          <w:szCs w:val="22"/>
          <w:lang w:val="fi-FI"/>
        </w:rPr>
        <w:t>:a sairastaville lapsille suositellaan annosta 340 mg/m</w:t>
      </w:r>
      <w:r w:rsidRPr="00912A5D">
        <w:rPr>
          <w:color w:val="000000"/>
          <w:szCs w:val="22"/>
          <w:vertAlign w:val="superscript"/>
          <w:lang w:val="fi-FI"/>
        </w:rPr>
        <w:t>2</w:t>
      </w:r>
      <w:r w:rsidRPr="00912A5D">
        <w:rPr>
          <w:color w:val="000000"/>
          <w:szCs w:val="22"/>
          <w:lang w:val="fi-FI"/>
        </w:rPr>
        <w:t xml:space="preserve"> vuorokaudessa (kokonaisannos ei saa olla yli 800 mg). Lääke voidaan antaa kerran vuorokaudessa tai vaihtoehtoisesti vuorokausiannos voidaan jakaa kahteen annostelukertaan – yksi annos aamulla ja yksi illalla. Tämänhetkinen annossuositus perustuu kokemukseen pienellä joukolla lapsipotilaita (ks. kohdat 5.1 ja 5.2). Alle 2-vuotiaiden lasten hoidosta ei ole kokemusta.</w:t>
      </w:r>
    </w:p>
    <w:p w14:paraId="586FBF3D" w14:textId="77777777" w:rsidR="00AE3698" w:rsidRPr="00912A5D" w:rsidRDefault="00AE3698">
      <w:pPr>
        <w:pStyle w:val="EndnoteText"/>
        <w:widowControl w:val="0"/>
        <w:tabs>
          <w:tab w:val="clear" w:pos="567"/>
        </w:tabs>
        <w:rPr>
          <w:color w:val="000000"/>
          <w:szCs w:val="22"/>
          <w:lang w:val="fi-FI"/>
        </w:rPr>
      </w:pPr>
    </w:p>
    <w:p w14:paraId="586FBF3E" w14:textId="77777777" w:rsidR="00AE3698" w:rsidRPr="00912A5D" w:rsidRDefault="00AE3698">
      <w:pPr>
        <w:pStyle w:val="EndnoteText"/>
        <w:widowControl w:val="0"/>
        <w:tabs>
          <w:tab w:val="clear" w:pos="567"/>
        </w:tabs>
        <w:rPr>
          <w:color w:val="000000"/>
          <w:szCs w:val="22"/>
          <w:lang w:val="fi-FI"/>
        </w:rPr>
      </w:pPr>
      <w:r w:rsidRPr="00912A5D">
        <w:rPr>
          <w:color w:val="000000"/>
          <w:lang w:val="fi-FI"/>
        </w:rPr>
        <w:t>Annoksen suurentamista 340 mg/m</w:t>
      </w:r>
      <w:r w:rsidRPr="00912A5D">
        <w:rPr>
          <w:color w:val="000000"/>
          <w:vertAlign w:val="superscript"/>
          <w:lang w:val="fi-FI"/>
        </w:rPr>
        <w:t>2</w:t>
      </w:r>
      <w:r w:rsidRPr="00912A5D">
        <w:rPr>
          <w:color w:val="000000"/>
          <w:lang w:val="fi-FI"/>
        </w:rPr>
        <w:t>:stä vuorokaudessa 570 mg/m</w:t>
      </w:r>
      <w:r w:rsidRPr="00912A5D">
        <w:rPr>
          <w:color w:val="000000"/>
          <w:vertAlign w:val="superscript"/>
          <w:lang w:val="fi-FI"/>
        </w:rPr>
        <w:t>2</w:t>
      </w:r>
      <w:r w:rsidRPr="00912A5D">
        <w:rPr>
          <w:color w:val="000000"/>
          <w:lang w:val="fi-FI"/>
        </w:rPr>
        <w:t xml:space="preserve">:een vuorokaudessa (kokonaisannos ei saa olla yli 800 mg) lapsille voidaan harkita seuraavissa tapauksissa edellyttäen, </w:t>
      </w:r>
      <w:r w:rsidRPr="00912A5D">
        <w:rPr>
          <w:color w:val="000000"/>
          <w:szCs w:val="22"/>
          <w:lang w:val="fi-FI"/>
        </w:rPr>
        <w:t>ettei vaikeita haittavaikutuksia ja vaikeaa leukemiaan liittymätöntä neutropeniaa tai trombosytopeniaa ole esiintynyt: jos tauti etenee (ajankohdasta riippumatta); jos vähintään 3 kuukauden hoito ei ole tuottanut tyydyttävää hematologista vastetta; jos 12 kuukauden hoito ei ole tuottanut sytogenettistä vastetta tai jos aiemmin saavutettu hematologinen ja/tai sytogeneettinen vaste häviää.</w:t>
      </w:r>
      <w:r w:rsidRPr="00912A5D">
        <w:rPr>
          <w:color w:val="000000"/>
          <w:lang w:val="fi-FI"/>
        </w:rPr>
        <w:t xml:space="preserve"> </w:t>
      </w:r>
      <w:r w:rsidRPr="00912A5D">
        <w:rPr>
          <w:color w:val="000000"/>
          <w:szCs w:val="22"/>
          <w:lang w:val="fi-FI"/>
        </w:rPr>
        <w:t>Potilaita on seurattava huolellisesti, kun annosta nostetaan, koska korkeammilla annoksilla voi esiintyä enemmän haittavaikutuksia.</w:t>
      </w:r>
    </w:p>
    <w:p w14:paraId="586FBF3F" w14:textId="77777777" w:rsidR="00AE3698" w:rsidRPr="00912A5D" w:rsidRDefault="00AE3698">
      <w:pPr>
        <w:pStyle w:val="EndnoteText"/>
        <w:widowControl w:val="0"/>
        <w:tabs>
          <w:tab w:val="clear" w:pos="567"/>
        </w:tabs>
        <w:rPr>
          <w:color w:val="000000"/>
          <w:lang w:val="fi-FI"/>
        </w:rPr>
      </w:pPr>
    </w:p>
    <w:p w14:paraId="586FBF40" w14:textId="77777777" w:rsidR="00AE3698" w:rsidRPr="00912A5D" w:rsidRDefault="00AE3698" w:rsidP="00345374">
      <w:pPr>
        <w:pStyle w:val="EndnoteText"/>
        <w:keepNext/>
        <w:widowControl w:val="0"/>
        <w:tabs>
          <w:tab w:val="clear" w:pos="567"/>
        </w:tabs>
        <w:rPr>
          <w:color w:val="000000"/>
          <w:szCs w:val="22"/>
          <w:u w:val="single"/>
          <w:lang w:val="fi-FI"/>
        </w:rPr>
      </w:pPr>
      <w:r w:rsidRPr="00912A5D">
        <w:rPr>
          <w:color w:val="000000"/>
          <w:szCs w:val="22"/>
          <w:u w:val="single"/>
          <w:lang w:val="fi-FI"/>
        </w:rPr>
        <w:t xml:space="preserve">Annostus </w:t>
      </w:r>
      <w:r w:rsidR="00551279">
        <w:rPr>
          <w:color w:val="000000"/>
          <w:szCs w:val="22"/>
          <w:u w:val="single"/>
          <w:lang w:val="fi-FI"/>
        </w:rPr>
        <w:t xml:space="preserve">aikuisille </w:t>
      </w:r>
      <w:r w:rsidRPr="00912A5D">
        <w:rPr>
          <w:color w:val="000000"/>
          <w:szCs w:val="22"/>
          <w:u w:val="single"/>
          <w:lang w:val="fi-FI"/>
        </w:rPr>
        <w:t xml:space="preserve">Philadelphia-kromosomipositiivisessa akuutissa lymfaattisessa leukemiassa (Ph+ </w:t>
      </w:r>
      <w:smartTag w:uri="urn:schemas-microsoft-com:office:smarttags" w:element="State">
        <w:r w:rsidRPr="00912A5D">
          <w:rPr>
            <w:color w:val="000000"/>
            <w:szCs w:val="22"/>
            <w:u w:val="single"/>
            <w:lang w:val="fi-FI"/>
          </w:rPr>
          <w:t>ALL</w:t>
        </w:r>
      </w:smartTag>
      <w:r w:rsidRPr="00912A5D">
        <w:rPr>
          <w:color w:val="000000"/>
          <w:szCs w:val="22"/>
          <w:u w:val="single"/>
          <w:lang w:val="fi-FI"/>
        </w:rPr>
        <w:t>)</w:t>
      </w:r>
    </w:p>
    <w:p w14:paraId="586FBF41" w14:textId="77777777" w:rsidR="00AE3698" w:rsidRPr="00912A5D" w:rsidRDefault="00F52566">
      <w:pPr>
        <w:pStyle w:val="EndnoteText"/>
        <w:widowControl w:val="0"/>
        <w:tabs>
          <w:tab w:val="clear" w:pos="567"/>
        </w:tabs>
        <w:rPr>
          <w:color w:val="000000"/>
          <w:szCs w:val="22"/>
          <w:lang w:val="fi-FI"/>
        </w:rPr>
      </w:pPr>
      <w:r>
        <w:rPr>
          <w:color w:val="000000"/>
          <w:szCs w:val="22"/>
          <w:lang w:val="fi-FI"/>
        </w:rPr>
        <w:t>Aikuisp</w:t>
      </w:r>
      <w:r w:rsidR="00AE3698" w:rsidRPr="00912A5D">
        <w:rPr>
          <w:color w:val="000000"/>
          <w:szCs w:val="22"/>
          <w:lang w:val="fi-FI"/>
        </w:rPr>
        <w:t xml:space="preserve">otilaille, joilla on Ph+ </w:t>
      </w:r>
      <w:smartTag w:uri="urn:schemas-microsoft-com:office:smarttags" w:element="State">
        <w:r w:rsidR="00AE3698" w:rsidRPr="00912A5D">
          <w:rPr>
            <w:color w:val="000000"/>
            <w:szCs w:val="22"/>
            <w:lang w:val="fi-FI"/>
          </w:rPr>
          <w:t>ALL</w:t>
        </w:r>
      </w:smartTag>
      <w:r w:rsidR="00AE3698" w:rsidRPr="00912A5D">
        <w:rPr>
          <w:color w:val="000000"/>
          <w:szCs w:val="22"/>
          <w:lang w:val="fi-FI"/>
        </w:rPr>
        <w:t>, suositeltu Glivec-annos on 600 mg/vrk. Hoidon kaikkien vaiheiden tulee tapahtua kyseisen sairauden hoitoon perehtyneiden hematologian asiantuntijoiden valvonnassa.</w:t>
      </w:r>
    </w:p>
    <w:p w14:paraId="586FBF42" w14:textId="77777777" w:rsidR="00AE3698" w:rsidRPr="00912A5D" w:rsidRDefault="00AE3698">
      <w:pPr>
        <w:pStyle w:val="EndnoteText"/>
        <w:widowControl w:val="0"/>
        <w:tabs>
          <w:tab w:val="clear" w:pos="567"/>
        </w:tabs>
        <w:rPr>
          <w:color w:val="000000"/>
          <w:szCs w:val="22"/>
          <w:lang w:val="fi-FI"/>
        </w:rPr>
      </w:pPr>
    </w:p>
    <w:p w14:paraId="586FBF43" w14:textId="77777777" w:rsidR="00AE3698" w:rsidRPr="00912A5D" w:rsidRDefault="00AE3698">
      <w:pPr>
        <w:rPr>
          <w:rFonts w:ascii="Times New Roman" w:hAnsi="Times New Roman"/>
          <w:sz w:val="22"/>
          <w:szCs w:val="22"/>
        </w:rPr>
      </w:pPr>
      <w:r w:rsidRPr="00912A5D">
        <w:rPr>
          <w:rFonts w:ascii="Times New Roman" w:hAnsi="Times New Roman"/>
          <w:sz w:val="22"/>
          <w:szCs w:val="22"/>
        </w:rPr>
        <w:t>Hoitojen ajoitus: Nykytietojen perusteella Glivec-valmisteen on osoitettu olevan tehokas ja turvallinen, kun sitä käytetään annoksella 600 mg/vrk yhdessä muiden syöpälääkkeiden kanssa kemoterapian induktiovaiheessa, konsolidaatiovaiheessa ja ylläpitovaiheessa (ks. kohta 5.1) aikuispotilailla, joilla on äskettäin todettu Ph+</w:t>
      </w:r>
      <w:smartTag w:uri="urn:schemas-microsoft-com:office:smarttags" w:element="State">
        <w:r w:rsidRPr="00912A5D">
          <w:rPr>
            <w:rFonts w:ascii="Times New Roman" w:hAnsi="Times New Roman"/>
            <w:sz w:val="22"/>
            <w:szCs w:val="22"/>
          </w:rPr>
          <w:t>ALL</w:t>
        </w:r>
      </w:smartTag>
      <w:r w:rsidRPr="00912A5D">
        <w:rPr>
          <w:rFonts w:ascii="Times New Roman" w:hAnsi="Times New Roman"/>
          <w:sz w:val="22"/>
          <w:szCs w:val="22"/>
        </w:rPr>
        <w:t>. Glivec-hoidon kesto voi vaihdella valitun hoito-ohjelman mukaan, mutta pitempiaikainen altistus Glivecille on yleensä tuottanut parempia tuloksia.</w:t>
      </w:r>
    </w:p>
    <w:p w14:paraId="586FBF44" w14:textId="77777777" w:rsidR="00AE3698" w:rsidRPr="00912A5D" w:rsidRDefault="00AE3698">
      <w:pPr>
        <w:rPr>
          <w:rFonts w:ascii="Times New Roman" w:eastAsia="MS Mincho" w:hAnsi="Times New Roman"/>
          <w:sz w:val="22"/>
          <w:szCs w:val="22"/>
        </w:rPr>
      </w:pPr>
    </w:p>
    <w:p w14:paraId="586FBF45" w14:textId="77777777" w:rsidR="00AE3698" w:rsidRPr="00912A5D" w:rsidRDefault="00AE3698">
      <w:pPr>
        <w:rPr>
          <w:rFonts w:ascii="Times New Roman" w:hAnsi="Times New Roman"/>
          <w:sz w:val="22"/>
          <w:szCs w:val="22"/>
        </w:rPr>
      </w:pPr>
      <w:r w:rsidRPr="00912A5D">
        <w:rPr>
          <w:rFonts w:ascii="Times New Roman" w:hAnsi="Times New Roman"/>
          <w:sz w:val="22"/>
          <w:szCs w:val="22"/>
        </w:rPr>
        <w:t>Glivec-monoterapia annoksella 600 mg/vrk on tehokas ja turvallinen hoito aikuispotilaille, joilla on uusiutunut tai vaikeahoitoinen Ph+</w:t>
      </w:r>
      <w:smartTag w:uri="urn:schemas-microsoft-com:office:smarttags" w:element="State">
        <w:r w:rsidRPr="00912A5D">
          <w:rPr>
            <w:rFonts w:ascii="Times New Roman" w:hAnsi="Times New Roman"/>
            <w:sz w:val="22"/>
            <w:szCs w:val="22"/>
          </w:rPr>
          <w:t>ALL</w:t>
        </w:r>
      </w:smartTag>
      <w:r w:rsidRPr="00912A5D">
        <w:rPr>
          <w:rFonts w:ascii="Times New Roman" w:hAnsi="Times New Roman"/>
          <w:sz w:val="22"/>
          <w:szCs w:val="22"/>
        </w:rPr>
        <w:t>, ja hoitoa voidaan jatkaa, kunnes tauti etenee.</w:t>
      </w:r>
    </w:p>
    <w:p w14:paraId="586FBF46" w14:textId="77777777" w:rsidR="00AE3698" w:rsidRDefault="00AE3698">
      <w:pPr>
        <w:rPr>
          <w:rFonts w:ascii="Times New Roman" w:hAnsi="Times New Roman"/>
          <w:sz w:val="22"/>
          <w:szCs w:val="22"/>
        </w:rPr>
      </w:pPr>
    </w:p>
    <w:p w14:paraId="586FBF47" w14:textId="77777777" w:rsidR="00DC6660" w:rsidRPr="00396314" w:rsidRDefault="00DC6660" w:rsidP="00345374">
      <w:pPr>
        <w:keepNext/>
        <w:rPr>
          <w:rFonts w:ascii="Times New Roman" w:eastAsia="MS Mincho" w:hAnsi="Times New Roman"/>
          <w:sz w:val="22"/>
          <w:szCs w:val="22"/>
          <w:u w:val="single"/>
        </w:rPr>
      </w:pPr>
      <w:r w:rsidRPr="00396314">
        <w:rPr>
          <w:rFonts w:ascii="Times New Roman" w:hAnsi="Times New Roman"/>
          <w:sz w:val="22"/>
          <w:szCs w:val="22"/>
          <w:u w:val="single"/>
          <w:lang w:eastAsia="fi-FI"/>
        </w:rPr>
        <w:t>Annostus lapsille Philadelphia-kromosomipositiivisessa akuutissa lymfaattisessa leukemiassa (Ph+ ALL)</w:t>
      </w:r>
    </w:p>
    <w:p w14:paraId="586FBF48" w14:textId="77777777" w:rsidR="00DC6660" w:rsidRPr="00396314" w:rsidRDefault="00DC6660" w:rsidP="00DC6660">
      <w:pPr>
        <w:rPr>
          <w:rFonts w:ascii="Times New Roman" w:hAnsi="Times New Roman"/>
          <w:sz w:val="22"/>
          <w:szCs w:val="22"/>
        </w:rPr>
      </w:pPr>
      <w:r w:rsidRPr="00396314">
        <w:rPr>
          <w:rFonts w:ascii="Times New Roman" w:hAnsi="Times New Roman"/>
          <w:sz w:val="22"/>
          <w:szCs w:val="22"/>
        </w:rPr>
        <w:t>Lasten annostus perustuu kehon pinta-alaan (mg/m</w:t>
      </w:r>
      <w:r w:rsidRPr="00396314">
        <w:rPr>
          <w:rFonts w:ascii="Times New Roman" w:hAnsi="Times New Roman"/>
          <w:sz w:val="22"/>
          <w:szCs w:val="22"/>
          <w:vertAlign w:val="superscript"/>
        </w:rPr>
        <w:t>2</w:t>
      </w:r>
      <w:r w:rsidRPr="00396314">
        <w:rPr>
          <w:rFonts w:ascii="Times New Roman" w:hAnsi="Times New Roman"/>
          <w:sz w:val="22"/>
          <w:szCs w:val="22"/>
        </w:rPr>
        <w:t xml:space="preserve">). Ph+ ALL </w:t>
      </w:r>
      <w:r w:rsidRPr="00396314">
        <w:rPr>
          <w:rFonts w:ascii="Times New Roman" w:hAnsi="Times New Roman"/>
          <w:sz w:val="22"/>
          <w:szCs w:val="22"/>
        </w:rPr>
        <w:noBreakHyphen/>
        <w:t>lapsipotilaille suositeltu annos on 340 mg/m</w:t>
      </w:r>
      <w:r w:rsidRPr="00396314">
        <w:rPr>
          <w:rFonts w:ascii="Times New Roman" w:hAnsi="Times New Roman"/>
          <w:sz w:val="22"/>
          <w:szCs w:val="22"/>
          <w:vertAlign w:val="superscript"/>
        </w:rPr>
        <w:t>2</w:t>
      </w:r>
      <w:r w:rsidRPr="00396314">
        <w:rPr>
          <w:rFonts w:ascii="Times New Roman" w:hAnsi="Times New Roman"/>
          <w:sz w:val="22"/>
          <w:szCs w:val="22"/>
        </w:rPr>
        <w:t>/vrk (600 mg kokonaisannos ei saa ylittyä).</w:t>
      </w:r>
    </w:p>
    <w:p w14:paraId="586FBF49" w14:textId="77777777" w:rsidR="00DC6660" w:rsidRPr="00912A5D" w:rsidRDefault="00DC6660">
      <w:pPr>
        <w:rPr>
          <w:rFonts w:ascii="Times New Roman" w:hAnsi="Times New Roman"/>
          <w:sz w:val="22"/>
          <w:szCs w:val="22"/>
        </w:rPr>
      </w:pPr>
    </w:p>
    <w:p w14:paraId="586FBF4A" w14:textId="77777777" w:rsidR="00AE3698" w:rsidRPr="00912A5D" w:rsidRDefault="00AE3698" w:rsidP="00345374">
      <w:pPr>
        <w:pStyle w:val="EndnoteText"/>
        <w:keepNext/>
        <w:widowControl w:val="0"/>
        <w:tabs>
          <w:tab w:val="clear" w:pos="567"/>
        </w:tabs>
        <w:rPr>
          <w:color w:val="000000"/>
          <w:szCs w:val="22"/>
          <w:u w:val="single"/>
          <w:lang w:val="fi-FI"/>
        </w:rPr>
      </w:pPr>
      <w:r w:rsidRPr="00912A5D">
        <w:rPr>
          <w:color w:val="000000"/>
          <w:szCs w:val="22"/>
          <w:u w:val="single"/>
          <w:lang w:val="fi-FI"/>
        </w:rPr>
        <w:t>Annostus myelodysplastisessa oireyhtymässä tai myeloproliferatiivisissa sairauksissa (</w:t>
      </w:r>
      <w:smartTag w:uri="urn:schemas-microsoft-com:office:smarttags" w:element="State">
        <w:r w:rsidRPr="00912A5D">
          <w:rPr>
            <w:color w:val="000000"/>
            <w:szCs w:val="22"/>
            <w:u w:val="single"/>
            <w:lang w:val="fi-FI"/>
          </w:rPr>
          <w:t>MDS</w:t>
        </w:r>
      </w:smartTag>
      <w:r w:rsidRPr="00912A5D">
        <w:rPr>
          <w:color w:val="000000"/>
          <w:szCs w:val="22"/>
          <w:u w:val="single"/>
          <w:lang w:val="fi-FI"/>
        </w:rPr>
        <w:t>/MPD)</w:t>
      </w:r>
    </w:p>
    <w:p w14:paraId="586FBF4B" w14:textId="77777777" w:rsidR="00AE3698" w:rsidRPr="00912A5D" w:rsidRDefault="00F52566">
      <w:pPr>
        <w:pStyle w:val="EndnoteText"/>
        <w:widowControl w:val="0"/>
        <w:tabs>
          <w:tab w:val="clear" w:pos="567"/>
        </w:tabs>
        <w:rPr>
          <w:color w:val="000000"/>
          <w:szCs w:val="22"/>
          <w:lang w:val="fi-FI"/>
        </w:rPr>
      </w:pPr>
      <w:r>
        <w:rPr>
          <w:color w:val="000000"/>
          <w:szCs w:val="22"/>
          <w:lang w:val="fi-FI"/>
        </w:rPr>
        <w:t>Aikuisp</w:t>
      </w:r>
      <w:r w:rsidR="00AE3698" w:rsidRPr="00912A5D">
        <w:rPr>
          <w:color w:val="000000"/>
          <w:szCs w:val="22"/>
          <w:lang w:val="fi-FI"/>
        </w:rPr>
        <w:t xml:space="preserve">otilaille, joilla on </w:t>
      </w:r>
      <w:smartTag w:uri="urn:schemas-microsoft-com:office:smarttags" w:element="State">
        <w:r w:rsidR="00AE3698" w:rsidRPr="00912A5D">
          <w:rPr>
            <w:color w:val="000000"/>
            <w:szCs w:val="22"/>
            <w:lang w:val="fi-FI"/>
          </w:rPr>
          <w:t>MDS</w:t>
        </w:r>
      </w:smartTag>
      <w:r w:rsidR="00AE3698" w:rsidRPr="00912A5D">
        <w:rPr>
          <w:color w:val="000000"/>
          <w:szCs w:val="22"/>
          <w:lang w:val="fi-FI"/>
        </w:rPr>
        <w:t>/MPD, suositeltu Glivec-annos on 400 mg/vrk.</w:t>
      </w:r>
    </w:p>
    <w:p w14:paraId="586FBF4C" w14:textId="77777777" w:rsidR="00AE3698" w:rsidRPr="00912A5D" w:rsidRDefault="00AE3698">
      <w:pPr>
        <w:pStyle w:val="EndnoteText"/>
        <w:widowControl w:val="0"/>
        <w:tabs>
          <w:tab w:val="clear" w:pos="567"/>
        </w:tabs>
        <w:rPr>
          <w:color w:val="000000"/>
          <w:szCs w:val="22"/>
          <w:lang w:val="fi-FI"/>
        </w:rPr>
      </w:pPr>
    </w:p>
    <w:p w14:paraId="586FBF4D"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Hoidon kesto: Toistaiseksi ainoassa tätä aihetta selvittäneessä kliinisessä tutkimuksessa Glivec-hoitoa jatkettiin taudin etenemiseen asti (ks. kohta 5.1). Hoidon keston keskiarvo oli analyysihetkellä 47 kuukautta (24 päivää – 60 kuukautta).</w:t>
      </w:r>
    </w:p>
    <w:p w14:paraId="586FBF4E" w14:textId="77777777" w:rsidR="00AE3698" w:rsidRPr="00912A5D" w:rsidRDefault="00AE3698">
      <w:pPr>
        <w:pStyle w:val="EndnoteText"/>
        <w:widowControl w:val="0"/>
        <w:tabs>
          <w:tab w:val="clear" w:pos="567"/>
        </w:tabs>
        <w:rPr>
          <w:color w:val="000000"/>
          <w:szCs w:val="22"/>
          <w:lang w:val="fi-FI"/>
        </w:rPr>
      </w:pPr>
    </w:p>
    <w:p w14:paraId="586FBF4F" w14:textId="77777777" w:rsidR="00AE3698" w:rsidRPr="00912A5D" w:rsidRDefault="00AE3698" w:rsidP="00345374">
      <w:pPr>
        <w:pStyle w:val="EndnoteText"/>
        <w:keepNext/>
        <w:widowControl w:val="0"/>
        <w:tabs>
          <w:tab w:val="clear" w:pos="567"/>
        </w:tabs>
        <w:rPr>
          <w:color w:val="000000"/>
          <w:szCs w:val="22"/>
          <w:lang w:val="fi-FI"/>
        </w:rPr>
      </w:pPr>
      <w:r w:rsidRPr="00912A5D">
        <w:rPr>
          <w:color w:val="000000"/>
          <w:szCs w:val="22"/>
          <w:u w:val="single"/>
          <w:lang w:val="fi-FI"/>
        </w:rPr>
        <w:t>Annostus hypereosinofiilisessä oireyhtymässä (HES)/kroonisessa eosinofiilisessä leukemiassa (</w:t>
      </w:r>
      <w:smartTag w:uri="urn:schemas-microsoft-com:office:smarttags" w:element="State">
        <w:r w:rsidRPr="00912A5D">
          <w:rPr>
            <w:color w:val="000000"/>
            <w:szCs w:val="22"/>
            <w:u w:val="single"/>
            <w:lang w:val="fi-FI"/>
          </w:rPr>
          <w:t>CEL</w:t>
        </w:r>
      </w:smartTag>
      <w:r w:rsidRPr="00912A5D">
        <w:rPr>
          <w:color w:val="000000"/>
          <w:szCs w:val="22"/>
          <w:u w:val="single"/>
          <w:lang w:val="fi-FI"/>
        </w:rPr>
        <w:t>)</w:t>
      </w:r>
    </w:p>
    <w:p w14:paraId="586FBF50" w14:textId="77777777" w:rsidR="00AE3698" w:rsidRPr="00912A5D" w:rsidRDefault="00F52566">
      <w:pPr>
        <w:pStyle w:val="EndnoteText"/>
        <w:widowControl w:val="0"/>
        <w:tabs>
          <w:tab w:val="clear" w:pos="567"/>
        </w:tabs>
        <w:rPr>
          <w:color w:val="000000"/>
          <w:szCs w:val="22"/>
          <w:lang w:val="fi-FI"/>
        </w:rPr>
      </w:pPr>
      <w:r>
        <w:rPr>
          <w:color w:val="000000"/>
          <w:szCs w:val="22"/>
          <w:lang w:val="fi-FI"/>
        </w:rPr>
        <w:t>Aikuisp</w:t>
      </w:r>
      <w:r w:rsidR="00AE3698" w:rsidRPr="00912A5D">
        <w:rPr>
          <w:color w:val="000000"/>
          <w:szCs w:val="22"/>
          <w:lang w:val="fi-FI"/>
        </w:rPr>
        <w:t>otilaille, joilla on HES/</w:t>
      </w:r>
      <w:smartTag w:uri="urn:schemas-microsoft-com:office:smarttags" w:element="State">
        <w:r w:rsidR="00AE3698" w:rsidRPr="00912A5D">
          <w:rPr>
            <w:color w:val="000000"/>
            <w:szCs w:val="22"/>
            <w:lang w:val="fi-FI"/>
          </w:rPr>
          <w:t>CEL</w:t>
        </w:r>
      </w:smartTag>
      <w:r w:rsidR="00AE3698" w:rsidRPr="00912A5D">
        <w:rPr>
          <w:color w:val="000000"/>
          <w:szCs w:val="22"/>
          <w:lang w:val="fi-FI"/>
        </w:rPr>
        <w:t>, suositeltu Glivec-annos on 100 mg/vrk.</w:t>
      </w:r>
    </w:p>
    <w:p w14:paraId="586FBF51" w14:textId="77777777" w:rsidR="00AE3698" w:rsidRPr="00912A5D" w:rsidRDefault="00AE3698">
      <w:pPr>
        <w:pStyle w:val="EndnoteText"/>
        <w:widowControl w:val="0"/>
        <w:tabs>
          <w:tab w:val="clear" w:pos="567"/>
        </w:tabs>
        <w:rPr>
          <w:color w:val="000000"/>
          <w:szCs w:val="22"/>
          <w:lang w:val="fi-FI"/>
        </w:rPr>
      </w:pPr>
    </w:p>
    <w:p w14:paraId="586FBF52" w14:textId="77777777" w:rsidR="00AE3698" w:rsidRDefault="00AE3698">
      <w:pPr>
        <w:pStyle w:val="EndnoteText"/>
        <w:widowControl w:val="0"/>
        <w:tabs>
          <w:tab w:val="clear" w:pos="567"/>
        </w:tabs>
        <w:rPr>
          <w:color w:val="000000"/>
          <w:szCs w:val="22"/>
          <w:lang w:val="fi-FI"/>
        </w:rPr>
      </w:pPr>
      <w:r w:rsidRPr="00912A5D">
        <w:rPr>
          <w:color w:val="000000"/>
          <w:szCs w:val="22"/>
          <w:lang w:val="fi-FI"/>
        </w:rPr>
        <w:t>Annoksen suurentamista 100 mg:sta 400 mg:aan voidaan harkita, mikäli hoitovaste ei ole riittävä eikä potilaalle ole kehittynyt haittavaikutuksia.</w:t>
      </w:r>
    </w:p>
    <w:p w14:paraId="586FBF53" w14:textId="77777777" w:rsidR="00D904BE" w:rsidRDefault="00D904BE">
      <w:pPr>
        <w:pStyle w:val="EndnoteText"/>
        <w:widowControl w:val="0"/>
        <w:tabs>
          <w:tab w:val="clear" w:pos="567"/>
        </w:tabs>
        <w:rPr>
          <w:color w:val="000000"/>
          <w:szCs w:val="22"/>
          <w:lang w:val="fi-FI"/>
        </w:rPr>
      </w:pPr>
    </w:p>
    <w:p w14:paraId="586FBF54" w14:textId="77777777" w:rsidR="00D904BE" w:rsidRPr="00912A5D" w:rsidRDefault="00D904BE">
      <w:pPr>
        <w:pStyle w:val="EndnoteText"/>
        <w:widowControl w:val="0"/>
        <w:tabs>
          <w:tab w:val="clear" w:pos="567"/>
        </w:tabs>
        <w:rPr>
          <w:color w:val="000000"/>
          <w:szCs w:val="22"/>
          <w:lang w:val="fi-FI"/>
        </w:rPr>
      </w:pPr>
      <w:r>
        <w:rPr>
          <w:color w:val="000000"/>
          <w:szCs w:val="22"/>
          <w:lang w:val="fi-FI"/>
        </w:rPr>
        <w:t>Hoitoa tulisi jatkaa niin kauan ku</w:t>
      </w:r>
      <w:r w:rsidR="00CB241C">
        <w:rPr>
          <w:color w:val="000000"/>
          <w:szCs w:val="22"/>
          <w:lang w:val="fi-FI"/>
        </w:rPr>
        <w:t>i</w:t>
      </w:r>
      <w:r>
        <w:rPr>
          <w:color w:val="000000"/>
          <w:szCs w:val="22"/>
          <w:lang w:val="fi-FI"/>
        </w:rPr>
        <w:t>n potilas hyötyy siitä.</w:t>
      </w:r>
    </w:p>
    <w:p w14:paraId="586FBF55" w14:textId="77777777" w:rsidR="00AE3698" w:rsidRPr="00912A5D" w:rsidRDefault="00AE3698">
      <w:pPr>
        <w:pStyle w:val="EndnoteText"/>
        <w:widowControl w:val="0"/>
        <w:tabs>
          <w:tab w:val="clear" w:pos="567"/>
        </w:tabs>
        <w:rPr>
          <w:color w:val="000000"/>
          <w:szCs w:val="22"/>
          <w:lang w:val="fi-FI"/>
        </w:rPr>
      </w:pPr>
    </w:p>
    <w:p w14:paraId="586FBF56" w14:textId="77777777" w:rsidR="00A627D5" w:rsidRPr="00912A5D" w:rsidRDefault="00A627D5" w:rsidP="00345374">
      <w:pPr>
        <w:pStyle w:val="EndnoteText"/>
        <w:keepNext/>
        <w:widowControl w:val="0"/>
        <w:tabs>
          <w:tab w:val="clear" w:pos="567"/>
        </w:tabs>
        <w:rPr>
          <w:color w:val="000000"/>
          <w:szCs w:val="22"/>
          <w:u w:val="single"/>
          <w:lang w:val="fi-FI"/>
        </w:rPr>
      </w:pPr>
      <w:r w:rsidRPr="00912A5D">
        <w:rPr>
          <w:color w:val="000000"/>
          <w:szCs w:val="22"/>
          <w:u w:val="single"/>
          <w:lang w:val="fi-FI"/>
        </w:rPr>
        <w:t>Annostus ruuansulatuskanavan stroomakasvaimissa (GIST)</w:t>
      </w:r>
    </w:p>
    <w:p w14:paraId="586FBF57" w14:textId="77777777" w:rsidR="00A627D5" w:rsidRPr="00912A5D" w:rsidRDefault="00F52566" w:rsidP="00A627D5">
      <w:pPr>
        <w:pStyle w:val="EndnoteText"/>
        <w:widowControl w:val="0"/>
        <w:tabs>
          <w:tab w:val="clear" w:pos="567"/>
        </w:tabs>
        <w:rPr>
          <w:color w:val="000000"/>
          <w:szCs w:val="22"/>
          <w:lang w:val="fi-FI"/>
        </w:rPr>
      </w:pPr>
      <w:r>
        <w:rPr>
          <w:color w:val="000000"/>
          <w:szCs w:val="22"/>
          <w:lang w:val="fi-FI"/>
        </w:rPr>
        <w:t>Aikuisp</w:t>
      </w:r>
      <w:r w:rsidR="00A627D5" w:rsidRPr="00912A5D">
        <w:rPr>
          <w:color w:val="000000"/>
          <w:szCs w:val="22"/>
          <w:lang w:val="fi-FI"/>
        </w:rPr>
        <w:t>otilaille, joilla on pahanlaatuinen ruuansulatuskanavan stroomakasvain (GIST), jota ei voida leikata ja/tai joka on metastasoitunut, suositeltu Glivec-annos on 400 mg/vrk.</w:t>
      </w:r>
    </w:p>
    <w:p w14:paraId="586FBF58" w14:textId="77777777" w:rsidR="00A627D5" w:rsidRPr="00912A5D" w:rsidRDefault="00A627D5" w:rsidP="00A627D5">
      <w:pPr>
        <w:pStyle w:val="EndnoteText"/>
        <w:widowControl w:val="0"/>
        <w:tabs>
          <w:tab w:val="clear" w:pos="567"/>
        </w:tabs>
        <w:rPr>
          <w:color w:val="000000"/>
          <w:szCs w:val="22"/>
          <w:lang w:val="fi-FI"/>
        </w:rPr>
      </w:pPr>
    </w:p>
    <w:p w14:paraId="586FBF59" w14:textId="77777777" w:rsidR="00A627D5" w:rsidRPr="00912A5D" w:rsidRDefault="00A627D5" w:rsidP="00A627D5">
      <w:pPr>
        <w:pStyle w:val="EndnoteText"/>
        <w:widowControl w:val="0"/>
        <w:tabs>
          <w:tab w:val="clear" w:pos="567"/>
        </w:tabs>
        <w:rPr>
          <w:color w:val="000000"/>
          <w:szCs w:val="22"/>
          <w:lang w:val="fi-FI"/>
        </w:rPr>
      </w:pPr>
      <w:r w:rsidRPr="00912A5D">
        <w:rPr>
          <w:color w:val="000000"/>
          <w:szCs w:val="22"/>
          <w:lang w:val="fi-FI"/>
        </w:rPr>
        <w:t xml:space="preserve">Annoksen suurentamisen 400 mg:sta 600 mg:aan tai 800 mg:aan vaikutuksesta potilaille, joiden tauti </w:t>
      </w:r>
      <w:r w:rsidRPr="00912A5D">
        <w:rPr>
          <w:color w:val="000000"/>
          <w:szCs w:val="22"/>
          <w:lang w:val="fi-FI"/>
        </w:rPr>
        <w:lastRenderedPageBreak/>
        <w:t>etenee pienemmällä annoksella, on vain vähän tietoa (ks. kohta 5.1).</w:t>
      </w:r>
    </w:p>
    <w:p w14:paraId="586FBF5A" w14:textId="77777777" w:rsidR="00A627D5" w:rsidRPr="00912A5D" w:rsidRDefault="00A627D5" w:rsidP="00A627D5">
      <w:pPr>
        <w:pStyle w:val="EndnoteText"/>
        <w:widowControl w:val="0"/>
        <w:tabs>
          <w:tab w:val="clear" w:pos="567"/>
        </w:tabs>
        <w:rPr>
          <w:color w:val="000000"/>
          <w:szCs w:val="22"/>
          <w:lang w:val="fi-FI"/>
        </w:rPr>
      </w:pPr>
    </w:p>
    <w:p w14:paraId="586FBF5B" w14:textId="77777777" w:rsidR="00A627D5" w:rsidRDefault="00A627D5" w:rsidP="00A627D5">
      <w:pPr>
        <w:pStyle w:val="EndnoteText"/>
        <w:widowControl w:val="0"/>
        <w:tabs>
          <w:tab w:val="clear" w:pos="567"/>
        </w:tabs>
        <w:rPr>
          <w:color w:val="000000"/>
          <w:szCs w:val="22"/>
          <w:lang w:val="fi-FI"/>
        </w:rPr>
      </w:pPr>
      <w:r w:rsidRPr="00912A5D">
        <w:rPr>
          <w:color w:val="000000"/>
          <w:szCs w:val="22"/>
          <w:lang w:val="fi-FI"/>
        </w:rPr>
        <w:t>Hoidon kesto: Kliinisessä GIST-tutkimuksessa Glivec-hoitoa jatkettiin kunnes tauti eteni. Tulosten analysoinnin aikaan hoidon keston mediaani oli 7 kuukautta (7 päivää - 13 kuukautta). Hoidon keskeyttämisen vaikutusta vasteen saavuttamisen jälkeen ei ole tutkittu.</w:t>
      </w:r>
    </w:p>
    <w:p w14:paraId="586FBF5C" w14:textId="77777777" w:rsidR="00A627D5" w:rsidRDefault="00A627D5" w:rsidP="00A627D5">
      <w:pPr>
        <w:pStyle w:val="EndnoteText"/>
        <w:widowControl w:val="0"/>
        <w:tabs>
          <w:tab w:val="clear" w:pos="567"/>
        </w:tabs>
        <w:rPr>
          <w:color w:val="000000"/>
          <w:szCs w:val="22"/>
          <w:lang w:val="fi-FI"/>
        </w:rPr>
      </w:pPr>
    </w:p>
    <w:p w14:paraId="586FBF5D" w14:textId="77777777" w:rsidR="00A627D5" w:rsidRPr="00EF208C" w:rsidRDefault="00A627D5" w:rsidP="00A627D5">
      <w:pPr>
        <w:pStyle w:val="EndnoteText"/>
        <w:widowControl w:val="0"/>
        <w:tabs>
          <w:tab w:val="clear" w:pos="567"/>
        </w:tabs>
        <w:rPr>
          <w:color w:val="000000"/>
          <w:szCs w:val="22"/>
          <w:lang w:val="fi-FI"/>
        </w:rPr>
      </w:pPr>
      <w:r>
        <w:rPr>
          <w:szCs w:val="22"/>
          <w:lang w:val="fi-FI"/>
        </w:rPr>
        <w:t xml:space="preserve">Aikuispotilaille, </w:t>
      </w:r>
      <w:r w:rsidRPr="00523475">
        <w:rPr>
          <w:szCs w:val="22"/>
          <w:lang w:val="fi-FI"/>
        </w:rPr>
        <w:t>GIST:in resektion jälkeiseen liitännäishoitoon</w:t>
      </w:r>
      <w:r>
        <w:rPr>
          <w:szCs w:val="22"/>
          <w:lang w:val="fi-FI"/>
        </w:rPr>
        <w:t>,</w:t>
      </w:r>
      <w:r w:rsidRPr="00523475">
        <w:rPr>
          <w:szCs w:val="22"/>
          <w:lang w:val="fi-FI"/>
        </w:rPr>
        <w:t xml:space="preserve"> </w:t>
      </w:r>
      <w:r>
        <w:rPr>
          <w:szCs w:val="22"/>
          <w:lang w:val="fi-FI"/>
        </w:rPr>
        <w:t xml:space="preserve">suositeltu Glivec-annos on 400 mg </w:t>
      </w:r>
      <w:r w:rsidRPr="00F2758D">
        <w:rPr>
          <w:szCs w:val="22"/>
          <w:lang w:val="fi-FI"/>
        </w:rPr>
        <w:t>päivässä.</w:t>
      </w:r>
      <w:r w:rsidR="00181A48" w:rsidRPr="00F2758D">
        <w:rPr>
          <w:szCs w:val="22"/>
          <w:lang w:val="fi-FI"/>
        </w:rPr>
        <w:t xml:space="preserve"> Optimaalinen hoitoaika ei ole vielä vakiintunut.</w:t>
      </w:r>
      <w:r w:rsidR="008778F7" w:rsidRPr="00F2758D">
        <w:rPr>
          <w:szCs w:val="22"/>
          <w:lang w:val="fi-FI"/>
        </w:rPr>
        <w:t xml:space="preserve"> Tämän indikaation tueksi tehdyssä kliinisessä tutkimuksessa h</w:t>
      </w:r>
      <w:r w:rsidR="00E31202" w:rsidRPr="00F2758D">
        <w:rPr>
          <w:szCs w:val="22"/>
          <w:lang w:val="fi-FI"/>
        </w:rPr>
        <w:t xml:space="preserve">oitoaika oli </w:t>
      </w:r>
      <w:r w:rsidR="00CE4AA9">
        <w:rPr>
          <w:szCs w:val="22"/>
          <w:lang w:val="fi-FI"/>
        </w:rPr>
        <w:t>36</w:t>
      </w:r>
      <w:r w:rsidR="00FE75BF">
        <w:rPr>
          <w:szCs w:val="22"/>
          <w:lang w:val="fi-FI"/>
        </w:rPr>
        <w:t> </w:t>
      </w:r>
      <w:r w:rsidR="00E31202" w:rsidRPr="00F2758D">
        <w:rPr>
          <w:szCs w:val="22"/>
          <w:lang w:val="fi-FI"/>
        </w:rPr>
        <w:t>kuukautta</w:t>
      </w:r>
      <w:r w:rsidR="00CE4AA9">
        <w:rPr>
          <w:szCs w:val="22"/>
          <w:lang w:val="fi-FI"/>
        </w:rPr>
        <w:t xml:space="preserve"> </w:t>
      </w:r>
      <w:r w:rsidR="00CE4AA9" w:rsidRPr="00912A5D">
        <w:rPr>
          <w:color w:val="000000"/>
          <w:szCs w:val="22"/>
          <w:lang w:val="fi-FI"/>
        </w:rPr>
        <w:t>(ks. kohta 5.1)</w:t>
      </w:r>
      <w:r w:rsidR="00E31202" w:rsidRPr="00F2758D">
        <w:rPr>
          <w:szCs w:val="22"/>
          <w:lang w:val="fi-FI"/>
        </w:rPr>
        <w:t>.</w:t>
      </w:r>
    </w:p>
    <w:p w14:paraId="586FBF5E" w14:textId="77777777" w:rsidR="00A627D5" w:rsidRPr="00912A5D" w:rsidRDefault="00A627D5" w:rsidP="00A627D5">
      <w:pPr>
        <w:pStyle w:val="EndnoteText"/>
        <w:widowControl w:val="0"/>
        <w:tabs>
          <w:tab w:val="clear" w:pos="567"/>
        </w:tabs>
        <w:rPr>
          <w:color w:val="000000"/>
          <w:szCs w:val="22"/>
          <w:u w:val="single"/>
          <w:lang w:val="fi-FI"/>
        </w:rPr>
      </w:pPr>
    </w:p>
    <w:p w14:paraId="586FBF5F" w14:textId="77777777" w:rsidR="00AE3698" w:rsidRPr="00912A5D" w:rsidRDefault="00AE3698" w:rsidP="00345374">
      <w:pPr>
        <w:pStyle w:val="EndnoteText"/>
        <w:keepNext/>
        <w:widowControl w:val="0"/>
        <w:tabs>
          <w:tab w:val="clear" w:pos="567"/>
        </w:tabs>
        <w:rPr>
          <w:color w:val="000000"/>
          <w:szCs w:val="22"/>
          <w:u w:val="single"/>
          <w:lang w:val="fi-FI"/>
        </w:rPr>
      </w:pPr>
      <w:r w:rsidRPr="00912A5D">
        <w:rPr>
          <w:color w:val="000000"/>
          <w:szCs w:val="22"/>
          <w:u w:val="single"/>
          <w:lang w:val="fi-FI"/>
        </w:rPr>
        <w:t>Annostus dermatofibrosarcoma protuberansissa (DFSP)</w:t>
      </w:r>
    </w:p>
    <w:p w14:paraId="586FBF60" w14:textId="77777777" w:rsidR="00AE3698" w:rsidRPr="00912A5D" w:rsidRDefault="00EA0E7F">
      <w:pPr>
        <w:pStyle w:val="EndnoteText"/>
        <w:widowControl w:val="0"/>
        <w:tabs>
          <w:tab w:val="clear" w:pos="567"/>
        </w:tabs>
        <w:rPr>
          <w:color w:val="000000"/>
          <w:szCs w:val="22"/>
          <w:lang w:val="fi-FI"/>
        </w:rPr>
      </w:pPr>
      <w:r>
        <w:rPr>
          <w:color w:val="000000"/>
          <w:szCs w:val="22"/>
          <w:lang w:val="fi-FI"/>
        </w:rPr>
        <w:t>Aikuisp</w:t>
      </w:r>
      <w:r w:rsidR="00AE3698" w:rsidRPr="00912A5D">
        <w:rPr>
          <w:color w:val="000000"/>
          <w:szCs w:val="22"/>
          <w:lang w:val="fi-FI"/>
        </w:rPr>
        <w:t>otilaille, joilla on DFSP, suositeltu Glivec-annos on 800 mg/vrk.</w:t>
      </w:r>
    </w:p>
    <w:p w14:paraId="586FBF61" w14:textId="77777777" w:rsidR="00AE3698" w:rsidRPr="00912A5D" w:rsidRDefault="00AE3698">
      <w:pPr>
        <w:pStyle w:val="EndnoteText"/>
        <w:widowControl w:val="0"/>
        <w:tabs>
          <w:tab w:val="clear" w:pos="567"/>
        </w:tabs>
        <w:rPr>
          <w:color w:val="000000"/>
          <w:szCs w:val="22"/>
          <w:lang w:val="fi-FI"/>
        </w:rPr>
      </w:pPr>
    </w:p>
    <w:p w14:paraId="586FBF62" w14:textId="77777777" w:rsidR="00AE3698" w:rsidRPr="00912A5D" w:rsidRDefault="00AE3698" w:rsidP="00345374">
      <w:pPr>
        <w:pStyle w:val="EndnoteText"/>
        <w:keepNext/>
        <w:widowControl w:val="0"/>
        <w:tabs>
          <w:tab w:val="clear" w:pos="567"/>
        </w:tabs>
        <w:rPr>
          <w:i/>
          <w:color w:val="000000"/>
          <w:szCs w:val="22"/>
          <w:lang w:val="fi-FI"/>
        </w:rPr>
      </w:pPr>
      <w:r w:rsidRPr="00912A5D">
        <w:rPr>
          <w:color w:val="000000"/>
          <w:szCs w:val="22"/>
          <w:u w:val="single"/>
          <w:lang w:val="fi-FI"/>
        </w:rPr>
        <w:t>Annoksen muuttaminen haittavaikutusten vuoksi</w:t>
      </w:r>
    </w:p>
    <w:p w14:paraId="586FBF63" w14:textId="77777777" w:rsidR="00AE3698" w:rsidRPr="00912A5D" w:rsidRDefault="00AE3698" w:rsidP="00345374">
      <w:pPr>
        <w:pStyle w:val="EndnoteText"/>
        <w:keepNext/>
        <w:widowControl w:val="0"/>
        <w:tabs>
          <w:tab w:val="clear" w:pos="567"/>
        </w:tabs>
        <w:rPr>
          <w:i/>
          <w:color w:val="000000"/>
          <w:szCs w:val="22"/>
          <w:lang w:val="fi-FI"/>
        </w:rPr>
      </w:pPr>
      <w:r w:rsidRPr="00912A5D">
        <w:rPr>
          <w:i/>
          <w:color w:val="000000"/>
          <w:szCs w:val="22"/>
          <w:lang w:val="fi-FI"/>
        </w:rPr>
        <w:t>Muut kuin hematologiset haittavaikutukset</w:t>
      </w:r>
    </w:p>
    <w:p w14:paraId="586FBF64"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Jos Glivecin käytön yhteydessä ilmenee muu kuin hematologinen haittavaikutus, hoito on keskeytettävä, kunnes tilanne on normalisoitunut. Sen jälkeen hoito voidaan aloittaa uudelleen, kun se on tarkoituksenmukaista haittavaikutuksen vakavuuteen nähden.</w:t>
      </w:r>
    </w:p>
    <w:p w14:paraId="586FBF65" w14:textId="77777777" w:rsidR="00AE3698" w:rsidRPr="00912A5D" w:rsidRDefault="00AE3698">
      <w:pPr>
        <w:pStyle w:val="EndnoteText"/>
        <w:widowControl w:val="0"/>
        <w:tabs>
          <w:tab w:val="clear" w:pos="567"/>
        </w:tabs>
        <w:rPr>
          <w:color w:val="000000"/>
          <w:szCs w:val="22"/>
          <w:lang w:val="fi-FI"/>
        </w:rPr>
      </w:pPr>
    </w:p>
    <w:p w14:paraId="586FBF66"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Mikäli bilirubiini nousee &gt; 3 x viitearvon normaalin ylärajan tai mikäli transaminaasit nousevat &gt; 5 x yli viitearvon normaalin ylärajan, Glivec-hoito tulisi keskeyttää, kunnes bilirubiinitaso on laskenut &lt; 1,5 x viitearvon ylärajan ja transaminaasitasot laskeneet &lt; 2,5 x viitearvon ylärajan. Glivec-hoitoa voidaan tämän jälkeen jatkaa alennetuilla vuorokausiannoksilla. Aikuisilla annosta tulee pienentää 400 mg:sta 300 mg:aan tai 600 mg:sta 400 mg:aan tai 800 mg:sta 600 mg:aan vuorokaudessa, ja lapsilla 340 mg:sta 260 mg:aan per m</w:t>
      </w:r>
      <w:r w:rsidRPr="00912A5D">
        <w:rPr>
          <w:color w:val="000000"/>
          <w:szCs w:val="22"/>
          <w:vertAlign w:val="superscript"/>
          <w:lang w:val="fi-FI"/>
        </w:rPr>
        <w:t>2</w:t>
      </w:r>
      <w:r w:rsidRPr="00912A5D">
        <w:rPr>
          <w:color w:val="000000"/>
          <w:szCs w:val="22"/>
          <w:lang w:val="fi-FI"/>
        </w:rPr>
        <w:t>/vrk.</w:t>
      </w:r>
    </w:p>
    <w:p w14:paraId="586FBF67" w14:textId="77777777" w:rsidR="00AE3698" w:rsidRPr="00912A5D" w:rsidRDefault="00AE3698">
      <w:pPr>
        <w:pStyle w:val="EndnoteText"/>
        <w:widowControl w:val="0"/>
        <w:tabs>
          <w:tab w:val="clear" w:pos="567"/>
        </w:tabs>
        <w:rPr>
          <w:color w:val="000000"/>
          <w:szCs w:val="22"/>
          <w:lang w:val="fi-FI"/>
        </w:rPr>
      </w:pPr>
    </w:p>
    <w:p w14:paraId="586FBF68" w14:textId="77777777" w:rsidR="00AE3698" w:rsidRPr="00912A5D" w:rsidRDefault="00AE3698" w:rsidP="00345374">
      <w:pPr>
        <w:pStyle w:val="EndnoteText"/>
        <w:keepNext/>
        <w:widowControl w:val="0"/>
        <w:tabs>
          <w:tab w:val="clear" w:pos="567"/>
        </w:tabs>
        <w:rPr>
          <w:i/>
          <w:color w:val="000000"/>
          <w:szCs w:val="22"/>
          <w:lang w:val="fi-FI"/>
        </w:rPr>
      </w:pPr>
      <w:r w:rsidRPr="00912A5D">
        <w:rPr>
          <w:i/>
          <w:color w:val="000000"/>
          <w:szCs w:val="22"/>
          <w:lang w:val="fi-FI"/>
        </w:rPr>
        <w:t>Hematologiset haittavaikutukset</w:t>
      </w:r>
    </w:p>
    <w:p w14:paraId="586FBF69"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Annoksen pienentämistä tai hoidon keskeyttämistä vaikean neutropenian ja trombosytopenian vuoksi suositellaan oheisen taulukon mukaisesti.</w:t>
      </w:r>
    </w:p>
    <w:p w14:paraId="586FBF6A" w14:textId="77777777" w:rsidR="00AE3698" w:rsidRPr="00912A5D" w:rsidRDefault="00AE3698">
      <w:pPr>
        <w:pStyle w:val="EndnoteText"/>
        <w:widowControl w:val="0"/>
        <w:tabs>
          <w:tab w:val="clear" w:pos="567"/>
        </w:tabs>
        <w:rPr>
          <w:color w:val="000000"/>
          <w:szCs w:val="22"/>
          <w:lang w:val="fi-FI"/>
        </w:rPr>
      </w:pPr>
    </w:p>
    <w:p w14:paraId="586FBF6B" w14:textId="77777777" w:rsidR="00AE3698" w:rsidRPr="00912A5D" w:rsidRDefault="00AE3698" w:rsidP="00345374">
      <w:pPr>
        <w:pStyle w:val="EndnoteText"/>
        <w:keepNext/>
        <w:widowControl w:val="0"/>
        <w:tabs>
          <w:tab w:val="clear" w:pos="567"/>
        </w:tabs>
        <w:rPr>
          <w:color w:val="000000"/>
          <w:szCs w:val="22"/>
          <w:lang w:val="fi-FI"/>
        </w:rPr>
      </w:pPr>
      <w:r w:rsidRPr="00912A5D">
        <w:rPr>
          <w:color w:val="000000"/>
          <w:szCs w:val="22"/>
          <w:lang w:val="fi-FI"/>
        </w:rPr>
        <w:t>Annoksen muuttaminen neutropenian ja trombosytopenian vuoksi:</w:t>
      </w:r>
    </w:p>
    <w:p w14:paraId="586FBF6C" w14:textId="77777777" w:rsidR="00AE3698" w:rsidRPr="00912A5D" w:rsidRDefault="00AE3698" w:rsidP="00345374">
      <w:pPr>
        <w:pStyle w:val="EndnoteText"/>
        <w:keepNext/>
        <w:widowControl w:val="0"/>
        <w:tabs>
          <w:tab w:val="clear" w:pos="567"/>
        </w:tabs>
        <w:rPr>
          <w:color w:val="000000"/>
          <w:szCs w:val="22"/>
          <w:lang w:val="fi-F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2400"/>
        <w:gridCol w:w="4404"/>
      </w:tblGrid>
      <w:tr w:rsidR="00AE3698" w:rsidRPr="00912A5D" w14:paraId="586FBF73" w14:textId="77777777" w:rsidTr="00345374">
        <w:trPr>
          <w:cantSplit/>
        </w:trPr>
        <w:tc>
          <w:tcPr>
            <w:tcW w:w="2376" w:type="dxa"/>
          </w:tcPr>
          <w:p w14:paraId="586FBF6D"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HES/</w:t>
            </w:r>
            <w:smartTag w:uri="urn:schemas-microsoft-com:office:smarttags" w:element="State">
              <w:r w:rsidRPr="00912A5D">
                <w:rPr>
                  <w:color w:val="000000"/>
                  <w:szCs w:val="22"/>
                  <w:lang w:val="fi-FI"/>
                </w:rPr>
                <w:t>CEL</w:t>
              </w:r>
            </w:smartTag>
            <w:r w:rsidRPr="00912A5D">
              <w:rPr>
                <w:color w:val="000000"/>
                <w:szCs w:val="22"/>
                <w:lang w:val="fi-FI"/>
              </w:rPr>
              <w:t xml:space="preserve"> (aloitusannos 100 mg)</w:t>
            </w:r>
          </w:p>
        </w:tc>
        <w:tc>
          <w:tcPr>
            <w:tcW w:w="2400" w:type="dxa"/>
          </w:tcPr>
          <w:p w14:paraId="586FBF6E"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ANC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BF6F"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BF70"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trombosyyttiarvo &lt; 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tc>
        <w:tc>
          <w:tcPr>
            <w:tcW w:w="4404" w:type="dxa"/>
          </w:tcPr>
          <w:p w14:paraId="586FBF71" w14:textId="77777777" w:rsidR="00AE3698" w:rsidRPr="00912A5D" w:rsidRDefault="00AC5087" w:rsidP="00AC5087">
            <w:pPr>
              <w:pStyle w:val="EndnoteText"/>
              <w:widowControl w:val="0"/>
              <w:tabs>
                <w:tab w:val="clear" w:pos="567"/>
              </w:tabs>
              <w:ind w:left="558" w:hanging="558"/>
              <w:rPr>
                <w:color w:val="000000"/>
                <w:szCs w:val="22"/>
                <w:lang w:val="fi-FI"/>
              </w:rPr>
            </w:pPr>
            <w:r>
              <w:rPr>
                <w:color w:val="000000"/>
                <w:lang w:val="fi-FI"/>
              </w:rPr>
              <w:t>1.</w:t>
            </w:r>
            <w:r>
              <w:rPr>
                <w:color w:val="000000"/>
                <w:lang w:val="fi-FI"/>
              </w:rPr>
              <w:tab/>
            </w:r>
            <w:r w:rsidR="00AE3698" w:rsidRPr="00912A5D">
              <w:rPr>
                <w:color w:val="000000"/>
                <w:lang w:val="fi-FI"/>
              </w:rPr>
              <w:t xml:space="preserve">Glivec-hoito lopetetaan, kunnes ANC on </w:t>
            </w:r>
            <w:r w:rsidR="00AE3698" w:rsidRPr="00912A5D">
              <w:rPr>
                <w:color w:val="000000"/>
              </w:rPr>
              <w:sym w:font="Symbol" w:char="F0B3"/>
            </w:r>
            <w:r w:rsidR="00AE3698" w:rsidRPr="00912A5D">
              <w:rPr>
                <w:color w:val="000000"/>
                <w:lang w:val="fi-FI"/>
              </w:rPr>
              <w:t> 1,5 x 10</w:t>
            </w:r>
            <w:r w:rsidR="00AE3698" w:rsidRPr="00912A5D">
              <w:rPr>
                <w:color w:val="000000"/>
                <w:vertAlign w:val="superscript"/>
                <w:lang w:val="fi-FI"/>
              </w:rPr>
              <w:t>9</w:t>
            </w:r>
            <w:r w:rsidR="00AE3698" w:rsidRPr="00912A5D">
              <w:rPr>
                <w:color w:val="000000"/>
                <w:lang w:val="fi-FI"/>
              </w:rPr>
              <w:t xml:space="preserve">/l ja trombosyyttiarvo </w:t>
            </w:r>
            <w:r w:rsidR="00AE3698" w:rsidRPr="00912A5D">
              <w:rPr>
                <w:color w:val="000000"/>
              </w:rPr>
              <w:sym w:font="Symbol" w:char="F0B3"/>
            </w:r>
            <w:r w:rsidR="00AE3698" w:rsidRPr="00912A5D">
              <w:rPr>
                <w:color w:val="000000"/>
                <w:lang w:val="fi-FI"/>
              </w:rPr>
              <w:t> 75 x 10</w:t>
            </w:r>
            <w:r w:rsidR="00AE3698" w:rsidRPr="00912A5D">
              <w:rPr>
                <w:color w:val="000000"/>
                <w:vertAlign w:val="superscript"/>
                <w:lang w:val="fi-FI"/>
              </w:rPr>
              <w:t>9</w:t>
            </w:r>
            <w:r w:rsidR="00AE3698" w:rsidRPr="00912A5D">
              <w:rPr>
                <w:color w:val="000000"/>
                <w:lang w:val="fi-FI"/>
              </w:rPr>
              <w:t>/l.</w:t>
            </w:r>
          </w:p>
          <w:p w14:paraId="586FBF72" w14:textId="77777777" w:rsidR="00AE3698" w:rsidRPr="00912A5D" w:rsidRDefault="00AC5087" w:rsidP="00AC5087">
            <w:pPr>
              <w:pStyle w:val="EndnoteText"/>
              <w:widowControl w:val="0"/>
              <w:tabs>
                <w:tab w:val="clear" w:pos="567"/>
              </w:tabs>
              <w:ind w:left="558" w:hanging="558"/>
              <w:rPr>
                <w:color w:val="000000"/>
                <w:szCs w:val="22"/>
                <w:lang w:val="fi-FI"/>
              </w:rPr>
            </w:pPr>
            <w:r>
              <w:rPr>
                <w:color w:val="000000"/>
                <w:lang w:val="fi-FI"/>
              </w:rPr>
              <w:t>2.</w:t>
            </w:r>
            <w:r>
              <w:rPr>
                <w:color w:val="000000"/>
                <w:lang w:val="fi-FI"/>
              </w:rPr>
              <w:tab/>
            </w:r>
            <w:r w:rsidR="00AE3698" w:rsidRPr="00912A5D">
              <w:rPr>
                <w:color w:val="000000"/>
                <w:lang w:val="fi-FI"/>
              </w:rPr>
              <w:t>Hoito aloitetaan uudelleen Glivec-valmisteella aikaisemmalla annoksella (jota käytettiin ennen vakavaa haittavaikutusta).</w:t>
            </w:r>
          </w:p>
        </w:tc>
      </w:tr>
      <w:tr w:rsidR="00AE3698" w:rsidRPr="00912A5D" w14:paraId="586FBF7C" w14:textId="77777777" w:rsidTr="00345374">
        <w:trPr>
          <w:cantSplit/>
        </w:trPr>
        <w:tc>
          <w:tcPr>
            <w:tcW w:w="2376" w:type="dxa"/>
          </w:tcPr>
          <w:p w14:paraId="586FBF74"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Kroonisen myelooisen leukemian krooninen vaihe, </w:t>
            </w:r>
            <w:smartTag w:uri="urn:schemas-microsoft-com:office:smarttags" w:element="State">
              <w:r w:rsidRPr="00912A5D">
                <w:rPr>
                  <w:color w:val="000000"/>
                  <w:szCs w:val="22"/>
                  <w:lang w:val="fi-FI"/>
                </w:rPr>
                <w:t>MDS</w:t>
              </w:r>
            </w:smartTag>
            <w:r w:rsidRPr="00912A5D">
              <w:rPr>
                <w:color w:val="000000"/>
                <w:szCs w:val="22"/>
                <w:lang w:val="fi-FI"/>
              </w:rPr>
              <w:t>/MPD ja GIST (aloitusannos 400 mg)</w:t>
            </w:r>
          </w:p>
          <w:p w14:paraId="586FBF75"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HES/</w:t>
            </w:r>
            <w:smartTag w:uri="urn:schemas-microsoft-com:office:smarttags" w:element="State">
              <w:r w:rsidRPr="00912A5D">
                <w:rPr>
                  <w:color w:val="000000"/>
                  <w:szCs w:val="22"/>
                  <w:lang w:val="fi-FI"/>
                </w:rPr>
                <w:t>CEL</w:t>
              </w:r>
            </w:smartTag>
            <w:r w:rsidRPr="00912A5D">
              <w:rPr>
                <w:color w:val="000000"/>
                <w:szCs w:val="22"/>
                <w:lang w:val="fi-FI"/>
              </w:rPr>
              <w:t xml:space="preserve"> (annos 400 mg)</w:t>
            </w:r>
          </w:p>
        </w:tc>
        <w:tc>
          <w:tcPr>
            <w:tcW w:w="2400" w:type="dxa"/>
          </w:tcPr>
          <w:p w14:paraId="586FBF76"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ANC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BF77"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BF78"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trombosyyttiarvo &lt; 50 x 10</w:t>
            </w:r>
            <w:r w:rsidRPr="00912A5D">
              <w:rPr>
                <w:color w:val="000000"/>
                <w:szCs w:val="22"/>
                <w:vertAlign w:val="superscript"/>
                <w:lang w:val="fi-FI"/>
              </w:rPr>
              <w:t>9</w:t>
            </w:r>
            <w:r w:rsidRPr="00912A5D">
              <w:rPr>
                <w:color w:val="000000"/>
                <w:szCs w:val="22"/>
                <w:lang w:val="fi-FI"/>
              </w:rPr>
              <w:t>/l</w:t>
            </w:r>
          </w:p>
        </w:tc>
        <w:tc>
          <w:tcPr>
            <w:tcW w:w="4404" w:type="dxa"/>
          </w:tcPr>
          <w:p w14:paraId="586FBF79" w14:textId="77777777" w:rsidR="00AE3698" w:rsidRPr="00912A5D" w:rsidRDefault="00AC5087" w:rsidP="00AC5087">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 xml:space="preserve">Glivec-hoito lopetetaan, kunnes ANC on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1,5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 xml:space="preserve">/l ja trombosyyttiarvo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75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w:t>
            </w:r>
          </w:p>
          <w:p w14:paraId="586FBF7A" w14:textId="77777777" w:rsidR="00AE3698" w:rsidRPr="00912A5D" w:rsidRDefault="00AC5087" w:rsidP="00AC5087">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Hoito aloitetaan uudelleen Glivec-valmisteella aikaisemmalla annoksella (jota käytettiin ennen vakavaa haittavaikutusta).</w:t>
            </w:r>
          </w:p>
          <w:p w14:paraId="586FBF7B" w14:textId="77777777" w:rsidR="00AE3698" w:rsidRPr="00912A5D" w:rsidRDefault="00AC5087" w:rsidP="00AC5087">
            <w:pPr>
              <w:pStyle w:val="EndnoteText"/>
              <w:widowControl w:val="0"/>
              <w:tabs>
                <w:tab w:val="clear" w:pos="567"/>
              </w:tabs>
              <w:ind w:left="558" w:hanging="558"/>
              <w:rPr>
                <w:color w:val="000000"/>
                <w:szCs w:val="22"/>
                <w:lang w:val="fi-FI"/>
              </w:rPr>
            </w:pPr>
            <w:r>
              <w:rPr>
                <w:color w:val="000000"/>
                <w:szCs w:val="22"/>
                <w:lang w:val="fi-FI"/>
              </w:rPr>
              <w:t>3.</w:t>
            </w:r>
            <w:r>
              <w:rPr>
                <w:color w:val="000000"/>
                <w:szCs w:val="22"/>
                <w:lang w:val="fi-FI"/>
              </w:rPr>
              <w:tab/>
            </w:r>
            <w:r w:rsidR="00AE3698" w:rsidRPr="00912A5D">
              <w:rPr>
                <w:color w:val="000000"/>
                <w:szCs w:val="22"/>
                <w:lang w:val="fi-FI"/>
              </w:rPr>
              <w:t>Jos ANC palaa tasolle &lt; 1,0 x 10</w:t>
            </w:r>
            <w:r w:rsidR="00AE3698" w:rsidRPr="00912A5D">
              <w:rPr>
                <w:color w:val="000000"/>
                <w:szCs w:val="22"/>
                <w:vertAlign w:val="superscript"/>
                <w:lang w:val="fi-FI"/>
              </w:rPr>
              <w:t>9</w:t>
            </w:r>
            <w:r w:rsidR="00AE3698" w:rsidRPr="00912A5D">
              <w:rPr>
                <w:color w:val="000000"/>
                <w:szCs w:val="22"/>
                <w:lang w:val="fi-FI"/>
              </w:rPr>
              <w:t>/l ja/tai trombosyyttiarvo tasolle &lt; 50 x 10</w:t>
            </w:r>
            <w:r w:rsidR="00AE3698" w:rsidRPr="00912A5D">
              <w:rPr>
                <w:color w:val="000000"/>
                <w:szCs w:val="22"/>
                <w:vertAlign w:val="superscript"/>
                <w:lang w:val="fi-FI"/>
              </w:rPr>
              <w:t>9</w:t>
            </w:r>
            <w:r w:rsidR="00AE3698" w:rsidRPr="00912A5D">
              <w:rPr>
                <w:color w:val="000000"/>
                <w:szCs w:val="22"/>
                <w:lang w:val="fi-FI"/>
              </w:rPr>
              <w:t>/l, toistetaan vaihe 1 ja aloitetaan Glivec-hoito uudelleen pienennetyllä 300 mg annoksella.</w:t>
            </w:r>
          </w:p>
        </w:tc>
      </w:tr>
      <w:tr w:rsidR="00AE3698" w:rsidRPr="00912A5D" w14:paraId="586FBF84" w14:textId="77777777" w:rsidTr="00345374">
        <w:trPr>
          <w:cantSplit/>
        </w:trPr>
        <w:tc>
          <w:tcPr>
            <w:tcW w:w="2376" w:type="dxa"/>
          </w:tcPr>
          <w:p w14:paraId="586FBF7D"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lastRenderedPageBreak/>
              <w:t>Lasten kroonisen myelooisen leukemian krooninen vaihe (annos 340 mg/m</w:t>
            </w:r>
            <w:r w:rsidRPr="00912A5D">
              <w:rPr>
                <w:color w:val="000000"/>
                <w:szCs w:val="22"/>
                <w:vertAlign w:val="superscript"/>
                <w:lang w:val="fi-FI"/>
              </w:rPr>
              <w:t>2</w:t>
            </w:r>
            <w:r w:rsidRPr="00912A5D">
              <w:rPr>
                <w:color w:val="000000"/>
                <w:szCs w:val="22"/>
                <w:lang w:val="fi-FI"/>
              </w:rPr>
              <w:t>)</w:t>
            </w:r>
          </w:p>
        </w:tc>
        <w:tc>
          <w:tcPr>
            <w:tcW w:w="2400" w:type="dxa"/>
          </w:tcPr>
          <w:p w14:paraId="586FBF7E"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ANC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BF7F"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BF80"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trombosyyttiarvo &lt; 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tc>
        <w:tc>
          <w:tcPr>
            <w:tcW w:w="4404" w:type="dxa"/>
          </w:tcPr>
          <w:p w14:paraId="586FBF81" w14:textId="77777777" w:rsidR="00AE3698" w:rsidRPr="00912A5D" w:rsidRDefault="00AC5087" w:rsidP="00AC5087">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 xml:space="preserve">Glivec-hoito lopetetaan, kunnes ANC on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1,5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 xml:space="preserve">/l ja trombosyyttiarvo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75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w:t>
            </w:r>
          </w:p>
          <w:p w14:paraId="586FBF82" w14:textId="77777777" w:rsidR="00AE3698" w:rsidRPr="00912A5D" w:rsidRDefault="00AC5087" w:rsidP="00AC5087">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Hoito aloitetaan uudelleen Glivec-valmisteella aikaisemmalla annoksella (jota käytettiin ennen vakavaa haittavaikutusta).</w:t>
            </w:r>
          </w:p>
          <w:p w14:paraId="586FBF83" w14:textId="77777777" w:rsidR="00AE3698" w:rsidRPr="00912A5D" w:rsidRDefault="00AC5087" w:rsidP="00AC5087">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3.</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Jos ANC palaa tasolle &lt; 1,0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 ja/tai trombosyyttiarvo tasolle &lt; 50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 toistetaan vaihe 1 ja aloitetaan Glivec-hoito uudelleen pienennetyllä 260 mg/m</w:t>
            </w:r>
            <w:r w:rsidR="00AE3698" w:rsidRPr="00912A5D">
              <w:rPr>
                <w:rFonts w:ascii="Times New Roman" w:hAnsi="Times New Roman"/>
                <w:color w:val="000000"/>
                <w:sz w:val="22"/>
                <w:szCs w:val="22"/>
                <w:vertAlign w:val="superscript"/>
                <w:lang w:val="fi-FI"/>
              </w:rPr>
              <w:t>2</w:t>
            </w:r>
            <w:r w:rsidR="00AE3698" w:rsidRPr="00912A5D">
              <w:rPr>
                <w:rFonts w:ascii="Times New Roman" w:hAnsi="Times New Roman"/>
                <w:color w:val="000000"/>
                <w:sz w:val="22"/>
                <w:szCs w:val="22"/>
                <w:lang w:val="fi-FI"/>
              </w:rPr>
              <w:t xml:space="preserve"> annoksella.</w:t>
            </w:r>
          </w:p>
        </w:tc>
      </w:tr>
      <w:tr w:rsidR="00AE3698" w:rsidRPr="00912A5D" w14:paraId="586FBF8E" w14:textId="77777777" w:rsidTr="00345374">
        <w:trPr>
          <w:cantSplit/>
        </w:trPr>
        <w:tc>
          <w:tcPr>
            <w:tcW w:w="2376" w:type="dxa"/>
            <w:tcBorders>
              <w:bottom w:val="single" w:sz="6" w:space="0" w:color="auto"/>
            </w:tcBorders>
          </w:tcPr>
          <w:p w14:paraId="586FBF85"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Kroonisen myelooisen leukemian akseleraatiovaihe ja blastikriisi ja Ph+ </w:t>
            </w:r>
            <w:smartTag w:uri="urn:schemas-microsoft-com:office:smarttags" w:element="State">
              <w:r w:rsidRPr="00912A5D">
                <w:rPr>
                  <w:color w:val="000000"/>
                  <w:szCs w:val="22"/>
                  <w:lang w:val="fi-FI"/>
                </w:rPr>
                <w:t>ALL</w:t>
              </w:r>
            </w:smartTag>
            <w:r w:rsidRPr="00912A5D">
              <w:rPr>
                <w:color w:val="000000"/>
                <w:szCs w:val="22"/>
                <w:lang w:val="fi-FI"/>
              </w:rPr>
              <w:t xml:space="preserve"> (aloitusannos 600 mg)</w:t>
            </w:r>
          </w:p>
        </w:tc>
        <w:tc>
          <w:tcPr>
            <w:tcW w:w="2400" w:type="dxa"/>
            <w:tcBorders>
              <w:bottom w:val="single" w:sz="6" w:space="0" w:color="auto"/>
            </w:tcBorders>
          </w:tcPr>
          <w:p w14:paraId="586FBF86"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position w:val="10"/>
                <w:sz w:val="22"/>
                <w:szCs w:val="22"/>
                <w:vertAlign w:val="superscript"/>
                <w:lang w:val="fi-FI"/>
              </w:rPr>
              <w:t>a</w:t>
            </w:r>
            <w:r w:rsidRPr="00912A5D">
              <w:rPr>
                <w:rFonts w:ascii="Times New Roman" w:hAnsi="Times New Roman"/>
                <w:color w:val="000000"/>
                <w:sz w:val="22"/>
                <w:szCs w:val="22"/>
                <w:lang w:val="fi-FI"/>
              </w:rPr>
              <w:t>ANC &lt; 0,5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BF87"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BF88"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trombosyyttiarvo</w:t>
            </w:r>
          </w:p>
          <w:p w14:paraId="586FBF89"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&lt; 10 x 10</w:t>
            </w:r>
            <w:r w:rsidRPr="00912A5D">
              <w:rPr>
                <w:color w:val="000000"/>
                <w:szCs w:val="22"/>
                <w:vertAlign w:val="superscript"/>
                <w:lang w:val="fi-FI"/>
              </w:rPr>
              <w:t>9</w:t>
            </w:r>
            <w:r w:rsidRPr="00912A5D">
              <w:rPr>
                <w:color w:val="000000"/>
                <w:szCs w:val="22"/>
                <w:lang w:val="fi-FI"/>
              </w:rPr>
              <w:t>/l</w:t>
            </w:r>
          </w:p>
        </w:tc>
        <w:tc>
          <w:tcPr>
            <w:tcW w:w="4404" w:type="dxa"/>
            <w:tcBorders>
              <w:bottom w:val="single" w:sz="6" w:space="0" w:color="auto"/>
            </w:tcBorders>
          </w:tcPr>
          <w:p w14:paraId="586FBF8A" w14:textId="77777777" w:rsidR="00AE3698" w:rsidRPr="00912A5D" w:rsidRDefault="00AC5087" w:rsidP="00AC5087">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Tarkistetaan, liittyykö sytopenia leukemiaan (luuydinaspiraatti tai biopsia).</w:t>
            </w:r>
          </w:p>
          <w:p w14:paraId="586FBF8B" w14:textId="77777777" w:rsidR="00AE3698" w:rsidRPr="00912A5D" w:rsidRDefault="00AC5087" w:rsidP="00AC5087">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Jos sytopenia ei liity leukemiaan, Glivec-annos pienennetään 400 mg:an.</w:t>
            </w:r>
          </w:p>
          <w:p w14:paraId="586FBF8C" w14:textId="77777777" w:rsidR="00AE3698" w:rsidRPr="00912A5D" w:rsidRDefault="00AC5087" w:rsidP="00AC5087">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3.</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Jos sytopenia jatkuu 2 viikon ajan, annos pienennetään vielä 300 mg:an.</w:t>
            </w:r>
          </w:p>
          <w:p w14:paraId="586FBF8D" w14:textId="77777777" w:rsidR="00AE3698" w:rsidRPr="00912A5D" w:rsidRDefault="00AC5087" w:rsidP="00AC5087">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4.</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 xml:space="preserve">Jos sytopenia jatkuu 4 viikon ajan eikä vieläkään liity leukemiaan, Glivec-hoito lopetetaan, kunnes ANC on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1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 xml:space="preserve">/l ja trombosyyttiarvo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20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 ja sen jälkeen hoito aloitetaan uudelleen 300 mg annoksella.</w:t>
            </w:r>
          </w:p>
        </w:tc>
      </w:tr>
      <w:tr w:rsidR="00AE3698" w:rsidRPr="00912A5D" w14:paraId="586FBF97" w14:textId="77777777" w:rsidTr="00345374">
        <w:trPr>
          <w:cantSplit/>
        </w:trPr>
        <w:tc>
          <w:tcPr>
            <w:tcW w:w="2376" w:type="dxa"/>
            <w:tcBorders>
              <w:bottom w:val="single" w:sz="4" w:space="0" w:color="auto"/>
            </w:tcBorders>
          </w:tcPr>
          <w:p w14:paraId="586FBF8F"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Lasten kroonisen myelooisen leukemian akseleraatiovaihe ja blastikriisi (aloitusannos 340 mg/m</w:t>
            </w:r>
            <w:r w:rsidRPr="00912A5D">
              <w:rPr>
                <w:color w:val="000000"/>
                <w:szCs w:val="22"/>
                <w:vertAlign w:val="superscript"/>
                <w:lang w:val="fi-FI"/>
              </w:rPr>
              <w:t>2</w:t>
            </w:r>
            <w:r w:rsidRPr="00912A5D">
              <w:rPr>
                <w:color w:val="000000"/>
                <w:szCs w:val="22"/>
                <w:lang w:val="fi-FI"/>
              </w:rPr>
              <w:t>)</w:t>
            </w:r>
          </w:p>
        </w:tc>
        <w:tc>
          <w:tcPr>
            <w:tcW w:w="2400" w:type="dxa"/>
            <w:tcBorders>
              <w:bottom w:val="single" w:sz="4" w:space="0" w:color="auto"/>
            </w:tcBorders>
          </w:tcPr>
          <w:p w14:paraId="586FBF90"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position w:val="10"/>
                <w:sz w:val="22"/>
                <w:szCs w:val="22"/>
                <w:vertAlign w:val="superscript"/>
                <w:lang w:val="fi-FI"/>
              </w:rPr>
              <w:t>a</w:t>
            </w:r>
            <w:r w:rsidRPr="00912A5D">
              <w:rPr>
                <w:rFonts w:ascii="Times New Roman" w:hAnsi="Times New Roman"/>
                <w:color w:val="000000"/>
                <w:sz w:val="22"/>
                <w:szCs w:val="22"/>
                <w:lang w:val="fi-FI"/>
              </w:rPr>
              <w:t>ANC &lt; 0,5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BF91"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BF92" w14:textId="77777777" w:rsidR="00AE3698" w:rsidRPr="00912A5D" w:rsidRDefault="00AE3698">
            <w:pPr>
              <w:pStyle w:val="Table"/>
              <w:keepNext w:val="0"/>
              <w:keepLines w:val="0"/>
              <w:widowControl w:val="0"/>
              <w:suppressLineNumbers/>
              <w:tabs>
                <w:tab w:val="clear" w:pos="284"/>
              </w:tabs>
              <w:spacing w:before="0" w:after="0"/>
              <w:rPr>
                <w:rFonts w:ascii="Times New Roman" w:hAnsi="Times New Roman"/>
                <w:color w:val="000000"/>
                <w:position w:val="10"/>
                <w:sz w:val="22"/>
                <w:szCs w:val="22"/>
                <w:vertAlign w:val="superscript"/>
                <w:lang w:val="fi-FI"/>
              </w:rPr>
            </w:pPr>
            <w:r w:rsidRPr="00912A5D">
              <w:rPr>
                <w:rFonts w:ascii="Times New Roman" w:hAnsi="Times New Roman"/>
                <w:color w:val="000000"/>
                <w:sz w:val="22"/>
                <w:szCs w:val="22"/>
                <w:lang w:val="fi-FI"/>
              </w:rPr>
              <w:t>trombosyyttiarvo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tc>
        <w:tc>
          <w:tcPr>
            <w:tcW w:w="4404" w:type="dxa"/>
            <w:tcBorders>
              <w:bottom w:val="single" w:sz="4" w:space="0" w:color="auto"/>
            </w:tcBorders>
          </w:tcPr>
          <w:p w14:paraId="586FBF93" w14:textId="77777777" w:rsidR="00AE3698" w:rsidRPr="00912A5D" w:rsidRDefault="00AC5087" w:rsidP="00AC5087">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Tarkistetaan, liittyykö sytopenia leukemiaan (luuydinaspiraatti tai biopsia).</w:t>
            </w:r>
          </w:p>
          <w:p w14:paraId="586FBF94" w14:textId="77777777" w:rsidR="00AE3698" w:rsidRPr="00912A5D" w:rsidRDefault="00AC5087" w:rsidP="00AC5087">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Jos sytopenia ei liity leukemiaan, Glivec-annos pienennetään 260 mg/m</w:t>
            </w:r>
            <w:r w:rsidR="00AE3698" w:rsidRPr="00912A5D">
              <w:rPr>
                <w:rFonts w:ascii="Times New Roman" w:hAnsi="Times New Roman"/>
                <w:color w:val="000000"/>
                <w:sz w:val="22"/>
                <w:szCs w:val="22"/>
                <w:vertAlign w:val="superscript"/>
                <w:lang w:val="fi-FI"/>
              </w:rPr>
              <w:t>2</w:t>
            </w:r>
            <w:r w:rsidR="00AE3698" w:rsidRPr="00912A5D">
              <w:rPr>
                <w:rFonts w:ascii="Times New Roman" w:hAnsi="Times New Roman"/>
                <w:color w:val="000000"/>
                <w:sz w:val="22"/>
                <w:szCs w:val="22"/>
                <w:lang w:val="fi-FI"/>
              </w:rPr>
              <w:t>:een.</w:t>
            </w:r>
          </w:p>
          <w:p w14:paraId="586FBF95" w14:textId="77777777" w:rsidR="00AE3698" w:rsidRPr="00912A5D" w:rsidRDefault="00AC5087" w:rsidP="00AC5087">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3.</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Jos sytopenia jatkuu 2 viikon ajan, annos pienennetään vielä 200 mg/m</w:t>
            </w:r>
            <w:r w:rsidR="00AE3698" w:rsidRPr="00912A5D">
              <w:rPr>
                <w:rFonts w:ascii="Times New Roman" w:hAnsi="Times New Roman"/>
                <w:color w:val="000000"/>
                <w:sz w:val="22"/>
                <w:szCs w:val="22"/>
                <w:vertAlign w:val="superscript"/>
                <w:lang w:val="fi-FI"/>
              </w:rPr>
              <w:t>2</w:t>
            </w:r>
            <w:r w:rsidR="00AE3698" w:rsidRPr="00912A5D">
              <w:rPr>
                <w:rFonts w:ascii="Times New Roman" w:hAnsi="Times New Roman"/>
                <w:color w:val="000000"/>
                <w:sz w:val="22"/>
                <w:szCs w:val="22"/>
                <w:lang w:val="fi-FI"/>
              </w:rPr>
              <w:t>:aan.</w:t>
            </w:r>
          </w:p>
          <w:p w14:paraId="586FBF96" w14:textId="77777777" w:rsidR="00AE3698" w:rsidRPr="00912A5D" w:rsidRDefault="00AC5087" w:rsidP="00AC5087">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4.</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 xml:space="preserve">Jos sytopenia jatkuu 4 viikon ajan eikä vieläkään liity leukemiaan, Glivec-hoito lopetetaan, kunnes ANC on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1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 xml:space="preserve">/l ja trombosyyttiarvo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20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 ja sen jälkeen hoito aloitetaan uudelleen 200 mg/m</w:t>
            </w:r>
            <w:r w:rsidR="00AE3698" w:rsidRPr="00912A5D">
              <w:rPr>
                <w:rFonts w:ascii="Times New Roman" w:hAnsi="Times New Roman"/>
                <w:color w:val="000000"/>
                <w:sz w:val="22"/>
                <w:szCs w:val="22"/>
                <w:vertAlign w:val="superscript"/>
                <w:lang w:val="fi-FI"/>
              </w:rPr>
              <w:t>2</w:t>
            </w:r>
            <w:r w:rsidR="00AE3698" w:rsidRPr="00912A5D">
              <w:rPr>
                <w:rFonts w:ascii="Times New Roman" w:hAnsi="Times New Roman"/>
                <w:color w:val="000000"/>
                <w:sz w:val="22"/>
                <w:szCs w:val="22"/>
                <w:lang w:val="fi-FI"/>
              </w:rPr>
              <w:t>:an annoksella.</w:t>
            </w:r>
          </w:p>
        </w:tc>
      </w:tr>
      <w:tr w:rsidR="00AE3698" w:rsidRPr="00912A5D" w14:paraId="586FBFA0" w14:textId="77777777" w:rsidTr="00345374">
        <w:trPr>
          <w:cantSplit/>
        </w:trPr>
        <w:tc>
          <w:tcPr>
            <w:tcW w:w="2376" w:type="dxa"/>
            <w:tcBorders>
              <w:top w:val="single" w:sz="4" w:space="0" w:color="auto"/>
              <w:bottom w:val="nil"/>
            </w:tcBorders>
          </w:tcPr>
          <w:p w14:paraId="586FBF98" w14:textId="77777777" w:rsidR="00AE3698" w:rsidRPr="00912A5D" w:rsidRDefault="00AE3698" w:rsidP="00345374">
            <w:pPr>
              <w:pStyle w:val="EndnoteText"/>
              <w:keepNext/>
              <w:widowControl w:val="0"/>
              <w:tabs>
                <w:tab w:val="clear" w:pos="567"/>
              </w:tabs>
              <w:rPr>
                <w:color w:val="000000"/>
                <w:szCs w:val="22"/>
                <w:lang w:val="sv-SE"/>
              </w:rPr>
            </w:pPr>
            <w:r w:rsidRPr="00912A5D">
              <w:rPr>
                <w:color w:val="000000"/>
                <w:szCs w:val="22"/>
                <w:lang w:val="sv-SE"/>
              </w:rPr>
              <w:t>Dermatofibrosarcoma protuberans (aloitusannos 800 mg)</w:t>
            </w:r>
          </w:p>
        </w:tc>
        <w:tc>
          <w:tcPr>
            <w:tcW w:w="2400" w:type="dxa"/>
            <w:tcBorders>
              <w:top w:val="single" w:sz="4" w:space="0" w:color="auto"/>
              <w:bottom w:val="nil"/>
            </w:tcBorders>
          </w:tcPr>
          <w:p w14:paraId="586FBF99" w14:textId="77777777" w:rsidR="00AE3698" w:rsidRPr="00912A5D" w:rsidRDefault="00AE3698" w:rsidP="00345374">
            <w:pPr>
              <w:pStyle w:val="Table"/>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ANC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BF9A" w14:textId="77777777" w:rsidR="00AE3698" w:rsidRPr="00912A5D" w:rsidRDefault="00AE3698" w:rsidP="00345374">
            <w:pPr>
              <w:pStyle w:val="Table"/>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BF9B" w14:textId="77777777" w:rsidR="00AE3698" w:rsidRPr="00912A5D" w:rsidRDefault="00AE3698" w:rsidP="00345374">
            <w:pPr>
              <w:pStyle w:val="EndnoteText"/>
              <w:keepNext/>
              <w:widowControl w:val="0"/>
              <w:tabs>
                <w:tab w:val="clear" w:pos="567"/>
              </w:tabs>
              <w:rPr>
                <w:color w:val="000000"/>
                <w:szCs w:val="22"/>
                <w:lang w:val="fi-FI"/>
              </w:rPr>
            </w:pPr>
            <w:r w:rsidRPr="00912A5D">
              <w:rPr>
                <w:color w:val="000000"/>
                <w:szCs w:val="22"/>
                <w:lang w:val="fi-FI"/>
              </w:rPr>
              <w:t>trombosyyttiarvo</w:t>
            </w:r>
          </w:p>
          <w:p w14:paraId="586FBF9C" w14:textId="77777777" w:rsidR="00AE3698" w:rsidRPr="00912A5D" w:rsidRDefault="00AE3698" w:rsidP="00345374">
            <w:pPr>
              <w:pStyle w:val="Table"/>
              <w:keepLines w:val="0"/>
              <w:widowControl w:val="0"/>
              <w:suppressLineNumbers/>
              <w:tabs>
                <w:tab w:val="clear" w:pos="284"/>
              </w:tabs>
              <w:spacing w:before="0" w:after="0"/>
              <w:rPr>
                <w:rFonts w:ascii="Times New Roman" w:hAnsi="Times New Roman"/>
                <w:color w:val="000000"/>
                <w:position w:val="10"/>
                <w:sz w:val="22"/>
                <w:szCs w:val="22"/>
                <w:vertAlign w:val="superscript"/>
                <w:lang w:val="fi-FI"/>
              </w:rPr>
            </w:pPr>
            <w:r w:rsidRPr="00912A5D">
              <w:rPr>
                <w:rFonts w:ascii="Times New Roman" w:hAnsi="Times New Roman"/>
                <w:color w:val="000000"/>
                <w:sz w:val="22"/>
                <w:szCs w:val="22"/>
                <w:lang w:val="fi-FI"/>
              </w:rPr>
              <w:t>&lt; 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tc>
        <w:tc>
          <w:tcPr>
            <w:tcW w:w="4404" w:type="dxa"/>
            <w:tcBorders>
              <w:top w:val="single" w:sz="4" w:space="0" w:color="auto"/>
              <w:bottom w:val="nil"/>
            </w:tcBorders>
          </w:tcPr>
          <w:p w14:paraId="586FBF9D" w14:textId="77777777" w:rsidR="00AE3698" w:rsidRPr="00912A5D" w:rsidRDefault="00AC5087" w:rsidP="00345374">
            <w:pPr>
              <w:pStyle w:val="Table"/>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 xml:space="preserve">Glivec-hoito lopetetaan, kunnes ANC on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1,5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 xml:space="preserve">/l ja trombosyyttiarvo </w:t>
            </w:r>
            <w:r w:rsidR="00AE3698" w:rsidRPr="00912A5D">
              <w:rPr>
                <w:rFonts w:ascii="Times New Roman" w:hAnsi="Times New Roman"/>
                <w:color w:val="000000"/>
                <w:sz w:val="22"/>
                <w:szCs w:val="22"/>
                <w:lang w:val="fi-FI"/>
              </w:rPr>
              <w:sym w:font="Symbol" w:char="F0B3"/>
            </w:r>
            <w:r w:rsidR="00AE3698" w:rsidRPr="00912A5D">
              <w:rPr>
                <w:rFonts w:ascii="Times New Roman" w:hAnsi="Times New Roman"/>
                <w:color w:val="000000"/>
                <w:sz w:val="22"/>
                <w:szCs w:val="22"/>
                <w:lang w:val="fi-FI"/>
              </w:rPr>
              <w:t> 75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w:t>
            </w:r>
          </w:p>
          <w:p w14:paraId="586FBF9E" w14:textId="77777777" w:rsidR="00AE3698" w:rsidRPr="00912A5D" w:rsidRDefault="00AC5087" w:rsidP="00345374">
            <w:pPr>
              <w:pStyle w:val="Table"/>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Glivec-hoito aloitetaan uudelleen annoksella 600 mg.</w:t>
            </w:r>
          </w:p>
          <w:p w14:paraId="586FBF9F" w14:textId="77777777" w:rsidR="00AE3698" w:rsidRPr="00912A5D" w:rsidRDefault="00AC5087" w:rsidP="00345374">
            <w:pPr>
              <w:pStyle w:val="Table"/>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3.</w:t>
            </w:r>
            <w:r>
              <w:rPr>
                <w:rFonts w:ascii="Times New Roman" w:hAnsi="Times New Roman"/>
                <w:color w:val="000000"/>
                <w:sz w:val="22"/>
                <w:szCs w:val="22"/>
                <w:lang w:val="fi-FI"/>
              </w:rPr>
              <w:tab/>
            </w:r>
            <w:r w:rsidR="00AE3698" w:rsidRPr="00912A5D">
              <w:rPr>
                <w:rFonts w:ascii="Times New Roman" w:hAnsi="Times New Roman"/>
                <w:color w:val="000000"/>
                <w:sz w:val="22"/>
                <w:szCs w:val="22"/>
                <w:lang w:val="fi-FI"/>
              </w:rPr>
              <w:t>Jos ANC palaa tasolle &lt; 1,0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 ja/tai trombosyyttiarvo tasolle &lt; 50 x 10</w:t>
            </w:r>
            <w:r w:rsidR="00AE3698" w:rsidRPr="00912A5D">
              <w:rPr>
                <w:rFonts w:ascii="Times New Roman" w:hAnsi="Times New Roman"/>
                <w:color w:val="000000"/>
                <w:sz w:val="22"/>
                <w:szCs w:val="22"/>
                <w:vertAlign w:val="superscript"/>
                <w:lang w:val="fi-FI"/>
              </w:rPr>
              <w:t>9</w:t>
            </w:r>
            <w:r w:rsidR="00AE3698" w:rsidRPr="00912A5D">
              <w:rPr>
                <w:rFonts w:ascii="Times New Roman" w:hAnsi="Times New Roman"/>
                <w:color w:val="000000"/>
                <w:sz w:val="22"/>
                <w:szCs w:val="22"/>
                <w:lang w:val="fi-FI"/>
              </w:rPr>
              <w:t>/l, toistetaan vaihe 1 ja aloitetaan Glivec-hoito uudelleen pienennetyllä 400 mg annoksella.</w:t>
            </w:r>
          </w:p>
        </w:tc>
      </w:tr>
      <w:tr w:rsidR="00AE3698" w:rsidRPr="00912A5D" w14:paraId="586FBFA2" w14:textId="77777777" w:rsidTr="00345374">
        <w:trPr>
          <w:cantSplit/>
        </w:trPr>
        <w:tc>
          <w:tcPr>
            <w:tcW w:w="9180" w:type="dxa"/>
            <w:gridSpan w:val="3"/>
            <w:tcBorders>
              <w:bottom w:val="nil"/>
            </w:tcBorders>
          </w:tcPr>
          <w:p w14:paraId="586FBFA1" w14:textId="77777777" w:rsidR="00AE3698" w:rsidRPr="00912A5D" w:rsidRDefault="00AE3698" w:rsidP="00345374">
            <w:pPr>
              <w:pStyle w:val="Heading5"/>
              <w:widowControl w:val="0"/>
              <w:rPr>
                <w:szCs w:val="22"/>
                <w:vertAlign w:val="baseline"/>
              </w:rPr>
            </w:pPr>
            <w:r w:rsidRPr="00912A5D">
              <w:rPr>
                <w:szCs w:val="22"/>
                <w:vertAlign w:val="baseline"/>
              </w:rPr>
              <w:t>ANC = neutrofiilien absoluuttinen määrä</w:t>
            </w:r>
          </w:p>
        </w:tc>
      </w:tr>
      <w:tr w:rsidR="00AE3698" w:rsidRPr="00912A5D" w14:paraId="586FBFA4" w14:textId="77777777" w:rsidTr="00345374">
        <w:trPr>
          <w:cantSplit/>
        </w:trPr>
        <w:tc>
          <w:tcPr>
            <w:tcW w:w="9180" w:type="dxa"/>
            <w:gridSpan w:val="3"/>
            <w:tcBorders>
              <w:top w:val="nil"/>
            </w:tcBorders>
          </w:tcPr>
          <w:p w14:paraId="586FBFA3" w14:textId="77777777" w:rsidR="00AE3698" w:rsidRPr="00912A5D" w:rsidRDefault="00AE3698">
            <w:pPr>
              <w:pStyle w:val="EndnoteText"/>
              <w:widowControl w:val="0"/>
              <w:tabs>
                <w:tab w:val="clear" w:pos="567"/>
              </w:tabs>
              <w:rPr>
                <w:color w:val="000000"/>
                <w:szCs w:val="22"/>
                <w:lang w:val="fi-FI"/>
              </w:rPr>
            </w:pPr>
            <w:r w:rsidRPr="00912A5D">
              <w:rPr>
                <w:color w:val="000000"/>
                <w:szCs w:val="22"/>
                <w:vertAlign w:val="superscript"/>
                <w:lang w:val="fi-FI"/>
              </w:rPr>
              <w:t>a</w:t>
            </w:r>
            <w:r w:rsidRPr="00912A5D">
              <w:rPr>
                <w:color w:val="000000"/>
                <w:szCs w:val="22"/>
                <w:lang w:val="fi-FI"/>
              </w:rPr>
              <w:t xml:space="preserve"> joka ilmenee vähintään 1 kuukautta kestäneen hoidon jälkeen</w:t>
            </w:r>
          </w:p>
        </w:tc>
      </w:tr>
    </w:tbl>
    <w:p w14:paraId="586FBFA5" w14:textId="77777777" w:rsidR="00AE3698" w:rsidRPr="00912A5D" w:rsidRDefault="00AE3698">
      <w:pPr>
        <w:pStyle w:val="EndnoteText"/>
        <w:widowControl w:val="0"/>
        <w:tabs>
          <w:tab w:val="clear" w:pos="567"/>
        </w:tabs>
        <w:rPr>
          <w:color w:val="000000"/>
          <w:szCs w:val="22"/>
          <w:lang w:val="fi-FI"/>
        </w:rPr>
      </w:pPr>
    </w:p>
    <w:p w14:paraId="586FBFA6" w14:textId="77777777" w:rsidR="0005364F" w:rsidRDefault="0005364F" w:rsidP="00345374">
      <w:pPr>
        <w:pStyle w:val="EndnoteText"/>
        <w:keepNext/>
        <w:widowControl w:val="0"/>
        <w:tabs>
          <w:tab w:val="clear" w:pos="567"/>
        </w:tabs>
        <w:rPr>
          <w:color w:val="000000"/>
          <w:szCs w:val="22"/>
          <w:lang w:val="fi-FI"/>
        </w:rPr>
      </w:pPr>
      <w:r w:rsidRPr="006E44D6">
        <w:rPr>
          <w:color w:val="000000"/>
          <w:szCs w:val="22"/>
          <w:u w:val="single"/>
          <w:lang w:val="fi-FI"/>
        </w:rPr>
        <w:t>Erityisryhmät</w:t>
      </w:r>
    </w:p>
    <w:p w14:paraId="586FBFA7" w14:textId="77777777" w:rsidR="00AE3698" w:rsidRDefault="00AE3698">
      <w:pPr>
        <w:pStyle w:val="EndnoteText"/>
        <w:widowControl w:val="0"/>
        <w:tabs>
          <w:tab w:val="clear" w:pos="567"/>
        </w:tabs>
        <w:rPr>
          <w:color w:val="000000"/>
          <w:szCs w:val="22"/>
          <w:lang w:val="fi-FI"/>
        </w:rPr>
      </w:pPr>
      <w:r w:rsidRPr="00F43D6A">
        <w:rPr>
          <w:i/>
          <w:color w:val="000000"/>
          <w:szCs w:val="22"/>
          <w:lang w:val="fi-FI"/>
        </w:rPr>
        <w:t>Käyttö lapsille:</w:t>
      </w:r>
      <w:r w:rsidRPr="00912A5D">
        <w:rPr>
          <w:color w:val="000000"/>
          <w:szCs w:val="22"/>
          <w:lang w:val="fi-FI"/>
        </w:rPr>
        <w:t xml:space="preserve"> Tietoja käytöstä KML:aa sairastaville alle 2-vuotiaille lapsille </w:t>
      </w:r>
      <w:r w:rsidR="00551279">
        <w:rPr>
          <w:color w:val="000000"/>
          <w:szCs w:val="22"/>
          <w:lang w:val="fi-FI"/>
        </w:rPr>
        <w:t xml:space="preserve">ja alle 1-vuotiaille </w:t>
      </w:r>
      <w:r w:rsidR="00551279" w:rsidRPr="00912A5D">
        <w:rPr>
          <w:color w:val="000000"/>
          <w:szCs w:val="22"/>
          <w:lang w:val="fi-FI"/>
        </w:rPr>
        <w:t xml:space="preserve">Philadelphia-kromosomipositiivista akuuttia lymfaattista leukemiaa sairastaville lapsille </w:t>
      </w:r>
      <w:r w:rsidRPr="00912A5D">
        <w:rPr>
          <w:color w:val="000000"/>
          <w:szCs w:val="22"/>
          <w:lang w:val="fi-FI"/>
        </w:rPr>
        <w:t>ei ole (ks. kohta 5.1). Lapsista, joilla on myelodysplastinen oireyhtymä/myeloproliferatiivinen tauti</w:t>
      </w:r>
      <w:r w:rsidR="00682294">
        <w:rPr>
          <w:color w:val="000000"/>
          <w:szCs w:val="22"/>
          <w:lang w:val="fi-FI"/>
        </w:rPr>
        <w:t>,</w:t>
      </w:r>
      <w:r w:rsidRPr="00912A5D">
        <w:rPr>
          <w:color w:val="000000"/>
          <w:szCs w:val="22"/>
          <w:lang w:val="fi-FI"/>
        </w:rPr>
        <w:t xml:space="preserve"> </w:t>
      </w:r>
      <w:r w:rsidRPr="00912A5D">
        <w:rPr>
          <w:color w:val="000000"/>
          <w:szCs w:val="22"/>
          <w:lang w:val="fi-FI"/>
        </w:rPr>
        <w:lastRenderedPageBreak/>
        <w:t xml:space="preserve">dermatofibrosarcoma protuberans, </w:t>
      </w:r>
      <w:r w:rsidR="00682294" w:rsidRPr="00912A5D">
        <w:rPr>
          <w:color w:val="000000"/>
          <w:szCs w:val="22"/>
          <w:lang w:val="fi-FI"/>
        </w:rPr>
        <w:t xml:space="preserve">GIST ja </w:t>
      </w:r>
      <w:r w:rsidR="00B52706" w:rsidRPr="00912A5D">
        <w:rPr>
          <w:color w:val="000000"/>
          <w:szCs w:val="22"/>
          <w:lang w:val="fi-FI"/>
        </w:rPr>
        <w:t>hypereosinofiilinen oireyhtymä</w:t>
      </w:r>
      <w:r w:rsidR="00FF4358">
        <w:rPr>
          <w:color w:val="000000"/>
          <w:szCs w:val="22"/>
          <w:lang w:val="fi-FI"/>
        </w:rPr>
        <w:t>/</w:t>
      </w:r>
      <w:r w:rsidR="00B52706" w:rsidRPr="00912A5D">
        <w:rPr>
          <w:color w:val="000000"/>
          <w:szCs w:val="22"/>
          <w:lang w:val="fi-FI"/>
        </w:rPr>
        <w:t>krooninen eosinofiilinen leukemia</w:t>
      </w:r>
      <w:r w:rsidR="00FF4358">
        <w:rPr>
          <w:color w:val="000000"/>
          <w:szCs w:val="22"/>
          <w:lang w:val="fi-FI"/>
        </w:rPr>
        <w:t>,</w:t>
      </w:r>
      <w:r w:rsidR="00B52706" w:rsidRPr="00912A5D">
        <w:rPr>
          <w:color w:val="000000"/>
          <w:szCs w:val="22"/>
          <w:lang w:val="fi-FI"/>
        </w:rPr>
        <w:t xml:space="preserve"> </w:t>
      </w:r>
      <w:r w:rsidRPr="00912A5D">
        <w:rPr>
          <w:color w:val="000000"/>
          <w:szCs w:val="22"/>
          <w:lang w:val="fi-FI"/>
        </w:rPr>
        <w:t>on hyvin vähän kokemusta.</w:t>
      </w:r>
    </w:p>
    <w:p w14:paraId="586FBFA8" w14:textId="77777777" w:rsidR="00682294" w:rsidRDefault="00682294">
      <w:pPr>
        <w:pStyle w:val="EndnoteText"/>
        <w:widowControl w:val="0"/>
        <w:tabs>
          <w:tab w:val="clear" w:pos="567"/>
        </w:tabs>
        <w:rPr>
          <w:color w:val="000000"/>
          <w:szCs w:val="22"/>
          <w:lang w:val="fi-FI"/>
        </w:rPr>
      </w:pPr>
    </w:p>
    <w:p w14:paraId="586FBFA9" w14:textId="77777777" w:rsidR="00682294" w:rsidRPr="00912A5D" w:rsidRDefault="00682294">
      <w:pPr>
        <w:pStyle w:val="EndnoteText"/>
        <w:widowControl w:val="0"/>
        <w:tabs>
          <w:tab w:val="clear" w:pos="567"/>
        </w:tabs>
        <w:rPr>
          <w:color w:val="000000"/>
          <w:szCs w:val="22"/>
          <w:lang w:val="fi-FI"/>
        </w:rPr>
      </w:pPr>
      <w:r>
        <w:rPr>
          <w:color w:val="000000"/>
          <w:szCs w:val="22"/>
          <w:lang w:val="fi-FI"/>
        </w:rPr>
        <w:t>Imatinibin turvallisuutta ja tehoa alle 18</w:t>
      </w:r>
      <w:r w:rsidR="00FF4358">
        <w:rPr>
          <w:color w:val="000000"/>
          <w:szCs w:val="22"/>
          <w:lang w:val="fi-FI"/>
        </w:rPr>
        <w:t>-vuotiaiden</w:t>
      </w:r>
      <w:r>
        <w:rPr>
          <w:color w:val="000000"/>
          <w:szCs w:val="22"/>
          <w:lang w:val="fi-FI"/>
        </w:rPr>
        <w:t xml:space="preserve">, </w:t>
      </w:r>
      <w:r w:rsidRPr="00912A5D">
        <w:rPr>
          <w:color w:val="000000"/>
          <w:szCs w:val="22"/>
          <w:lang w:val="fi-FI"/>
        </w:rPr>
        <w:t>myelodysplasti</w:t>
      </w:r>
      <w:r>
        <w:rPr>
          <w:color w:val="000000"/>
          <w:szCs w:val="22"/>
          <w:lang w:val="fi-FI"/>
        </w:rPr>
        <w:t>sta</w:t>
      </w:r>
      <w:r w:rsidRPr="00912A5D">
        <w:rPr>
          <w:color w:val="000000"/>
          <w:szCs w:val="22"/>
          <w:lang w:val="fi-FI"/>
        </w:rPr>
        <w:t xml:space="preserve"> oireyhtymä</w:t>
      </w:r>
      <w:r>
        <w:rPr>
          <w:color w:val="000000"/>
          <w:szCs w:val="22"/>
          <w:lang w:val="fi-FI"/>
        </w:rPr>
        <w:t>ä</w:t>
      </w:r>
      <w:r w:rsidRPr="00912A5D">
        <w:rPr>
          <w:color w:val="000000"/>
          <w:szCs w:val="22"/>
          <w:lang w:val="fi-FI"/>
        </w:rPr>
        <w:t>/myeloproliferatiivi</w:t>
      </w:r>
      <w:r>
        <w:rPr>
          <w:color w:val="000000"/>
          <w:szCs w:val="22"/>
          <w:lang w:val="fi-FI"/>
        </w:rPr>
        <w:t>sta</w:t>
      </w:r>
      <w:r w:rsidRPr="00912A5D">
        <w:rPr>
          <w:color w:val="000000"/>
          <w:szCs w:val="22"/>
          <w:lang w:val="fi-FI"/>
        </w:rPr>
        <w:t xml:space="preserve"> tauti</w:t>
      </w:r>
      <w:r>
        <w:rPr>
          <w:color w:val="000000"/>
          <w:szCs w:val="22"/>
          <w:lang w:val="fi-FI"/>
        </w:rPr>
        <w:t>a,</w:t>
      </w:r>
      <w:r w:rsidRPr="00912A5D">
        <w:rPr>
          <w:color w:val="000000"/>
          <w:szCs w:val="22"/>
          <w:lang w:val="fi-FI"/>
        </w:rPr>
        <w:t xml:space="preserve"> dermatofibrosarcoma protuberans</w:t>
      </w:r>
      <w:r>
        <w:rPr>
          <w:color w:val="000000"/>
          <w:szCs w:val="22"/>
          <w:lang w:val="fi-FI"/>
        </w:rPr>
        <w:t>ia</w:t>
      </w:r>
      <w:r w:rsidRPr="00912A5D">
        <w:rPr>
          <w:color w:val="000000"/>
          <w:szCs w:val="22"/>
          <w:lang w:val="fi-FI"/>
        </w:rPr>
        <w:t>, GIST</w:t>
      </w:r>
      <w:r>
        <w:rPr>
          <w:color w:val="000000"/>
          <w:szCs w:val="22"/>
          <w:lang w:val="fi-FI"/>
        </w:rPr>
        <w:t>:iä</w:t>
      </w:r>
      <w:r w:rsidRPr="00912A5D">
        <w:rPr>
          <w:color w:val="000000"/>
          <w:szCs w:val="22"/>
          <w:lang w:val="fi-FI"/>
        </w:rPr>
        <w:t xml:space="preserve"> ja HES/</w:t>
      </w:r>
      <w:smartTag w:uri="urn:schemas-microsoft-com:office:smarttags" w:element="State">
        <w:r w:rsidRPr="00912A5D">
          <w:rPr>
            <w:color w:val="000000"/>
            <w:szCs w:val="22"/>
            <w:lang w:val="fi-FI"/>
          </w:rPr>
          <w:t>CEL</w:t>
        </w:r>
        <w:r>
          <w:rPr>
            <w:color w:val="000000"/>
            <w:szCs w:val="22"/>
            <w:lang w:val="fi-FI"/>
          </w:rPr>
          <w:t>:iä sairastavien</w:t>
        </w:r>
      </w:smartTag>
      <w:r>
        <w:rPr>
          <w:color w:val="000000"/>
          <w:szCs w:val="22"/>
          <w:lang w:val="fi-FI"/>
        </w:rPr>
        <w:t xml:space="preserve"> lasten hoidossa ei ole </w:t>
      </w:r>
      <w:r w:rsidR="00975013">
        <w:rPr>
          <w:color w:val="000000"/>
          <w:szCs w:val="22"/>
          <w:lang w:val="fi-FI"/>
        </w:rPr>
        <w:t>osoitettu</w:t>
      </w:r>
      <w:r>
        <w:rPr>
          <w:color w:val="000000"/>
          <w:szCs w:val="22"/>
          <w:lang w:val="fi-FI"/>
        </w:rPr>
        <w:t xml:space="preserve"> kliinisissä tutkimuksissa. Saatavissa oleva</w:t>
      </w:r>
      <w:r w:rsidR="008A0FD3">
        <w:rPr>
          <w:color w:val="000000"/>
          <w:szCs w:val="22"/>
          <w:lang w:val="fi-FI"/>
        </w:rPr>
        <w:t>n</w:t>
      </w:r>
      <w:r>
        <w:rPr>
          <w:color w:val="000000"/>
          <w:szCs w:val="22"/>
          <w:lang w:val="fi-FI"/>
        </w:rPr>
        <w:t xml:space="preserve"> julkaistu</w:t>
      </w:r>
      <w:r w:rsidR="008A0FD3">
        <w:rPr>
          <w:color w:val="000000"/>
          <w:szCs w:val="22"/>
          <w:lang w:val="fi-FI"/>
        </w:rPr>
        <w:t>n</w:t>
      </w:r>
      <w:r>
        <w:rPr>
          <w:color w:val="000000"/>
          <w:szCs w:val="22"/>
          <w:lang w:val="fi-FI"/>
        </w:rPr>
        <w:t xml:space="preserve"> tiedo</w:t>
      </w:r>
      <w:r w:rsidR="008A0FD3">
        <w:rPr>
          <w:color w:val="000000"/>
          <w:szCs w:val="22"/>
          <w:lang w:val="fi-FI"/>
        </w:rPr>
        <w:t>n perusteella, joka</w:t>
      </w:r>
      <w:r>
        <w:rPr>
          <w:color w:val="000000"/>
          <w:szCs w:val="22"/>
          <w:lang w:val="fi-FI"/>
        </w:rPr>
        <w:t xml:space="preserve"> on kuvattu </w:t>
      </w:r>
      <w:r w:rsidR="00464325">
        <w:rPr>
          <w:color w:val="000000"/>
          <w:szCs w:val="22"/>
          <w:lang w:val="fi-FI"/>
        </w:rPr>
        <w:t>kohdassa 5.1</w:t>
      </w:r>
      <w:r>
        <w:rPr>
          <w:color w:val="000000"/>
          <w:szCs w:val="22"/>
          <w:lang w:val="fi-FI"/>
        </w:rPr>
        <w:t>, ei voida antaa suosituksia annostuksesta.</w:t>
      </w:r>
    </w:p>
    <w:p w14:paraId="586FBFAA" w14:textId="77777777" w:rsidR="00AE3698" w:rsidRPr="00912A5D" w:rsidRDefault="00AE3698">
      <w:pPr>
        <w:pStyle w:val="EndnoteText"/>
        <w:widowControl w:val="0"/>
        <w:tabs>
          <w:tab w:val="clear" w:pos="567"/>
        </w:tabs>
        <w:rPr>
          <w:color w:val="000000"/>
          <w:szCs w:val="22"/>
          <w:lang w:val="fi-FI"/>
        </w:rPr>
      </w:pPr>
    </w:p>
    <w:p w14:paraId="586FBFAB" w14:textId="77777777" w:rsidR="00AE3698" w:rsidRPr="00912A5D" w:rsidRDefault="00AE3698">
      <w:pPr>
        <w:pStyle w:val="EndnoteText"/>
        <w:widowControl w:val="0"/>
        <w:tabs>
          <w:tab w:val="clear" w:pos="567"/>
        </w:tabs>
        <w:rPr>
          <w:color w:val="000000"/>
          <w:szCs w:val="22"/>
          <w:lang w:val="fi-FI"/>
        </w:rPr>
      </w:pPr>
      <w:r w:rsidRPr="00F43D6A">
        <w:rPr>
          <w:i/>
          <w:color w:val="000000"/>
          <w:szCs w:val="22"/>
          <w:lang w:val="fi-FI"/>
        </w:rPr>
        <w:t>Maksan vajaatoiminta:</w:t>
      </w:r>
      <w:r w:rsidRPr="00912A5D">
        <w:rPr>
          <w:color w:val="000000"/>
          <w:szCs w:val="22"/>
          <w:lang w:val="fi-FI"/>
        </w:rPr>
        <w:t xml:space="preserve"> Imatinibi metaboloituu pääosin maksan välityksellä. Potilaille, joilla on lievä, kohtalainen tai vaikea maksan vajaatoiminta pitää antaa pienintä suositettua annosta 400 mg vuorokaudessa. Annosta voidaan pienentää, jos se ei ole siedetty (ks. kohdat 4.4, 4.8 ja 5.2).</w:t>
      </w:r>
    </w:p>
    <w:p w14:paraId="586FBFAC" w14:textId="77777777" w:rsidR="00AE3698" w:rsidRPr="00912A5D" w:rsidRDefault="00AE3698">
      <w:pPr>
        <w:pStyle w:val="EndnoteText"/>
        <w:widowControl w:val="0"/>
        <w:tabs>
          <w:tab w:val="clear" w:pos="567"/>
        </w:tabs>
        <w:rPr>
          <w:color w:val="000000"/>
          <w:szCs w:val="22"/>
          <w:lang w:val="fi-FI"/>
        </w:rPr>
      </w:pPr>
    </w:p>
    <w:p w14:paraId="586FBFAD" w14:textId="77777777" w:rsidR="00AE3698" w:rsidRPr="00912A5D" w:rsidRDefault="00AE3698" w:rsidP="00345374">
      <w:pPr>
        <w:pStyle w:val="EndnoteText"/>
        <w:keepNext/>
        <w:widowControl w:val="0"/>
        <w:tabs>
          <w:tab w:val="clear" w:pos="567"/>
        </w:tabs>
        <w:rPr>
          <w:color w:val="000000"/>
          <w:szCs w:val="22"/>
          <w:lang w:val="fi-FI"/>
        </w:rPr>
      </w:pPr>
      <w:r w:rsidRPr="00912A5D">
        <w:rPr>
          <w:color w:val="000000"/>
          <w:szCs w:val="22"/>
          <w:lang w:val="fi-FI"/>
        </w:rPr>
        <w:t>Maksan vajaatoiminnan luokittelu:</w:t>
      </w:r>
    </w:p>
    <w:p w14:paraId="586FBFAE" w14:textId="77777777" w:rsidR="00AE3698" w:rsidRPr="00912A5D" w:rsidRDefault="00AE3698" w:rsidP="00345374">
      <w:pPr>
        <w:pStyle w:val="Text"/>
        <w:keepNext/>
        <w:spacing w:before="0"/>
        <w:jc w:val="left"/>
        <w:rPr>
          <w:color w:val="000000"/>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4"/>
        <w:gridCol w:w="5767"/>
      </w:tblGrid>
      <w:tr w:rsidR="00AE3698" w:rsidRPr="00B852DB" w14:paraId="586FBFB1" w14:textId="77777777" w:rsidTr="00345374">
        <w:trPr>
          <w:cantSplit/>
        </w:trPr>
        <w:tc>
          <w:tcPr>
            <w:tcW w:w="3369" w:type="dxa"/>
          </w:tcPr>
          <w:p w14:paraId="586FBFAF" w14:textId="77777777" w:rsidR="00AE3698" w:rsidRPr="00B852DB" w:rsidRDefault="00AE3698" w:rsidP="00345374">
            <w:pPr>
              <w:pStyle w:val="Text"/>
              <w:keepNext/>
              <w:tabs>
                <w:tab w:val="left" w:pos="567"/>
              </w:tabs>
              <w:spacing w:before="0" w:line="260" w:lineRule="exact"/>
              <w:jc w:val="left"/>
              <w:rPr>
                <w:color w:val="000000"/>
                <w:sz w:val="22"/>
                <w:szCs w:val="22"/>
                <w:lang w:val="en-GB"/>
              </w:rPr>
            </w:pPr>
            <w:r w:rsidRPr="00B852DB">
              <w:rPr>
                <w:color w:val="000000"/>
                <w:sz w:val="22"/>
                <w:szCs w:val="22"/>
              </w:rPr>
              <w:t>Maksan vajaatoiminta</w:t>
            </w:r>
          </w:p>
        </w:tc>
        <w:tc>
          <w:tcPr>
            <w:tcW w:w="5918" w:type="dxa"/>
          </w:tcPr>
          <w:p w14:paraId="586FBFB0" w14:textId="77777777" w:rsidR="00AE3698" w:rsidRPr="00B852DB" w:rsidRDefault="00AE3698" w:rsidP="00345374">
            <w:pPr>
              <w:pStyle w:val="Text"/>
              <w:keepNext/>
              <w:tabs>
                <w:tab w:val="left" w:pos="567"/>
              </w:tabs>
              <w:spacing w:before="0" w:line="260" w:lineRule="exact"/>
              <w:jc w:val="left"/>
              <w:rPr>
                <w:color w:val="000000"/>
                <w:sz w:val="22"/>
                <w:szCs w:val="22"/>
                <w:lang w:val="en-GB"/>
              </w:rPr>
            </w:pPr>
            <w:r w:rsidRPr="00B852DB">
              <w:rPr>
                <w:color w:val="000000"/>
                <w:sz w:val="22"/>
                <w:szCs w:val="22"/>
              </w:rPr>
              <w:t>Maksan</w:t>
            </w:r>
            <w:r w:rsidRPr="00B852DB">
              <w:rPr>
                <w:color w:val="000000"/>
                <w:sz w:val="22"/>
                <w:szCs w:val="22"/>
                <w:lang w:val="fi-FI"/>
              </w:rPr>
              <w:t xml:space="preserve"> toimintakokeen</w:t>
            </w:r>
            <w:r w:rsidRPr="00B852DB">
              <w:rPr>
                <w:color w:val="000000"/>
                <w:sz w:val="22"/>
                <w:szCs w:val="22"/>
              </w:rPr>
              <w:t xml:space="preserve"> arvot</w:t>
            </w:r>
          </w:p>
        </w:tc>
      </w:tr>
      <w:tr w:rsidR="00AE3698" w:rsidRPr="00B852DB" w14:paraId="586FBFB5" w14:textId="77777777" w:rsidTr="00345374">
        <w:trPr>
          <w:cantSplit/>
        </w:trPr>
        <w:tc>
          <w:tcPr>
            <w:tcW w:w="3369" w:type="dxa"/>
          </w:tcPr>
          <w:p w14:paraId="586FBFB2" w14:textId="77777777" w:rsidR="00AE3698" w:rsidRPr="00B852DB" w:rsidRDefault="00AE3698" w:rsidP="00345374">
            <w:pPr>
              <w:pStyle w:val="Text"/>
              <w:keepNext/>
              <w:tabs>
                <w:tab w:val="left" w:pos="567"/>
              </w:tabs>
              <w:spacing w:before="0" w:line="260" w:lineRule="exact"/>
              <w:jc w:val="left"/>
              <w:rPr>
                <w:color w:val="000000"/>
                <w:sz w:val="22"/>
                <w:szCs w:val="22"/>
                <w:lang w:val="en-GB"/>
              </w:rPr>
            </w:pPr>
            <w:r w:rsidRPr="00B852DB">
              <w:rPr>
                <w:color w:val="000000"/>
                <w:sz w:val="22"/>
                <w:szCs w:val="22"/>
              </w:rPr>
              <w:t>Lievä</w:t>
            </w:r>
          </w:p>
        </w:tc>
        <w:tc>
          <w:tcPr>
            <w:tcW w:w="5918" w:type="dxa"/>
          </w:tcPr>
          <w:p w14:paraId="586FBFB3" w14:textId="77777777" w:rsidR="00AE3698" w:rsidRPr="00B852DB" w:rsidRDefault="00AE3698" w:rsidP="00345374">
            <w:pPr>
              <w:keepNext/>
              <w:tabs>
                <w:tab w:val="left" w:pos="567"/>
              </w:tabs>
              <w:rPr>
                <w:rFonts w:ascii="Times New Roman" w:hAnsi="Times New Roman"/>
                <w:snapToGrid w:val="0"/>
                <w:sz w:val="22"/>
                <w:szCs w:val="22"/>
              </w:rPr>
            </w:pPr>
            <w:r w:rsidRPr="00B852DB">
              <w:rPr>
                <w:rFonts w:ascii="Times New Roman" w:hAnsi="Times New Roman"/>
                <w:snapToGrid w:val="0"/>
                <w:sz w:val="22"/>
                <w:szCs w:val="22"/>
              </w:rPr>
              <w:t>kokonaisbilirubiini: = 1,5 ULN</w:t>
            </w:r>
          </w:p>
          <w:p w14:paraId="586FBFB4" w14:textId="77777777" w:rsidR="00AE3698" w:rsidRPr="00B852DB" w:rsidRDefault="00AE3698" w:rsidP="00345374">
            <w:pPr>
              <w:pStyle w:val="Text"/>
              <w:keepNext/>
              <w:tabs>
                <w:tab w:val="left" w:pos="567"/>
              </w:tabs>
              <w:spacing w:before="0" w:line="260" w:lineRule="exact"/>
              <w:jc w:val="left"/>
              <w:rPr>
                <w:color w:val="000000"/>
                <w:sz w:val="22"/>
                <w:szCs w:val="22"/>
                <w:lang w:val="fi-FI"/>
              </w:rPr>
            </w:pPr>
            <w:r w:rsidRPr="00B852DB">
              <w:rPr>
                <w:snapToGrid w:val="0"/>
                <w:color w:val="000000"/>
                <w:sz w:val="22"/>
                <w:szCs w:val="22"/>
                <w:lang w:val="fi-FI"/>
              </w:rPr>
              <w:t>ASAT: &gt; ULN (voi olla normaali tai &lt; ULN, jos kokonaisbilirubiini on &gt; ULN)</w:t>
            </w:r>
          </w:p>
        </w:tc>
      </w:tr>
      <w:tr w:rsidR="00AE3698" w:rsidRPr="00B852DB" w14:paraId="586FBFB9" w14:textId="77777777" w:rsidTr="00345374">
        <w:trPr>
          <w:cantSplit/>
        </w:trPr>
        <w:tc>
          <w:tcPr>
            <w:tcW w:w="3369" w:type="dxa"/>
          </w:tcPr>
          <w:p w14:paraId="586FBFB6" w14:textId="77777777" w:rsidR="00AE3698" w:rsidRPr="00B852DB" w:rsidRDefault="00AE3698" w:rsidP="00345374">
            <w:pPr>
              <w:pStyle w:val="Text"/>
              <w:keepNext/>
              <w:tabs>
                <w:tab w:val="left" w:pos="567"/>
              </w:tabs>
              <w:spacing w:before="0" w:line="260" w:lineRule="exact"/>
              <w:jc w:val="left"/>
              <w:rPr>
                <w:color w:val="000000"/>
                <w:sz w:val="22"/>
                <w:szCs w:val="22"/>
                <w:lang w:val="en-GB"/>
              </w:rPr>
            </w:pPr>
            <w:r w:rsidRPr="00B852DB">
              <w:rPr>
                <w:color w:val="000000"/>
                <w:sz w:val="22"/>
                <w:szCs w:val="22"/>
              </w:rPr>
              <w:t>Kohtalainen</w:t>
            </w:r>
          </w:p>
        </w:tc>
        <w:tc>
          <w:tcPr>
            <w:tcW w:w="5918" w:type="dxa"/>
          </w:tcPr>
          <w:p w14:paraId="586FBFB7" w14:textId="77777777" w:rsidR="00AE3698" w:rsidRPr="00B852DB" w:rsidRDefault="00AE3698" w:rsidP="00345374">
            <w:pPr>
              <w:keepNext/>
              <w:tabs>
                <w:tab w:val="left" w:pos="567"/>
              </w:tabs>
              <w:rPr>
                <w:rFonts w:ascii="Times New Roman" w:hAnsi="Times New Roman"/>
                <w:snapToGrid w:val="0"/>
                <w:sz w:val="22"/>
                <w:szCs w:val="22"/>
              </w:rPr>
            </w:pPr>
            <w:r w:rsidRPr="00B852DB">
              <w:rPr>
                <w:rFonts w:ascii="Times New Roman" w:hAnsi="Times New Roman"/>
                <w:snapToGrid w:val="0"/>
                <w:sz w:val="22"/>
                <w:szCs w:val="22"/>
              </w:rPr>
              <w:t>kokonaisbilirubiini: &gt; 1,5</w:t>
            </w:r>
            <w:r w:rsidRPr="00B852DB">
              <w:rPr>
                <w:rFonts w:ascii="Times New Roman" w:hAnsi="Times New Roman"/>
                <w:sz w:val="22"/>
                <w:szCs w:val="22"/>
              </w:rPr>
              <w:t>–</w:t>
            </w:r>
            <w:r w:rsidRPr="00B852DB">
              <w:rPr>
                <w:rFonts w:ascii="Times New Roman" w:hAnsi="Times New Roman"/>
                <w:snapToGrid w:val="0"/>
                <w:sz w:val="22"/>
                <w:szCs w:val="22"/>
              </w:rPr>
              <w:t>3,0 ULN</w:t>
            </w:r>
          </w:p>
          <w:p w14:paraId="586FBFB8" w14:textId="77777777" w:rsidR="00AE3698" w:rsidRPr="00B852DB" w:rsidRDefault="00AE3698" w:rsidP="00345374">
            <w:pPr>
              <w:pStyle w:val="Text"/>
              <w:keepNext/>
              <w:tabs>
                <w:tab w:val="left" w:pos="567"/>
              </w:tabs>
              <w:spacing w:before="0" w:line="260" w:lineRule="exact"/>
              <w:jc w:val="left"/>
              <w:rPr>
                <w:color w:val="000000"/>
                <w:sz w:val="22"/>
                <w:szCs w:val="22"/>
                <w:lang w:val="fi-FI"/>
              </w:rPr>
            </w:pPr>
            <w:r w:rsidRPr="00B852DB">
              <w:rPr>
                <w:snapToGrid w:val="0"/>
                <w:color w:val="000000"/>
                <w:sz w:val="22"/>
                <w:szCs w:val="22"/>
                <w:lang w:val="fi-FI"/>
              </w:rPr>
              <w:t>ASAT: mikä tahansa arvo</w:t>
            </w:r>
          </w:p>
        </w:tc>
      </w:tr>
      <w:tr w:rsidR="00AE3698" w:rsidRPr="00B852DB" w14:paraId="586FBFBD" w14:textId="77777777" w:rsidTr="00345374">
        <w:trPr>
          <w:cantSplit/>
        </w:trPr>
        <w:tc>
          <w:tcPr>
            <w:tcW w:w="3369" w:type="dxa"/>
          </w:tcPr>
          <w:p w14:paraId="586FBFBA" w14:textId="77777777" w:rsidR="00AE3698" w:rsidRPr="00B852DB" w:rsidRDefault="00AE3698" w:rsidP="00345374">
            <w:pPr>
              <w:pStyle w:val="Text"/>
              <w:keepNext/>
              <w:tabs>
                <w:tab w:val="left" w:pos="567"/>
              </w:tabs>
              <w:spacing w:before="0" w:line="260" w:lineRule="exact"/>
              <w:jc w:val="left"/>
              <w:rPr>
                <w:color w:val="000000"/>
                <w:sz w:val="22"/>
                <w:szCs w:val="22"/>
                <w:lang w:val="en-GB"/>
              </w:rPr>
            </w:pPr>
            <w:r w:rsidRPr="00B852DB">
              <w:rPr>
                <w:color w:val="000000"/>
                <w:sz w:val="22"/>
                <w:szCs w:val="22"/>
              </w:rPr>
              <w:t>Vaikea</w:t>
            </w:r>
          </w:p>
        </w:tc>
        <w:tc>
          <w:tcPr>
            <w:tcW w:w="5918" w:type="dxa"/>
          </w:tcPr>
          <w:p w14:paraId="586FBFBB" w14:textId="77777777" w:rsidR="00AE3698" w:rsidRPr="00B852DB" w:rsidRDefault="00AE3698" w:rsidP="00345374">
            <w:pPr>
              <w:keepNext/>
              <w:tabs>
                <w:tab w:val="left" w:pos="567"/>
              </w:tabs>
              <w:rPr>
                <w:rFonts w:ascii="Times New Roman" w:hAnsi="Times New Roman"/>
                <w:snapToGrid w:val="0"/>
                <w:sz w:val="22"/>
                <w:szCs w:val="22"/>
              </w:rPr>
            </w:pPr>
            <w:r w:rsidRPr="00B852DB">
              <w:rPr>
                <w:rFonts w:ascii="Times New Roman" w:hAnsi="Times New Roman"/>
                <w:snapToGrid w:val="0"/>
                <w:sz w:val="22"/>
                <w:szCs w:val="22"/>
              </w:rPr>
              <w:t>kokonaisbilirubiini: &gt; 3</w:t>
            </w:r>
            <w:r w:rsidRPr="00B852DB">
              <w:rPr>
                <w:rFonts w:ascii="Times New Roman" w:hAnsi="Times New Roman"/>
                <w:sz w:val="22"/>
                <w:szCs w:val="22"/>
              </w:rPr>
              <w:t>–</w:t>
            </w:r>
            <w:r w:rsidRPr="00B852DB">
              <w:rPr>
                <w:rFonts w:ascii="Times New Roman" w:hAnsi="Times New Roman"/>
                <w:snapToGrid w:val="0"/>
                <w:sz w:val="22"/>
                <w:szCs w:val="22"/>
              </w:rPr>
              <w:t>10 ULN</w:t>
            </w:r>
          </w:p>
          <w:p w14:paraId="586FBFBC" w14:textId="77777777" w:rsidR="00AE3698" w:rsidRPr="00B852DB" w:rsidRDefault="00AE3698" w:rsidP="00345374">
            <w:pPr>
              <w:pStyle w:val="Text"/>
              <w:keepNext/>
              <w:tabs>
                <w:tab w:val="left" w:pos="567"/>
              </w:tabs>
              <w:spacing w:before="0" w:line="260" w:lineRule="exact"/>
              <w:jc w:val="left"/>
              <w:rPr>
                <w:color w:val="000000"/>
                <w:sz w:val="22"/>
                <w:szCs w:val="22"/>
                <w:lang w:val="fi-FI"/>
              </w:rPr>
            </w:pPr>
            <w:r w:rsidRPr="00B852DB">
              <w:rPr>
                <w:snapToGrid w:val="0"/>
                <w:color w:val="000000"/>
                <w:sz w:val="22"/>
                <w:szCs w:val="22"/>
                <w:lang w:val="fi-FI"/>
              </w:rPr>
              <w:t>ASAT: mikä tahansa arvo</w:t>
            </w:r>
          </w:p>
        </w:tc>
      </w:tr>
    </w:tbl>
    <w:p w14:paraId="586FBFBE" w14:textId="77777777" w:rsidR="00AE3698" w:rsidRPr="00912A5D" w:rsidRDefault="00AE3698" w:rsidP="00345374">
      <w:pPr>
        <w:pStyle w:val="Text"/>
        <w:keepNext/>
        <w:spacing w:before="0"/>
        <w:jc w:val="left"/>
        <w:rPr>
          <w:color w:val="000000"/>
          <w:sz w:val="22"/>
          <w:szCs w:val="22"/>
          <w:lang w:val="fi-FI"/>
        </w:rPr>
      </w:pPr>
      <w:r w:rsidRPr="00912A5D">
        <w:rPr>
          <w:color w:val="000000"/>
          <w:sz w:val="22"/>
          <w:szCs w:val="22"/>
          <w:lang w:val="fi-FI"/>
        </w:rPr>
        <w:t>ULN = normaaliarvon yläraja laitoksessa</w:t>
      </w:r>
    </w:p>
    <w:p w14:paraId="586FBFBF" w14:textId="77777777" w:rsidR="00AE3698" w:rsidRPr="00912A5D" w:rsidRDefault="00AE3698">
      <w:pPr>
        <w:pStyle w:val="EndnoteText"/>
        <w:widowControl w:val="0"/>
        <w:tabs>
          <w:tab w:val="clear" w:pos="567"/>
        </w:tabs>
        <w:rPr>
          <w:color w:val="000000"/>
          <w:szCs w:val="22"/>
          <w:lang w:val="fi-FI"/>
        </w:rPr>
      </w:pPr>
      <w:r w:rsidRPr="00912A5D">
        <w:rPr>
          <w:rFonts w:eastAsia="MS Mincho"/>
          <w:bCs/>
          <w:color w:val="000000"/>
          <w:szCs w:val="22"/>
          <w:lang w:val="fi-FI" w:eastAsia="ja-JP"/>
        </w:rPr>
        <w:t xml:space="preserve">ASAT = </w:t>
      </w:r>
      <w:r w:rsidRPr="00912A5D">
        <w:rPr>
          <w:color w:val="000000"/>
          <w:szCs w:val="22"/>
          <w:lang w:val="fi-FI"/>
        </w:rPr>
        <w:t>asparaattiaminotransferaasi</w:t>
      </w:r>
    </w:p>
    <w:p w14:paraId="586FBFC0" w14:textId="77777777" w:rsidR="00AE3698" w:rsidRPr="00912A5D" w:rsidRDefault="00AE3698">
      <w:pPr>
        <w:pStyle w:val="EndnoteText"/>
        <w:widowControl w:val="0"/>
        <w:tabs>
          <w:tab w:val="clear" w:pos="567"/>
        </w:tabs>
        <w:rPr>
          <w:color w:val="000000"/>
          <w:szCs w:val="22"/>
          <w:lang w:val="fi-FI"/>
        </w:rPr>
      </w:pPr>
    </w:p>
    <w:p w14:paraId="586FBFC1" w14:textId="77777777" w:rsidR="00AE3698" w:rsidRPr="00912A5D" w:rsidRDefault="00AE3698">
      <w:pPr>
        <w:pStyle w:val="EndnoteText"/>
        <w:widowControl w:val="0"/>
        <w:tabs>
          <w:tab w:val="clear" w:pos="567"/>
        </w:tabs>
        <w:rPr>
          <w:color w:val="000000"/>
          <w:szCs w:val="22"/>
          <w:lang w:val="fi-FI"/>
        </w:rPr>
      </w:pPr>
      <w:r w:rsidRPr="00F43D6A">
        <w:rPr>
          <w:i/>
          <w:color w:val="000000"/>
          <w:szCs w:val="22"/>
          <w:lang w:val="fi-FI"/>
        </w:rPr>
        <w:t>Munuaisten vajaatoiminta:</w:t>
      </w:r>
      <w:r w:rsidRPr="00912A5D">
        <w:rPr>
          <w:color w:val="000000"/>
          <w:szCs w:val="22"/>
          <w:lang w:val="fi-FI"/>
        </w:rPr>
        <w:t xml:space="preserve"> Potilaille, joilla on munuaisten vajaatoiminta </w:t>
      </w:r>
      <w:r w:rsidR="00DC4FDD">
        <w:rPr>
          <w:color w:val="000000"/>
          <w:szCs w:val="22"/>
          <w:lang w:val="fi-FI"/>
        </w:rPr>
        <w:t xml:space="preserve">tai jotka saavat dialyysihoitoa, </w:t>
      </w:r>
      <w:r w:rsidRPr="00912A5D">
        <w:rPr>
          <w:color w:val="000000"/>
          <w:szCs w:val="22"/>
          <w:lang w:val="fi-FI"/>
        </w:rPr>
        <w:t>tulee antaa aloitusannoksena pienin suositeltu vuorokausiannos eli 400 mg. Näiden potilaiden kohdalla suositellaan kuitenkin varovaisuutta. Annosta voidaan pienentää, jos potilas ei siedä sitä</w:t>
      </w:r>
      <w:r w:rsidR="00DC4FDD">
        <w:rPr>
          <w:color w:val="000000"/>
          <w:szCs w:val="22"/>
          <w:lang w:val="fi-FI"/>
        </w:rPr>
        <w:t>.</w:t>
      </w:r>
      <w:r w:rsidRPr="00912A5D">
        <w:rPr>
          <w:color w:val="000000"/>
          <w:szCs w:val="22"/>
          <w:lang w:val="fi-FI"/>
        </w:rPr>
        <w:t xml:space="preserve"> </w:t>
      </w:r>
      <w:r w:rsidR="00DC4FDD">
        <w:rPr>
          <w:color w:val="000000"/>
          <w:szCs w:val="22"/>
          <w:lang w:val="fi-FI"/>
        </w:rPr>
        <w:t>Jos annos on siedetty, sitä voidaan</w:t>
      </w:r>
      <w:r w:rsidRPr="00912A5D">
        <w:rPr>
          <w:color w:val="000000"/>
          <w:szCs w:val="22"/>
          <w:lang w:val="fi-FI"/>
        </w:rPr>
        <w:t xml:space="preserve"> suurentaa, ellei teho ole riittävä (ks. kohdat 4.4 ja 5.2).</w:t>
      </w:r>
    </w:p>
    <w:p w14:paraId="586FBFC2" w14:textId="77777777" w:rsidR="00AE3698" w:rsidRPr="00912A5D" w:rsidRDefault="00AE3698">
      <w:pPr>
        <w:pStyle w:val="EndnoteText"/>
        <w:widowControl w:val="0"/>
        <w:tabs>
          <w:tab w:val="clear" w:pos="567"/>
        </w:tabs>
        <w:rPr>
          <w:color w:val="000000"/>
          <w:szCs w:val="22"/>
          <w:lang w:val="fi-FI"/>
        </w:rPr>
      </w:pPr>
    </w:p>
    <w:p w14:paraId="586FBFC3" w14:textId="77777777" w:rsidR="00AE3698" w:rsidRPr="00912A5D" w:rsidRDefault="00507504">
      <w:pPr>
        <w:pStyle w:val="EndnoteText"/>
        <w:widowControl w:val="0"/>
        <w:tabs>
          <w:tab w:val="clear" w:pos="567"/>
        </w:tabs>
        <w:rPr>
          <w:color w:val="000000"/>
          <w:szCs w:val="22"/>
          <w:lang w:val="fi-FI"/>
        </w:rPr>
      </w:pPr>
      <w:r>
        <w:rPr>
          <w:i/>
          <w:color w:val="000000"/>
          <w:szCs w:val="22"/>
          <w:lang w:val="fi-FI"/>
        </w:rPr>
        <w:t>Iäkkäät henkilöt</w:t>
      </w:r>
      <w:r w:rsidR="00AE3698" w:rsidRPr="00F43D6A">
        <w:rPr>
          <w:i/>
          <w:color w:val="000000"/>
          <w:szCs w:val="22"/>
          <w:lang w:val="fi-FI"/>
        </w:rPr>
        <w:t>:</w:t>
      </w:r>
      <w:r w:rsidR="00AE3698" w:rsidRPr="00912A5D">
        <w:rPr>
          <w:color w:val="000000"/>
          <w:szCs w:val="22"/>
          <w:lang w:val="fi-FI"/>
        </w:rPr>
        <w:t xml:space="preserve"> Imatinibin farmakokinetiikkaa ei ole erityisesti tutkittu </w:t>
      </w:r>
      <w:r>
        <w:rPr>
          <w:color w:val="000000"/>
          <w:szCs w:val="22"/>
          <w:lang w:val="fi-FI"/>
        </w:rPr>
        <w:t>iäkkäillä henkilöillä</w:t>
      </w:r>
      <w:r w:rsidR="00AE3698" w:rsidRPr="00912A5D">
        <w:rPr>
          <w:color w:val="000000"/>
          <w:szCs w:val="22"/>
          <w:lang w:val="fi-FI"/>
        </w:rPr>
        <w:t xml:space="preserve">. Kliinisissä tutkimuksissa aikuisilla potilailla, joista yli 20 % oli 65-vuotiaita tai vanhempia, ei havaittu iästä merkittävästi riippuvia muutoksia farmakokinetiikassa. Erityinen annossuositus </w:t>
      </w:r>
      <w:r>
        <w:rPr>
          <w:color w:val="000000"/>
          <w:szCs w:val="22"/>
          <w:lang w:val="fi-FI"/>
        </w:rPr>
        <w:t>iäkkäille henkilöille</w:t>
      </w:r>
      <w:r w:rsidRPr="00912A5D">
        <w:rPr>
          <w:color w:val="000000"/>
          <w:szCs w:val="22"/>
          <w:lang w:val="fi-FI"/>
        </w:rPr>
        <w:t xml:space="preserve"> </w:t>
      </w:r>
      <w:r w:rsidR="00AE3698" w:rsidRPr="00912A5D">
        <w:rPr>
          <w:color w:val="000000"/>
          <w:szCs w:val="22"/>
          <w:lang w:val="fi-FI"/>
        </w:rPr>
        <w:t>ei ole tarpeen.</w:t>
      </w:r>
    </w:p>
    <w:p w14:paraId="586FBFC4" w14:textId="77777777" w:rsidR="00AE3698" w:rsidRPr="00912A5D" w:rsidRDefault="00AE3698">
      <w:pPr>
        <w:pStyle w:val="EndnoteText"/>
        <w:widowControl w:val="0"/>
        <w:tabs>
          <w:tab w:val="clear" w:pos="567"/>
        </w:tabs>
        <w:rPr>
          <w:color w:val="000000"/>
          <w:szCs w:val="22"/>
          <w:lang w:val="fi-FI"/>
        </w:rPr>
      </w:pPr>
    </w:p>
    <w:p w14:paraId="586FBFC5" w14:textId="77777777" w:rsidR="00AE3698" w:rsidRPr="00912A5D" w:rsidRDefault="00AE3698" w:rsidP="00345374">
      <w:pPr>
        <w:keepNext/>
        <w:widowControl w:val="0"/>
        <w:suppressAutoHyphens/>
        <w:ind w:left="567" w:hanging="567"/>
        <w:rPr>
          <w:rFonts w:ascii="Times New Roman" w:hAnsi="Times New Roman"/>
          <w:b/>
          <w:sz w:val="22"/>
          <w:szCs w:val="22"/>
        </w:rPr>
      </w:pPr>
      <w:r w:rsidRPr="00912A5D">
        <w:rPr>
          <w:rFonts w:ascii="Times New Roman" w:hAnsi="Times New Roman"/>
          <w:b/>
          <w:sz w:val="22"/>
          <w:szCs w:val="22"/>
        </w:rPr>
        <w:t>4.3</w:t>
      </w:r>
      <w:r w:rsidRPr="00912A5D">
        <w:rPr>
          <w:rFonts w:ascii="Times New Roman" w:hAnsi="Times New Roman"/>
          <w:b/>
          <w:sz w:val="22"/>
          <w:szCs w:val="22"/>
        </w:rPr>
        <w:tab/>
        <w:t>Vasta-aiheet</w:t>
      </w:r>
    </w:p>
    <w:p w14:paraId="586FBFC6" w14:textId="77777777" w:rsidR="00AE3698" w:rsidRPr="00912A5D" w:rsidRDefault="00AE3698" w:rsidP="00345374">
      <w:pPr>
        <w:pStyle w:val="EndnoteText"/>
        <w:keepNext/>
        <w:widowControl w:val="0"/>
        <w:tabs>
          <w:tab w:val="clear" w:pos="567"/>
        </w:tabs>
        <w:rPr>
          <w:color w:val="000000"/>
          <w:szCs w:val="22"/>
          <w:lang w:val="fi-FI"/>
        </w:rPr>
      </w:pPr>
    </w:p>
    <w:p w14:paraId="586FBFC7"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Yliherkkyys vaikuttavalle aineelle tai </w:t>
      </w:r>
      <w:r w:rsidR="00987B46" w:rsidRPr="00987B46">
        <w:rPr>
          <w:noProof/>
          <w:szCs w:val="24"/>
          <w:lang w:val="fi-FI"/>
        </w:rPr>
        <w:t xml:space="preserve">kohdassa 6.1 mainituille </w:t>
      </w:r>
      <w:r w:rsidRPr="00912A5D">
        <w:rPr>
          <w:color w:val="000000"/>
          <w:szCs w:val="22"/>
          <w:lang w:val="fi-FI"/>
        </w:rPr>
        <w:t>apuaineille.</w:t>
      </w:r>
    </w:p>
    <w:p w14:paraId="586FBFC8" w14:textId="77777777" w:rsidR="00AE3698" w:rsidRPr="00912A5D" w:rsidRDefault="00AE3698">
      <w:pPr>
        <w:pStyle w:val="EndnoteText"/>
        <w:widowControl w:val="0"/>
        <w:tabs>
          <w:tab w:val="clear" w:pos="567"/>
        </w:tabs>
        <w:rPr>
          <w:color w:val="000000"/>
          <w:szCs w:val="22"/>
          <w:lang w:val="fi-FI"/>
        </w:rPr>
      </w:pPr>
    </w:p>
    <w:p w14:paraId="586FBFC9"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4.4</w:t>
      </w:r>
      <w:r w:rsidRPr="00912A5D">
        <w:rPr>
          <w:rFonts w:ascii="Times New Roman" w:hAnsi="Times New Roman"/>
          <w:b/>
          <w:sz w:val="22"/>
          <w:szCs w:val="22"/>
        </w:rPr>
        <w:tab/>
        <w:t>Varoitukset ja käyttöön liittyvät varotoimet</w:t>
      </w:r>
    </w:p>
    <w:p w14:paraId="586FBFCA" w14:textId="77777777" w:rsidR="00AE3698" w:rsidRPr="00912A5D" w:rsidRDefault="00AE3698" w:rsidP="00345374">
      <w:pPr>
        <w:pStyle w:val="EndnoteText"/>
        <w:keepNext/>
        <w:widowControl w:val="0"/>
        <w:tabs>
          <w:tab w:val="clear" w:pos="567"/>
        </w:tabs>
        <w:rPr>
          <w:color w:val="000000"/>
          <w:szCs w:val="22"/>
          <w:lang w:val="fi-FI"/>
        </w:rPr>
      </w:pPr>
    </w:p>
    <w:p w14:paraId="586FBFCB" w14:textId="77777777" w:rsidR="00AE3698" w:rsidRDefault="00AE3698">
      <w:pPr>
        <w:pStyle w:val="EndnoteText"/>
        <w:widowControl w:val="0"/>
        <w:tabs>
          <w:tab w:val="clear" w:pos="567"/>
        </w:tabs>
        <w:rPr>
          <w:lang w:val="fi-FI"/>
        </w:rPr>
      </w:pPr>
      <w:r w:rsidRPr="00912A5D">
        <w:rPr>
          <w:color w:val="000000"/>
          <w:szCs w:val="22"/>
          <w:lang w:val="fi-FI"/>
        </w:rPr>
        <w:t>Yhteisvaikutuksia voi esiintyä annettaessa Gliveciä yhdessä muiden lääkkeiden kanssa.</w:t>
      </w:r>
      <w:r w:rsidR="00EB3A51">
        <w:rPr>
          <w:lang w:val="fi-FI"/>
        </w:rPr>
        <w:t xml:space="preserve"> </w:t>
      </w:r>
      <w:r w:rsidR="005F0B53">
        <w:rPr>
          <w:lang w:val="fi-FI"/>
        </w:rPr>
        <w:t xml:space="preserve">Varovaisuutta on noudatettava, kun Glivec-valmisteen kanssa käytetään samanaikaisesti </w:t>
      </w:r>
      <w:r w:rsidR="006F10E5">
        <w:rPr>
          <w:lang w:val="fi-FI"/>
        </w:rPr>
        <w:t>proteaasin estäjiä, atsoliryhmään kuuluvia sienilääkkeitä, tiettyjä makrolidiantibiootteja (ks. kohta 4.5)</w:t>
      </w:r>
      <w:r w:rsidR="005F0B53">
        <w:rPr>
          <w:lang w:val="fi-FI"/>
        </w:rPr>
        <w:t>, CYP3A4-substraatteja, joilla on pieni terapeuttinen leveys (esim. siklosporiini</w:t>
      </w:r>
      <w:r w:rsidR="00811D35">
        <w:rPr>
          <w:lang w:val="fi-FI"/>
        </w:rPr>
        <w:t>,</w:t>
      </w:r>
      <w:r w:rsidR="005F0B53">
        <w:rPr>
          <w:lang w:val="fi-FI"/>
        </w:rPr>
        <w:t xml:space="preserve"> pimotsidi</w:t>
      </w:r>
      <w:r w:rsidR="00811D35">
        <w:rPr>
          <w:lang w:val="fi-FI"/>
        </w:rPr>
        <w:t>, takrolimuusi, sirolimuusi, ergotamiini, diergotamiini, fentanyyli, alfentaniili, terfenadiini, bortetsomibi, dosetakseli, kinidiini</w:t>
      </w:r>
      <w:r w:rsidR="005F0B53">
        <w:rPr>
          <w:lang w:val="fi-FI"/>
        </w:rPr>
        <w:t>), tai varfariini</w:t>
      </w:r>
      <w:r w:rsidR="00811D35">
        <w:rPr>
          <w:lang w:val="fi-FI"/>
        </w:rPr>
        <w:t>a</w:t>
      </w:r>
      <w:r w:rsidR="005F0B53">
        <w:rPr>
          <w:lang w:val="fi-FI"/>
        </w:rPr>
        <w:t xml:space="preserve"> ja mu</w:t>
      </w:r>
      <w:r w:rsidR="00811D35">
        <w:rPr>
          <w:lang w:val="fi-FI"/>
        </w:rPr>
        <w:t>ita</w:t>
      </w:r>
      <w:r w:rsidR="005F0B53">
        <w:rPr>
          <w:lang w:val="fi-FI"/>
        </w:rPr>
        <w:t xml:space="preserve"> kumariinijohdoks</w:t>
      </w:r>
      <w:r w:rsidR="00811D35">
        <w:rPr>
          <w:lang w:val="fi-FI"/>
        </w:rPr>
        <w:t>ia</w:t>
      </w:r>
      <w:r w:rsidR="005F0B53">
        <w:rPr>
          <w:lang w:val="fi-FI"/>
        </w:rPr>
        <w:t xml:space="preserve"> (ks. kohta 4.5).</w:t>
      </w:r>
    </w:p>
    <w:p w14:paraId="586FBFCC" w14:textId="77777777" w:rsidR="005F0B53" w:rsidRPr="00912A5D" w:rsidRDefault="005F0B53">
      <w:pPr>
        <w:pStyle w:val="EndnoteText"/>
        <w:widowControl w:val="0"/>
        <w:tabs>
          <w:tab w:val="clear" w:pos="567"/>
        </w:tabs>
        <w:rPr>
          <w:color w:val="000000"/>
          <w:szCs w:val="22"/>
          <w:lang w:val="fi-FI"/>
        </w:rPr>
      </w:pPr>
    </w:p>
    <w:p w14:paraId="586FBFCD"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Imatinibin käyttö samanaikaisesti CYP3A4 indusoivien lääkkeiden (esim. deksametasonin, fenytoiinin, karbamatsepiinin, rifampisiinin, fenobarbitaalin tai mäkikuisman (</w:t>
      </w:r>
      <w:r w:rsidRPr="00912A5D">
        <w:rPr>
          <w:i/>
          <w:color w:val="000000"/>
          <w:szCs w:val="22"/>
          <w:lang w:val="fi-FI"/>
        </w:rPr>
        <w:t>Hypericum perforatum</w:t>
      </w:r>
      <w:r w:rsidRPr="00912A5D">
        <w:rPr>
          <w:color w:val="000000"/>
          <w:szCs w:val="22"/>
          <w:lang w:val="fi-FI"/>
        </w:rPr>
        <w:t>)) kanssa saattaa vähentää merkitsevästi Glivec-altistusta, mahdollisesti lisäten hoidon epäonnistumisen riskiä. Siksi voimakkaiden CYP3A4-indusoijien ja imatinibin yhteiskäyttöä tulee välttää (ks. kohta 4.5).</w:t>
      </w:r>
    </w:p>
    <w:p w14:paraId="586FBFCE" w14:textId="77777777" w:rsidR="00AE3698" w:rsidRPr="00912A5D" w:rsidRDefault="00AE3698">
      <w:pPr>
        <w:pStyle w:val="EndnoteText"/>
        <w:widowControl w:val="0"/>
        <w:tabs>
          <w:tab w:val="clear" w:pos="567"/>
        </w:tabs>
        <w:rPr>
          <w:color w:val="000000"/>
          <w:szCs w:val="22"/>
          <w:lang w:val="fi-FI"/>
        </w:rPr>
      </w:pPr>
    </w:p>
    <w:p w14:paraId="586FBFCF" w14:textId="77777777" w:rsidR="00987B46" w:rsidRPr="00987B46" w:rsidRDefault="005B700E" w:rsidP="00345374">
      <w:pPr>
        <w:pStyle w:val="EndnoteText"/>
        <w:keepNext/>
        <w:widowControl w:val="0"/>
        <w:tabs>
          <w:tab w:val="clear" w:pos="567"/>
        </w:tabs>
        <w:rPr>
          <w:color w:val="000000"/>
          <w:szCs w:val="22"/>
          <w:u w:val="single"/>
          <w:lang w:val="fi-FI"/>
        </w:rPr>
      </w:pPr>
      <w:r>
        <w:rPr>
          <w:color w:val="000000"/>
          <w:szCs w:val="22"/>
          <w:u w:val="single"/>
          <w:lang w:val="fi-FI"/>
        </w:rPr>
        <w:t>Hypotyreoosi</w:t>
      </w:r>
    </w:p>
    <w:p w14:paraId="586FBFD0"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Potilailla, joiden kilpirauhanen on poistettu ja jotka saavat levotyroksiinikorvaushoitoa, on ilmoitettu </w:t>
      </w:r>
      <w:r w:rsidRPr="00912A5D">
        <w:rPr>
          <w:color w:val="000000"/>
          <w:szCs w:val="22"/>
          <w:lang w:val="fi-FI"/>
        </w:rPr>
        <w:lastRenderedPageBreak/>
        <w:t xml:space="preserve">kliinistä hypotyreoosia Glivec-hoidon aikana (ks. kohta 4.5). Näiden potilaiden kohdalla </w:t>
      </w:r>
      <w:r w:rsidR="00187FAD">
        <w:rPr>
          <w:color w:val="000000"/>
          <w:szCs w:val="22"/>
          <w:lang w:val="fi-FI"/>
        </w:rPr>
        <w:t>tyreotropiini</w:t>
      </w:r>
      <w:r w:rsidR="00187FAD">
        <w:rPr>
          <w:color w:val="000000"/>
          <w:szCs w:val="22"/>
          <w:lang w:val="fi-FI"/>
        </w:rPr>
        <w:softHyphen/>
        <w:t>arvoja (</w:t>
      </w:r>
      <w:smartTag w:uri="urn:schemas-microsoft-com:office:smarttags" w:element="State">
        <w:r w:rsidRPr="00912A5D">
          <w:rPr>
            <w:color w:val="000000"/>
            <w:szCs w:val="22"/>
            <w:lang w:val="fi-FI"/>
          </w:rPr>
          <w:t>TSH</w:t>
        </w:r>
      </w:smartTag>
      <w:r w:rsidRPr="00912A5D">
        <w:rPr>
          <w:color w:val="000000"/>
          <w:szCs w:val="22"/>
          <w:lang w:val="fi-FI"/>
        </w:rPr>
        <w:t>-arvoja</w:t>
      </w:r>
      <w:r w:rsidR="00187FAD">
        <w:rPr>
          <w:color w:val="000000"/>
          <w:szCs w:val="22"/>
          <w:lang w:val="fi-FI"/>
        </w:rPr>
        <w:t>)</w:t>
      </w:r>
      <w:r w:rsidRPr="00912A5D">
        <w:rPr>
          <w:color w:val="000000"/>
          <w:szCs w:val="22"/>
          <w:lang w:val="fi-FI"/>
        </w:rPr>
        <w:t xml:space="preserve"> on seurattava huolellisesti.</w:t>
      </w:r>
    </w:p>
    <w:p w14:paraId="586FBFD1" w14:textId="77777777" w:rsidR="00AE3698" w:rsidRPr="00912A5D" w:rsidRDefault="00AE3698">
      <w:pPr>
        <w:pStyle w:val="EndnoteText"/>
        <w:widowControl w:val="0"/>
        <w:tabs>
          <w:tab w:val="clear" w:pos="567"/>
        </w:tabs>
        <w:rPr>
          <w:color w:val="000000"/>
          <w:szCs w:val="22"/>
          <w:lang w:val="fi-FI"/>
        </w:rPr>
      </w:pPr>
    </w:p>
    <w:p w14:paraId="586FBFD2" w14:textId="77777777" w:rsidR="00987B46" w:rsidRDefault="00987B46" w:rsidP="00345374">
      <w:pPr>
        <w:pStyle w:val="EndnoteText"/>
        <w:keepNext/>
        <w:widowControl w:val="0"/>
        <w:tabs>
          <w:tab w:val="clear" w:pos="567"/>
        </w:tabs>
        <w:rPr>
          <w:color w:val="000000"/>
          <w:szCs w:val="22"/>
          <w:u w:val="single"/>
          <w:lang w:val="fi-FI"/>
        </w:rPr>
      </w:pPr>
      <w:r>
        <w:rPr>
          <w:color w:val="000000"/>
          <w:szCs w:val="22"/>
          <w:u w:val="single"/>
          <w:lang w:val="fi-FI"/>
        </w:rPr>
        <w:t>Maksatoksisuus</w:t>
      </w:r>
    </w:p>
    <w:p w14:paraId="586FBFD3"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Glivec metaboloituu pääosin maksassa ja vain 13 % erittyy munuaisten kautta. Potilailla, joilla on maksan vajaatoiminta (lievä, kohtalainen tai vaikea), perifeeristä verenkuvaa ja maksaentsyymejä on seurattava huolellisesti (ks. kohdat 4.2, 4.8 ja 5.2). On huomioitava, että GIST-potilailla saattaa olla maksan metastaaseja, mikä voi johtaa maksan vajaatoimintaan.</w:t>
      </w:r>
    </w:p>
    <w:p w14:paraId="586FBFD4" w14:textId="77777777" w:rsidR="00AE3698" w:rsidRPr="00912A5D" w:rsidRDefault="00AE3698">
      <w:pPr>
        <w:pStyle w:val="EndnoteText"/>
        <w:widowControl w:val="0"/>
        <w:tabs>
          <w:tab w:val="clear" w:pos="567"/>
        </w:tabs>
        <w:rPr>
          <w:color w:val="000000"/>
          <w:szCs w:val="22"/>
          <w:lang w:val="fi-FI"/>
        </w:rPr>
      </w:pPr>
      <w:bookmarkStart w:id="1" w:name="OLE_LINK4"/>
    </w:p>
    <w:p w14:paraId="586FBFD5" w14:textId="77777777" w:rsidR="00AE3698" w:rsidRPr="00912A5D" w:rsidRDefault="00423941">
      <w:pPr>
        <w:pStyle w:val="EndnoteText"/>
        <w:widowControl w:val="0"/>
        <w:tabs>
          <w:tab w:val="clear" w:pos="567"/>
        </w:tabs>
        <w:rPr>
          <w:color w:val="000000"/>
          <w:szCs w:val="22"/>
          <w:lang w:val="fi-FI"/>
        </w:rPr>
      </w:pPr>
      <w:r w:rsidRPr="00912A5D">
        <w:rPr>
          <w:color w:val="000000"/>
          <w:szCs w:val="22"/>
          <w:lang w:val="fi-FI"/>
        </w:rPr>
        <w:t xml:space="preserve">Imatinibin käytön yhteydessä on raportoitu maksavauriotapauksia mukaan lukien maksan vajaatoiminta ja maksanekroosi. </w:t>
      </w:r>
      <w:r w:rsidR="00AE3698" w:rsidRPr="00912A5D">
        <w:rPr>
          <w:color w:val="000000"/>
          <w:szCs w:val="22"/>
          <w:lang w:val="fi-FI"/>
        </w:rPr>
        <w:t>Kun imatinibi yhdistet</w:t>
      </w:r>
      <w:r w:rsidR="00796351" w:rsidRPr="00912A5D">
        <w:rPr>
          <w:color w:val="000000"/>
          <w:szCs w:val="22"/>
          <w:lang w:val="fi-FI"/>
        </w:rPr>
        <w:t>tii</w:t>
      </w:r>
      <w:r w:rsidR="00AE3698" w:rsidRPr="00912A5D">
        <w:rPr>
          <w:color w:val="000000"/>
          <w:szCs w:val="22"/>
          <w:lang w:val="fi-FI"/>
        </w:rPr>
        <w:t>n suuriannoksisiin kemoterapiahoitoihin</w:t>
      </w:r>
      <w:r w:rsidRPr="00912A5D">
        <w:rPr>
          <w:color w:val="000000"/>
          <w:szCs w:val="22"/>
          <w:lang w:val="fi-FI"/>
        </w:rPr>
        <w:t>, havaittiin vakavien maksa</w:t>
      </w:r>
      <w:r w:rsidR="00B97172" w:rsidRPr="00912A5D">
        <w:rPr>
          <w:color w:val="000000"/>
          <w:szCs w:val="22"/>
          <w:lang w:val="fi-FI"/>
        </w:rPr>
        <w:t>vaikutusten</w:t>
      </w:r>
      <w:r w:rsidRPr="00912A5D">
        <w:rPr>
          <w:color w:val="000000"/>
          <w:szCs w:val="22"/>
          <w:lang w:val="fi-FI"/>
        </w:rPr>
        <w:t xml:space="preserve"> lisääntymistä.</w:t>
      </w:r>
      <w:r w:rsidR="00AE3698" w:rsidRPr="00912A5D">
        <w:rPr>
          <w:color w:val="000000"/>
          <w:szCs w:val="22"/>
          <w:lang w:val="fi-FI"/>
        </w:rPr>
        <w:t xml:space="preserve"> </w:t>
      </w:r>
      <w:r w:rsidRPr="00912A5D">
        <w:rPr>
          <w:color w:val="000000"/>
          <w:szCs w:val="22"/>
          <w:lang w:val="fi-FI"/>
        </w:rPr>
        <w:t>Maksan toimintaa tulee seurata huolellisesti</w:t>
      </w:r>
      <w:r w:rsidR="00AE3698" w:rsidRPr="00912A5D">
        <w:rPr>
          <w:color w:val="000000"/>
          <w:szCs w:val="22"/>
          <w:lang w:val="fi-FI"/>
        </w:rPr>
        <w:t>, jos imatinibi yhdistetään kemoterapiahoitoihin, joiden tiedetään voivan aiheuttaa maksan toimintahäiriöitä (ks. kohta 4.5 ja 4.8).</w:t>
      </w:r>
    </w:p>
    <w:bookmarkEnd w:id="1"/>
    <w:p w14:paraId="586FBFD6" w14:textId="77777777" w:rsidR="00AE3698" w:rsidRPr="00912A5D" w:rsidRDefault="00AE3698">
      <w:pPr>
        <w:pStyle w:val="EndnoteText"/>
        <w:widowControl w:val="0"/>
        <w:tabs>
          <w:tab w:val="clear" w:pos="567"/>
        </w:tabs>
        <w:rPr>
          <w:color w:val="000000"/>
          <w:szCs w:val="22"/>
          <w:lang w:val="fi-FI"/>
        </w:rPr>
      </w:pPr>
    </w:p>
    <w:p w14:paraId="586FBFD7" w14:textId="77777777" w:rsidR="00987B46" w:rsidRDefault="00987B46" w:rsidP="00345374">
      <w:pPr>
        <w:pStyle w:val="EndnoteText"/>
        <w:keepNext/>
        <w:widowControl w:val="0"/>
        <w:tabs>
          <w:tab w:val="clear" w:pos="567"/>
        </w:tabs>
        <w:rPr>
          <w:color w:val="000000"/>
          <w:szCs w:val="22"/>
          <w:u w:val="single"/>
          <w:lang w:val="fi-FI"/>
        </w:rPr>
      </w:pPr>
      <w:r>
        <w:rPr>
          <w:color w:val="000000"/>
          <w:szCs w:val="22"/>
          <w:u w:val="single"/>
          <w:lang w:val="fi-FI"/>
        </w:rPr>
        <w:t>Neste</w:t>
      </w:r>
      <w:r w:rsidR="005B700E">
        <w:rPr>
          <w:color w:val="000000"/>
          <w:szCs w:val="22"/>
          <w:u w:val="single"/>
          <w:lang w:val="fi-FI"/>
        </w:rPr>
        <w:t>r</w:t>
      </w:r>
      <w:r>
        <w:rPr>
          <w:color w:val="000000"/>
          <w:szCs w:val="22"/>
          <w:u w:val="single"/>
          <w:lang w:val="fi-FI"/>
        </w:rPr>
        <w:t>e</w:t>
      </w:r>
      <w:r w:rsidR="005B700E">
        <w:rPr>
          <w:color w:val="000000"/>
          <w:szCs w:val="22"/>
          <w:u w:val="single"/>
          <w:lang w:val="fi-FI"/>
        </w:rPr>
        <w:t>te</w:t>
      </w:r>
      <w:r>
        <w:rPr>
          <w:color w:val="000000"/>
          <w:szCs w:val="22"/>
          <w:u w:val="single"/>
          <w:lang w:val="fi-FI"/>
        </w:rPr>
        <w:t>n</w:t>
      </w:r>
      <w:r w:rsidR="005B700E">
        <w:rPr>
          <w:color w:val="000000"/>
          <w:szCs w:val="22"/>
          <w:u w:val="single"/>
          <w:lang w:val="fi-FI"/>
        </w:rPr>
        <w:t>tio</w:t>
      </w:r>
    </w:p>
    <w:p w14:paraId="586FBFD8"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Vaikeita nestekertymiä (pleuraeffuusio, ödeema, keuhkoödeema, askites, pinnallinen ödeema) on ilmoitettu esiintyneen noin 2,5 %:lla Gliveciä saaneista vasta diagnosoiduista </w:t>
      </w:r>
      <w:smartTag w:uri="urn:schemas-microsoft-com:office:smarttags" w:element="State">
        <w:r w:rsidRPr="00912A5D">
          <w:rPr>
            <w:color w:val="000000"/>
            <w:szCs w:val="22"/>
            <w:lang w:val="fi-FI"/>
          </w:rPr>
          <w:t>KML</w:t>
        </w:r>
      </w:smartTag>
      <w:r w:rsidRPr="00912A5D">
        <w:rPr>
          <w:color w:val="000000"/>
          <w:szCs w:val="22"/>
          <w:lang w:val="fi-FI"/>
        </w:rPr>
        <w:t xml:space="preserve">-potilaista. Siksi potilaiden säännöllistä punnitsemista suositellaan voimakkaasti. Odottamattoman nopean painonnousun syy on selvitettävä tarkasti ja tarvittaessa on ryhdyttävä asianmukaisiin tuki- ja hoitotoimiin. Kliinisissä tutkimuksissa näitä tapahtumia havaittiin useammin </w:t>
      </w:r>
      <w:r w:rsidR="00C67279">
        <w:rPr>
          <w:color w:val="000000"/>
          <w:szCs w:val="22"/>
          <w:lang w:val="fi-FI"/>
        </w:rPr>
        <w:t>iäkkäillä henkilöillä</w:t>
      </w:r>
      <w:r w:rsidR="00C67279" w:rsidRPr="00912A5D">
        <w:rPr>
          <w:color w:val="000000"/>
          <w:szCs w:val="22"/>
          <w:lang w:val="fi-FI"/>
        </w:rPr>
        <w:t xml:space="preserve"> </w:t>
      </w:r>
      <w:r w:rsidRPr="00912A5D">
        <w:rPr>
          <w:color w:val="000000"/>
          <w:szCs w:val="22"/>
          <w:lang w:val="fi-FI"/>
        </w:rPr>
        <w:t>ja potilailla joilla oli aiemmin ollut sydänsairauksia. Siksi varovaisuutta on noudatettava potilaiden kohdalla, joilla on sydämen toimintahäiriö.</w:t>
      </w:r>
    </w:p>
    <w:p w14:paraId="586FBFD9" w14:textId="77777777" w:rsidR="00AE3698" w:rsidRPr="00912A5D" w:rsidRDefault="00AE3698">
      <w:pPr>
        <w:pStyle w:val="EndnoteText"/>
        <w:widowControl w:val="0"/>
        <w:tabs>
          <w:tab w:val="clear" w:pos="567"/>
        </w:tabs>
        <w:rPr>
          <w:color w:val="000000"/>
          <w:szCs w:val="22"/>
          <w:lang w:val="fi-FI"/>
        </w:rPr>
      </w:pPr>
    </w:p>
    <w:p w14:paraId="586FBFDA" w14:textId="77777777" w:rsidR="00987B46" w:rsidRDefault="00987B46" w:rsidP="00345374">
      <w:pPr>
        <w:pStyle w:val="EndnoteText"/>
        <w:keepNext/>
        <w:widowControl w:val="0"/>
        <w:tabs>
          <w:tab w:val="clear" w:pos="567"/>
        </w:tabs>
        <w:rPr>
          <w:color w:val="000000"/>
          <w:szCs w:val="22"/>
          <w:u w:val="single"/>
          <w:lang w:val="fi-FI"/>
        </w:rPr>
      </w:pPr>
      <w:r>
        <w:rPr>
          <w:color w:val="000000"/>
          <w:szCs w:val="22"/>
          <w:u w:val="single"/>
          <w:lang w:val="fi-FI"/>
        </w:rPr>
        <w:t>Potilaat, joilla on sydänsairaus</w:t>
      </w:r>
    </w:p>
    <w:p w14:paraId="586FBFDB" w14:textId="77777777" w:rsidR="00AE3698" w:rsidRPr="00912A5D" w:rsidRDefault="00AE3698">
      <w:pPr>
        <w:pStyle w:val="EndnoteText"/>
        <w:widowControl w:val="0"/>
        <w:tabs>
          <w:tab w:val="clear" w:pos="567"/>
        </w:tabs>
        <w:rPr>
          <w:color w:val="000000"/>
          <w:szCs w:val="22"/>
          <w:lang w:val="fi-FI"/>
        </w:rPr>
      </w:pPr>
      <w:r w:rsidRPr="009425C2">
        <w:rPr>
          <w:color w:val="000000"/>
          <w:szCs w:val="22"/>
          <w:lang w:val="fi-FI"/>
        </w:rPr>
        <w:t>Jos potilaalla on jokin sydänsairaus</w:t>
      </w:r>
      <w:r w:rsidR="005A54FA" w:rsidRPr="009425C2">
        <w:rPr>
          <w:color w:val="000000"/>
          <w:szCs w:val="22"/>
          <w:lang w:val="fi-FI"/>
        </w:rPr>
        <w:t>,</w:t>
      </w:r>
      <w:r w:rsidRPr="009425C2">
        <w:rPr>
          <w:color w:val="000000"/>
          <w:szCs w:val="22"/>
          <w:lang w:val="fi-FI"/>
        </w:rPr>
        <w:t xml:space="preserve"> sydämen vajaatoiminnan riskitekijöitä</w:t>
      </w:r>
      <w:r w:rsidR="005A54FA" w:rsidRPr="009425C2">
        <w:rPr>
          <w:color w:val="000000"/>
          <w:szCs w:val="22"/>
          <w:lang w:val="fi-FI"/>
        </w:rPr>
        <w:t xml:space="preserve"> tai </w:t>
      </w:r>
      <w:r w:rsidR="005A54FA" w:rsidRPr="00191264">
        <w:rPr>
          <w:color w:val="000000"/>
          <w:szCs w:val="22"/>
          <w:lang w:val="fi-FI"/>
        </w:rPr>
        <w:t>jos hänellä on aiemmin ollut munuaisten vajaatoiminta</w:t>
      </w:r>
      <w:r w:rsidRPr="00C8174C">
        <w:rPr>
          <w:color w:val="000000"/>
          <w:szCs w:val="22"/>
          <w:lang w:val="fi-FI"/>
        </w:rPr>
        <w:t xml:space="preserve">, häntä tulee seurata huolellisesti. Kaikki potilaat, joille kehittyy sydämen </w:t>
      </w:r>
      <w:r w:rsidR="005A54FA" w:rsidRPr="00E97BAE">
        <w:rPr>
          <w:color w:val="000000"/>
          <w:szCs w:val="22"/>
          <w:lang w:val="fi-FI"/>
        </w:rPr>
        <w:t xml:space="preserve">tai munuaisten </w:t>
      </w:r>
      <w:r w:rsidRPr="00E97BAE">
        <w:rPr>
          <w:color w:val="000000"/>
          <w:szCs w:val="22"/>
          <w:lang w:val="fi-FI"/>
        </w:rPr>
        <w:t>vajaatoimintaan viittaavia merkkejä tai oireita, tulee arvioida ja hoitaa.</w:t>
      </w:r>
    </w:p>
    <w:p w14:paraId="586FBFDC" w14:textId="77777777" w:rsidR="00AE3698" w:rsidRPr="00912A5D" w:rsidRDefault="00AE3698">
      <w:pPr>
        <w:pStyle w:val="EndnoteText"/>
        <w:widowControl w:val="0"/>
        <w:tabs>
          <w:tab w:val="clear" w:pos="567"/>
        </w:tabs>
        <w:rPr>
          <w:color w:val="000000"/>
          <w:szCs w:val="22"/>
          <w:lang w:val="fi-FI"/>
        </w:rPr>
      </w:pPr>
    </w:p>
    <w:p w14:paraId="586FBFDD" w14:textId="77777777" w:rsidR="00C82420" w:rsidRDefault="00AE3698">
      <w:pPr>
        <w:pStyle w:val="Text"/>
        <w:spacing w:before="0"/>
        <w:jc w:val="left"/>
        <w:rPr>
          <w:snapToGrid w:val="0"/>
          <w:color w:val="000000"/>
          <w:sz w:val="22"/>
          <w:szCs w:val="22"/>
          <w:lang w:val="fi-FI" w:eastAsia="de-DE"/>
        </w:rPr>
      </w:pPr>
      <w:r w:rsidRPr="00912A5D">
        <w:rPr>
          <w:color w:val="000000"/>
          <w:sz w:val="22"/>
          <w:szCs w:val="22"/>
          <w:lang w:val="fi-FI"/>
        </w:rPr>
        <w:t xml:space="preserve">Potilailla, </w:t>
      </w:r>
      <w:r w:rsidR="006F0778" w:rsidRPr="00912A5D">
        <w:rPr>
          <w:color w:val="000000"/>
          <w:sz w:val="22"/>
          <w:szCs w:val="22"/>
          <w:lang w:val="fi-FI"/>
        </w:rPr>
        <w:t>joi</w:t>
      </w:r>
      <w:r w:rsidR="006F0778">
        <w:rPr>
          <w:color w:val="000000"/>
          <w:sz w:val="22"/>
          <w:szCs w:val="22"/>
          <w:lang w:val="fi-FI"/>
        </w:rPr>
        <w:t>lla on</w:t>
      </w:r>
      <w:r w:rsidR="006F0778" w:rsidRPr="00912A5D">
        <w:rPr>
          <w:color w:val="000000"/>
          <w:sz w:val="22"/>
          <w:szCs w:val="22"/>
          <w:lang w:val="fi-FI"/>
        </w:rPr>
        <w:t xml:space="preserve"> </w:t>
      </w:r>
      <w:r w:rsidRPr="00912A5D">
        <w:rPr>
          <w:color w:val="000000"/>
          <w:sz w:val="22"/>
          <w:szCs w:val="22"/>
          <w:lang w:val="fi-FI"/>
        </w:rPr>
        <w:t>hypereosinofiilinen oireyhtymä</w:t>
      </w:r>
      <w:r w:rsidR="00C82420">
        <w:rPr>
          <w:color w:val="000000"/>
          <w:sz w:val="22"/>
          <w:szCs w:val="22"/>
          <w:lang w:val="fi-FI"/>
        </w:rPr>
        <w:t xml:space="preserve"> (HES)</w:t>
      </w:r>
      <w:r w:rsidR="006F0778">
        <w:rPr>
          <w:color w:val="000000"/>
          <w:sz w:val="22"/>
          <w:szCs w:val="22"/>
          <w:lang w:val="fi-FI"/>
        </w:rPr>
        <w:t xml:space="preserve">, jossa esiintyy HES-solujen </w:t>
      </w:r>
      <w:r w:rsidR="00052C3B">
        <w:rPr>
          <w:color w:val="000000"/>
          <w:sz w:val="22"/>
          <w:szCs w:val="22"/>
          <w:lang w:val="fi-FI"/>
        </w:rPr>
        <w:t>piilevää</w:t>
      </w:r>
      <w:r w:rsidR="006F0778">
        <w:rPr>
          <w:color w:val="000000"/>
          <w:sz w:val="22"/>
          <w:szCs w:val="22"/>
          <w:lang w:val="fi-FI"/>
        </w:rPr>
        <w:t xml:space="preserve"> infiltraatiota sydänlihakseen</w:t>
      </w:r>
      <w:r w:rsidRPr="00912A5D">
        <w:rPr>
          <w:color w:val="000000"/>
          <w:sz w:val="22"/>
          <w:szCs w:val="22"/>
          <w:lang w:val="fi-FI"/>
        </w:rPr>
        <w:t xml:space="preserve">, </w:t>
      </w:r>
      <w:r w:rsidR="00C82420">
        <w:rPr>
          <w:color w:val="000000"/>
          <w:sz w:val="22"/>
          <w:szCs w:val="22"/>
          <w:lang w:val="fi-FI"/>
        </w:rPr>
        <w:t xml:space="preserve">on </w:t>
      </w:r>
      <w:r w:rsidRPr="00912A5D">
        <w:rPr>
          <w:color w:val="000000"/>
          <w:sz w:val="22"/>
          <w:szCs w:val="22"/>
          <w:lang w:val="fi-FI"/>
        </w:rPr>
        <w:t xml:space="preserve">imatinibihoidon aloittamisen </w:t>
      </w:r>
      <w:r w:rsidR="006F0778">
        <w:rPr>
          <w:color w:val="000000"/>
          <w:sz w:val="22"/>
          <w:szCs w:val="22"/>
          <w:lang w:val="fi-FI"/>
        </w:rPr>
        <w:t xml:space="preserve">jälkeiseen HES-solujen degranulaatioon </w:t>
      </w:r>
      <w:r w:rsidRPr="00912A5D">
        <w:rPr>
          <w:color w:val="000000"/>
          <w:sz w:val="22"/>
          <w:szCs w:val="22"/>
          <w:lang w:val="fi-FI"/>
        </w:rPr>
        <w:t>liittynyt yksittäistapauksina kardiogeenista sokkia ja vasemman kammion toimintahäiriöitä. Tapaukset ovat olleet ohimeneviä, kun potilaille on annettu systeemisiä steroideja, verenkiertoa on tuettu ja imatinibihoito on väliaikaisesti keskeytetty. Imatinibihoidon yhteydessä on toisinaan ilmoitettu sydämeen kohdistuvia haittatapahtumia, joten imatinibihoidon hyötyjä ja riskejä tulee punnita huolellisesti ennen hoidon aloittamista, jos potilaalla on hypereosinofiilinen oireyhtymä/krooninen eosinofiilinen leukemia.</w:t>
      </w:r>
    </w:p>
    <w:p w14:paraId="586FBFDE" w14:textId="77777777" w:rsidR="00C82420" w:rsidRDefault="00C82420">
      <w:pPr>
        <w:pStyle w:val="Text"/>
        <w:spacing w:before="0"/>
        <w:jc w:val="left"/>
        <w:rPr>
          <w:snapToGrid w:val="0"/>
          <w:color w:val="000000"/>
          <w:sz w:val="22"/>
          <w:szCs w:val="22"/>
          <w:lang w:val="fi-FI" w:eastAsia="de-DE"/>
        </w:rPr>
      </w:pPr>
    </w:p>
    <w:p w14:paraId="586FBFDF" w14:textId="77777777" w:rsidR="00AE3698" w:rsidRPr="00912A5D" w:rsidRDefault="00AE3698">
      <w:pPr>
        <w:pStyle w:val="Text"/>
        <w:spacing w:before="0"/>
        <w:jc w:val="left"/>
        <w:rPr>
          <w:color w:val="000000"/>
          <w:sz w:val="22"/>
          <w:szCs w:val="22"/>
          <w:lang w:val="fi-FI"/>
        </w:rPr>
      </w:pPr>
      <w:r w:rsidRPr="00912A5D">
        <w:rPr>
          <w:color w:val="000000"/>
          <w:sz w:val="22"/>
          <w:szCs w:val="22"/>
          <w:lang w:val="fi-FI"/>
        </w:rPr>
        <w:t xml:space="preserve">Myelodysplastisen oireyhtymän ja myeloproliferatiivisten sairauksien </w:t>
      </w:r>
      <w:r w:rsidRPr="00912A5D">
        <w:rPr>
          <w:snapToGrid w:val="0"/>
          <w:color w:val="000000"/>
          <w:sz w:val="22"/>
          <w:szCs w:val="22"/>
          <w:lang w:val="fi-FI" w:eastAsia="de-DE"/>
        </w:rPr>
        <w:t>ja PDGFR-geenin uudelleenjärjestäytymisen yhteydessä voi esiintyä korkeita eosinofiiliarvoja.</w:t>
      </w:r>
      <w:r w:rsidRPr="00912A5D">
        <w:rPr>
          <w:color w:val="000000"/>
          <w:sz w:val="22"/>
          <w:szCs w:val="22"/>
          <w:lang w:val="fi-FI"/>
        </w:rPr>
        <w:t xml:space="preserve"> Potilaille, joilla on hypereosinofiilinen oireyhtymä/krooninen eosinofiilinen leukemia, ja potilaille, joilla on myelodysplastinen oireyhtymä/myeloproliferatiivinen sairaus ja korkeat eosinofiiliarvot, tulee harkita kardiologin tutkimusta, sydämen ultraäänitutkimusta ja seerumin troponiinin määritystä ennen imatinibihoidon aloittamista. Jos tutkimustuloksissa on poikkeavuuksia, kardiologin on ehkä syytä seurata potilaan tilaa, ja systeemisten steroidien antamista estohoitona (1</w:t>
      </w:r>
      <w:r w:rsidRPr="00912A5D">
        <w:rPr>
          <w:color w:val="000000"/>
          <w:sz w:val="22"/>
          <w:szCs w:val="22"/>
          <w:lang w:val="fi-FI"/>
        </w:rPr>
        <w:noBreakHyphen/>
        <w:t>2 mg/kg) samanaikaisesti imatinibin kanssa ensimmäisten 1–2 viikon ajan tulee harkita.</w:t>
      </w:r>
    </w:p>
    <w:p w14:paraId="586FBFE0" w14:textId="77777777" w:rsidR="00A627D5" w:rsidRPr="00912A5D" w:rsidRDefault="00A627D5" w:rsidP="00A627D5">
      <w:pPr>
        <w:pStyle w:val="EndnoteText"/>
        <w:widowControl w:val="0"/>
        <w:tabs>
          <w:tab w:val="clear" w:pos="567"/>
        </w:tabs>
        <w:rPr>
          <w:color w:val="000000"/>
          <w:szCs w:val="22"/>
          <w:lang w:val="fi-FI"/>
        </w:rPr>
      </w:pPr>
    </w:p>
    <w:p w14:paraId="586FBFE1" w14:textId="77777777" w:rsidR="005A54FA" w:rsidRDefault="005A54FA" w:rsidP="00345374">
      <w:pPr>
        <w:pStyle w:val="EndnoteText"/>
        <w:keepNext/>
        <w:widowControl w:val="0"/>
        <w:tabs>
          <w:tab w:val="clear" w:pos="567"/>
        </w:tabs>
        <w:rPr>
          <w:color w:val="000000"/>
          <w:szCs w:val="22"/>
          <w:u w:val="single"/>
          <w:lang w:val="fi-FI"/>
        </w:rPr>
      </w:pPr>
      <w:r>
        <w:rPr>
          <w:color w:val="000000"/>
          <w:szCs w:val="22"/>
          <w:u w:val="single"/>
          <w:lang w:val="fi-FI"/>
        </w:rPr>
        <w:t>Ruuansulatuskanavan verenvuot</w:t>
      </w:r>
      <w:r w:rsidR="005B700E">
        <w:rPr>
          <w:color w:val="000000"/>
          <w:szCs w:val="22"/>
          <w:u w:val="single"/>
          <w:lang w:val="fi-FI"/>
        </w:rPr>
        <w:t>o</w:t>
      </w:r>
    </w:p>
    <w:p w14:paraId="586FBFE2" w14:textId="77777777" w:rsidR="00AE3698" w:rsidRDefault="00A627D5" w:rsidP="00A627D5">
      <w:pPr>
        <w:pStyle w:val="EndnoteText"/>
        <w:widowControl w:val="0"/>
        <w:tabs>
          <w:tab w:val="clear" w:pos="567"/>
        </w:tabs>
        <w:rPr>
          <w:color w:val="000000"/>
          <w:szCs w:val="22"/>
          <w:lang w:val="fi-FI"/>
        </w:rPr>
      </w:pPr>
      <w:r w:rsidRPr="00912A5D">
        <w:rPr>
          <w:color w:val="000000"/>
          <w:szCs w:val="22"/>
          <w:lang w:val="fi-FI"/>
        </w:rPr>
        <w:t>GIST-tutkimuksessa</w:t>
      </w:r>
      <w:r w:rsidRPr="00E15938">
        <w:rPr>
          <w:szCs w:val="22"/>
          <w:lang w:val="fi-FI"/>
        </w:rPr>
        <w:t>, kun potilaiden kasvainta ei voida leikata ja/tai kun kasvain on metastasoitunut</w:t>
      </w:r>
      <w:r>
        <w:rPr>
          <w:szCs w:val="22"/>
          <w:lang w:val="fi-FI"/>
        </w:rPr>
        <w:t>,</w:t>
      </w:r>
      <w:r w:rsidRPr="00912A5D">
        <w:rPr>
          <w:color w:val="000000"/>
          <w:szCs w:val="22"/>
          <w:lang w:val="fi-FI"/>
        </w:rPr>
        <w:t xml:space="preserve"> raportoitiin sekä ruuansulatuskanavan verenvuotoa että verenvuotoja kasvaimien alueella (ks. kohta 4.8).</w:t>
      </w:r>
      <w:r w:rsidR="00AE3698" w:rsidRPr="00912A5D">
        <w:rPr>
          <w:color w:val="000000"/>
          <w:szCs w:val="22"/>
          <w:lang w:val="fi-FI"/>
        </w:rPr>
        <w:t xml:space="preserve"> Käytettävissä olevan tiedon perusteella ei ole tunnistettu altistavia tekijöitä (kuten kasvaimen koko, sijainti tai häiriö hyytymistekijöissä), jotka lisäisivät GIST-potilaan riskiä saada kummankaan tyyppinen verenvuoto. Koska lisääntynyt verisuonitus ja taipumus verenvuotoon kuuluu osana GIST-tautiin, on verenvuodot pyrittävä tavanomaisia tutkimus- ja hoitomenetelmiä käyttäen havaitsemaan ja hoitamaan kaikilla potilailla.</w:t>
      </w:r>
    </w:p>
    <w:p w14:paraId="586FBFE3" w14:textId="77777777" w:rsidR="00561CFE" w:rsidRDefault="00561CFE" w:rsidP="00A627D5">
      <w:pPr>
        <w:pStyle w:val="EndnoteText"/>
        <w:widowControl w:val="0"/>
        <w:tabs>
          <w:tab w:val="clear" w:pos="567"/>
        </w:tabs>
        <w:rPr>
          <w:color w:val="000000"/>
          <w:szCs w:val="22"/>
          <w:lang w:val="fi-FI"/>
        </w:rPr>
      </w:pPr>
    </w:p>
    <w:p w14:paraId="586FBFE4" w14:textId="77777777" w:rsidR="00D61C3C" w:rsidRDefault="00D61C3C" w:rsidP="00A627D5">
      <w:pPr>
        <w:pStyle w:val="EndnoteText"/>
        <w:widowControl w:val="0"/>
        <w:tabs>
          <w:tab w:val="clear" w:pos="567"/>
        </w:tabs>
        <w:rPr>
          <w:color w:val="000000"/>
          <w:szCs w:val="22"/>
          <w:lang w:val="fi-FI"/>
        </w:rPr>
      </w:pPr>
      <w:r>
        <w:rPr>
          <w:color w:val="000000"/>
          <w:szCs w:val="22"/>
          <w:lang w:val="fi-FI"/>
        </w:rPr>
        <w:t xml:space="preserve">Markkinoille tulon jälkeisessä käytössä KML-, ALL- sekä muilla potilailla on raportoitu </w:t>
      </w:r>
      <w:r w:rsidR="00945FE8">
        <w:rPr>
          <w:color w:val="000000"/>
          <w:szCs w:val="22"/>
          <w:lang w:val="fi-FI"/>
        </w:rPr>
        <w:t>lisäksi</w:t>
      </w:r>
      <w:r>
        <w:rPr>
          <w:color w:val="000000"/>
          <w:szCs w:val="22"/>
          <w:lang w:val="fi-FI"/>
        </w:rPr>
        <w:t xml:space="preserve"> </w:t>
      </w:r>
      <w:r>
        <w:rPr>
          <w:color w:val="000000"/>
          <w:szCs w:val="22"/>
          <w:lang w:val="fi-FI"/>
        </w:rPr>
        <w:lastRenderedPageBreak/>
        <w:t>mahalaukun antraalista</w:t>
      </w:r>
      <w:r w:rsidRPr="00D61C3C">
        <w:rPr>
          <w:color w:val="000000"/>
          <w:szCs w:val="22"/>
          <w:lang w:val="fi-FI"/>
        </w:rPr>
        <w:t xml:space="preserve"> vaskulaari</w:t>
      </w:r>
      <w:r>
        <w:rPr>
          <w:color w:val="000000"/>
          <w:szCs w:val="22"/>
          <w:lang w:val="fi-FI"/>
        </w:rPr>
        <w:t>sta</w:t>
      </w:r>
      <w:r w:rsidRPr="00D61C3C">
        <w:rPr>
          <w:color w:val="000000"/>
          <w:szCs w:val="22"/>
          <w:lang w:val="fi-FI"/>
        </w:rPr>
        <w:t xml:space="preserve"> ektasia</w:t>
      </w:r>
      <w:r>
        <w:rPr>
          <w:color w:val="000000"/>
          <w:szCs w:val="22"/>
          <w:lang w:val="fi-FI"/>
        </w:rPr>
        <w:t xml:space="preserve">a, joka on </w:t>
      </w:r>
      <w:r w:rsidR="0079396D">
        <w:rPr>
          <w:color w:val="000000"/>
          <w:szCs w:val="22"/>
          <w:lang w:val="fi-FI"/>
        </w:rPr>
        <w:t>ru</w:t>
      </w:r>
      <w:r w:rsidR="00F22F14">
        <w:rPr>
          <w:color w:val="000000"/>
          <w:szCs w:val="22"/>
          <w:lang w:val="fi-FI"/>
        </w:rPr>
        <w:t>u</w:t>
      </w:r>
      <w:r w:rsidR="0079396D">
        <w:rPr>
          <w:color w:val="000000"/>
          <w:szCs w:val="22"/>
          <w:lang w:val="fi-FI"/>
        </w:rPr>
        <w:t>ansulatus</w:t>
      </w:r>
      <w:r>
        <w:rPr>
          <w:color w:val="000000"/>
          <w:szCs w:val="22"/>
          <w:lang w:val="fi-FI"/>
        </w:rPr>
        <w:t xml:space="preserve">kanavan verenvuodon harvinainen </w:t>
      </w:r>
      <w:r w:rsidR="000F7ACB" w:rsidRPr="000F7ACB">
        <w:rPr>
          <w:color w:val="000000"/>
          <w:szCs w:val="22"/>
          <w:lang w:val="fi-FI"/>
        </w:rPr>
        <w:t xml:space="preserve">aiheuttaja </w:t>
      </w:r>
      <w:r>
        <w:rPr>
          <w:color w:val="000000"/>
          <w:szCs w:val="22"/>
          <w:lang w:val="fi-FI"/>
        </w:rPr>
        <w:t>(ks. kohta 4.8). Tarvittaessa voidaan harkita Glivec-hoidon keskeyttämistä.</w:t>
      </w:r>
    </w:p>
    <w:p w14:paraId="586FBFE5" w14:textId="77777777" w:rsidR="00D61C3C" w:rsidRDefault="00D61C3C" w:rsidP="00A627D5">
      <w:pPr>
        <w:pStyle w:val="EndnoteText"/>
        <w:widowControl w:val="0"/>
        <w:tabs>
          <w:tab w:val="clear" w:pos="567"/>
        </w:tabs>
        <w:rPr>
          <w:color w:val="000000"/>
          <w:szCs w:val="22"/>
          <w:lang w:val="fi-FI"/>
        </w:rPr>
      </w:pPr>
    </w:p>
    <w:p w14:paraId="586FBFE6" w14:textId="77777777" w:rsidR="005A54FA" w:rsidRPr="005A54FA" w:rsidRDefault="005A54FA" w:rsidP="00345374">
      <w:pPr>
        <w:pStyle w:val="EndnoteText"/>
        <w:keepNext/>
        <w:widowControl w:val="0"/>
        <w:tabs>
          <w:tab w:val="clear" w:pos="567"/>
        </w:tabs>
        <w:rPr>
          <w:color w:val="000000"/>
          <w:szCs w:val="22"/>
          <w:u w:val="single"/>
          <w:lang w:val="fi-FI"/>
        </w:rPr>
      </w:pPr>
      <w:r>
        <w:rPr>
          <w:color w:val="000000"/>
          <w:szCs w:val="22"/>
          <w:u w:val="single"/>
          <w:lang w:val="fi-FI"/>
        </w:rPr>
        <w:t>Tuumorilyysisyndrooma</w:t>
      </w:r>
    </w:p>
    <w:p w14:paraId="586FBFE7" w14:textId="77777777" w:rsidR="00561CFE" w:rsidRDefault="00561CFE" w:rsidP="00A627D5">
      <w:pPr>
        <w:pStyle w:val="EndnoteText"/>
        <w:widowControl w:val="0"/>
        <w:tabs>
          <w:tab w:val="clear" w:pos="567"/>
        </w:tabs>
        <w:rPr>
          <w:color w:val="000000"/>
          <w:szCs w:val="22"/>
          <w:lang w:val="fi-FI"/>
        </w:rPr>
      </w:pPr>
      <w:r>
        <w:rPr>
          <w:color w:val="000000"/>
          <w:szCs w:val="22"/>
          <w:lang w:val="fi-FI"/>
        </w:rPr>
        <w:t>Kliinisesti merkit</w:t>
      </w:r>
      <w:r w:rsidR="00186334">
        <w:rPr>
          <w:color w:val="000000"/>
          <w:szCs w:val="22"/>
          <w:lang w:val="fi-FI"/>
        </w:rPr>
        <w:t>tä</w:t>
      </w:r>
      <w:r>
        <w:rPr>
          <w:color w:val="000000"/>
          <w:szCs w:val="22"/>
          <w:lang w:val="fi-FI"/>
        </w:rPr>
        <w:t>vän neste</w:t>
      </w:r>
      <w:r w:rsidR="00186334">
        <w:rPr>
          <w:color w:val="000000"/>
          <w:szCs w:val="22"/>
          <w:lang w:val="fi-FI"/>
        </w:rPr>
        <w:t>huka</w:t>
      </w:r>
      <w:r>
        <w:rPr>
          <w:color w:val="000000"/>
          <w:szCs w:val="22"/>
          <w:lang w:val="fi-FI"/>
        </w:rPr>
        <w:t xml:space="preserve">n korjaaminen ja korkeiden virtsahappotasojen </w:t>
      </w:r>
      <w:r w:rsidR="008832B9">
        <w:rPr>
          <w:color w:val="000000"/>
          <w:szCs w:val="22"/>
          <w:lang w:val="fi-FI"/>
        </w:rPr>
        <w:t>alentaminen</w:t>
      </w:r>
      <w:r w:rsidR="008F0798">
        <w:rPr>
          <w:color w:val="000000"/>
          <w:szCs w:val="22"/>
          <w:lang w:val="fi-FI"/>
        </w:rPr>
        <w:t xml:space="preserve"> on suositeltavaa ennen Glivec-hoidon aloittamista </w:t>
      </w:r>
      <w:r w:rsidR="008832B9">
        <w:rPr>
          <w:color w:val="000000"/>
          <w:szCs w:val="22"/>
          <w:lang w:val="fi-FI"/>
        </w:rPr>
        <w:t xml:space="preserve">mahdollisen </w:t>
      </w:r>
      <w:r w:rsidR="00EF43D1">
        <w:rPr>
          <w:color w:val="000000"/>
          <w:szCs w:val="22"/>
          <w:lang w:val="fi-FI"/>
        </w:rPr>
        <w:t>tuumorilyysi</w:t>
      </w:r>
      <w:r w:rsidR="008F0798">
        <w:rPr>
          <w:color w:val="000000"/>
          <w:szCs w:val="22"/>
          <w:lang w:val="fi-FI"/>
        </w:rPr>
        <w:t>syndrooman (TLS) ilmenemisen vuoksi (ks. kohta 4.8).</w:t>
      </w:r>
    </w:p>
    <w:p w14:paraId="586FBFE8" w14:textId="77777777" w:rsidR="007B7FAA" w:rsidRPr="00912A5D" w:rsidRDefault="007B7FAA" w:rsidP="00A627D5">
      <w:pPr>
        <w:pStyle w:val="EndnoteText"/>
        <w:widowControl w:val="0"/>
        <w:tabs>
          <w:tab w:val="clear" w:pos="567"/>
        </w:tabs>
        <w:rPr>
          <w:color w:val="000000"/>
          <w:szCs w:val="22"/>
          <w:lang w:val="fi-FI"/>
        </w:rPr>
      </w:pPr>
    </w:p>
    <w:p w14:paraId="586FBFE9" w14:textId="77777777" w:rsidR="007B7FAA" w:rsidRPr="009F60C1" w:rsidRDefault="007B7FAA" w:rsidP="00F820AB">
      <w:pPr>
        <w:pStyle w:val="EndnoteText"/>
        <w:keepNext/>
        <w:widowControl w:val="0"/>
        <w:rPr>
          <w:color w:val="000000"/>
          <w:szCs w:val="22"/>
          <w:u w:val="single"/>
          <w:lang w:val="fi-FI"/>
        </w:rPr>
      </w:pPr>
      <w:r w:rsidRPr="009F60C1">
        <w:rPr>
          <w:color w:val="000000"/>
          <w:szCs w:val="22"/>
          <w:u w:val="single"/>
          <w:lang w:val="fi-FI"/>
        </w:rPr>
        <w:t>Hepatiitti B:n uudelleen aktivoituminen</w:t>
      </w:r>
    </w:p>
    <w:p w14:paraId="586FBFEA" w14:textId="77777777" w:rsidR="007B7FAA" w:rsidRPr="007B7FAA" w:rsidRDefault="007B7FAA" w:rsidP="007B7FAA">
      <w:pPr>
        <w:pStyle w:val="EndnoteText"/>
        <w:widowControl w:val="0"/>
        <w:rPr>
          <w:color w:val="000000"/>
          <w:szCs w:val="22"/>
          <w:lang w:val="fi-FI"/>
        </w:rPr>
      </w:pPr>
      <w:r w:rsidRPr="007B7FAA">
        <w:rPr>
          <w:color w:val="000000"/>
          <w:szCs w:val="22"/>
          <w:lang w:val="fi-FI"/>
        </w:rPr>
        <w:t>Hepatiitti B:n uudelleen aktivoitumista on tapahtunut kyseisen viruksen pysyvillä kantajilla sen jälkeen, kun potilas on saanut BCR-ABL-tyrosiinikinaasin estäjiä. Tämä aiheutti joissakin tapauksissa maksan vajaatoimintaa tai fulminanttia hepatiittia, joka johti maksansiirtoon tai kuolemaan.</w:t>
      </w:r>
    </w:p>
    <w:p w14:paraId="586FBFEB" w14:textId="77777777" w:rsidR="00533F7E" w:rsidRDefault="00533F7E" w:rsidP="007B7FAA">
      <w:pPr>
        <w:pStyle w:val="EndnoteText"/>
        <w:widowControl w:val="0"/>
        <w:tabs>
          <w:tab w:val="clear" w:pos="567"/>
        </w:tabs>
        <w:rPr>
          <w:color w:val="000000"/>
          <w:szCs w:val="22"/>
          <w:lang w:val="fi-FI"/>
        </w:rPr>
      </w:pPr>
    </w:p>
    <w:p w14:paraId="586FBFEC" w14:textId="77777777" w:rsidR="00AE3698" w:rsidRPr="00912A5D" w:rsidRDefault="007B7FAA" w:rsidP="007B7FAA">
      <w:pPr>
        <w:pStyle w:val="EndnoteText"/>
        <w:widowControl w:val="0"/>
        <w:tabs>
          <w:tab w:val="clear" w:pos="567"/>
        </w:tabs>
        <w:rPr>
          <w:color w:val="000000"/>
          <w:szCs w:val="22"/>
          <w:lang w:val="fi-FI"/>
        </w:rPr>
      </w:pPr>
      <w:r w:rsidRPr="007B7FAA">
        <w:rPr>
          <w:color w:val="000000"/>
          <w:szCs w:val="22"/>
          <w:lang w:val="fi-FI"/>
        </w:rPr>
        <w:t xml:space="preserve">Potilaat on testattava hepatiitti B -viruksen varalta ennen </w:t>
      </w:r>
      <w:r>
        <w:rPr>
          <w:color w:val="000000"/>
          <w:szCs w:val="22"/>
          <w:lang w:val="fi-FI"/>
        </w:rPr>
        <w:t>Glivec</w:t>
      </w:r>
      <w:r w:rsidRPr="007B7FAA">
        <w:rPr>
          <w:color w:val="000000"/>
          <w:szCs w:val="22"/>
          <w:lang w:val="fi-FI"/>
        </w:rPr>
        <w:t xml:space="preserve"> -hoidon aloittamista. Maksasairauksien ja hepatiitti B:n hoitoon perehtyneitä asiantuntijoita on kuultava ennen hoidon aloittamista, jos potilaan hepatiitti B -serologia on positiivinen (mukaan lukien potilaat, joilla sairaus on aktiivinen) ja jos potilas saa positiivisen hepatiitti B -testituloksen hoidon aikana. Hepatiitti B -viruksen kantajia, jotka tarvitsevat </w:t>
      </w:r>
      <w:r>
        <w:rPr>
          <w:color w:val="000000"/>
          <w:szCs w:val="22"/>
          <w:lang w:val="fi-FI"/>
        </w:rPr>
        <w:t>Glivec</w:t>
      </w:r>
      <w:r w:rsidRPr="007B7FAA">
        <w:rPr>
          <w:color w:val="000000"/>
          <w:szCs w:val="22"/>
          <w:lang w:val="fi-FI"/>
        </w:rPr>
        <w:t xml:space="preserve"> -hoitoa, on seurattava tarkasti</w:t>
      </w:r>
      <w:r>
        <w:rPr>
          <w:color w:val="000000"/>
          <w:szCs w:val="22"/>
          <w:lang w:val="fi-FI"/>
        </w:rPr>
        <w:t xml:space="preserve"> </w:t>
      </w:r>
      <w:r w:rsidRPr="007B7FAA">
        <w:rPr>
          <w:color w:val="000000"/>
          <w:szCs w:val="22"/>
          <w:lang w:val="fi-FI"/>
        </w:rPr>
        <w:t>aktiivisen hepatiitti B -virusinfektion oireiden varalta koko hoidon ajan ja useita kuukausia hoidon jälkeen (ks. kohta</w:t>
      </w:r>
      <w:r w:rsidR="002B6674">
        <w:rPr>
          <w:color w:val="000000"/>
          <w:szCs w:val="22"/>
          <w:lang w:val="fi-FI"/>
        </w:rPr>
        <w:t> </w:t>
      </w:r>
      <w:r w:rsidRPr="007B7FAA">
        <w:rPr>
          <w:color w:val="000000"/>
          <w:szCs w:val="22"/>
          <w:lang w:val="fi-FI"/>
        </w:rPr>
        <w:t>4.8).</w:t>
      </w:r>
    </w:p>
    <w:p w14:paraId="586FBFED" w14:textId="77777777" w:rsidR="007B7FAA" w:rsidRDefault="007B7FAA">
      <w:pPr>
        <w:pStyle w:val="EndnoteText"/>
        <w:widowControl w:val="0"/>
        <w:tabs>
          <w:tab w:val="clear" w:pos="567"/>
        </w:tabs>
        <w:rPr>
          <w:color w:val="000000"/>
          <w:szCs w:val="22"/>
          <w:u w:val="single"/>
          <w:lang w:val="fi-FI"/>
        </w:rPr>
      </w:pPr>
    </w:p>
    <w:p w14:paraId="586FBFEE" w14:textId="77777777" w:rsidR="00CD0F10" w:rsidRPr="00CD0F10" w:rsidRDefault="00CD0F10" w:rsidP="00374F8A">
      <w:pPr>
        <w:pStyle w:val="EndnoteText"/>
        <w:keepNext/>
        <w:widowControl w:val="0"/>
        <w:tabs>
          <w:tab w:val="clear" w:pos="567"/>
        </w:tabs>
        <w:rPr>
          <w:color w:val="000000"/>
          <w:szCs w:val="22"/>
          <w:u w:val="single"/>
          <w:lang w:val="fi-FI"/>
        </w:rPr>
      </w:pPr>
      <w:r w:rsidRPr="00CD0F10">
        <w:rPr>
          <w:color w:val="000000"/>
          <w:szCs w:val="22"/>
          <w:u w:val="single"/>
          <w:lang w:val="fi-FI"/>
        </w:rPr>
        <w:t>Fototoksisuus</w:t>
      </w:r>
    </w:p>
    <w:p w14:paraId="586FBFEF" w14:textId="77777777" w:rsidR="00CD0F10" w:rsidRPr="00CF4148" w:rsidRDefault="00CD0F10">
      <w:pPr>
        <w:pStyle w:val="EndnoteText"/>
        <w:widowControl w:val="0"/>
        <w:tabs>
          <w:tab w:val="clear" w:pos="567"/>
        </w:tabs>
        <w:rPr>
          <w:color w:val="000000"/>
          <w:szCs w:val="22"/>
          <w:lang w:val="fi-FI"/>
        </w:rPr>
      </w:pPr>
      <w:r>
        <w:rPr>
          <w:color w:val="000000"/>
          <w:szCs w:val="22"/>
          <w:lang w:val="fi-FI"/>
        </w:rPr>
        <w:t>Suoraa auringonvaloa on vältettävä tai altistumisen on oltava mahdollisimman vähäistä, sillä imatinibihoitoon liittyy fototoksisuusriski. Potilai</w:t>
      </w:r>
      <w:r w:rsidR="00FE21C9">
        <w:rPr>
          <w:color w:val="000000"/>
          <w:szCs w:val="22"/>
          <w:lang w:val="fi-FI"/>
        </w:rPr>
        <w:t>ta</w:t>
      </w:r>
      <w:r>
        <w:rPr>
          <w:color w:val="000000"/>
          <w:szCs w:val="22"/>
          <w:lang w:val="fi-FI"/>
        </w:rPr>
        <w:t xml:space="preserve"> on </w:t>
      </w:r>
      <w:r w:rsidR="00FE21C9">
        <w:rPr>
          <w:color w:val="000000"/>
          <w:szCs w:val="22"/>
          <w:lang w:val="fi-FI"/>
        </w:rPr>
        <w:t>ohjattava käyttämään suojautumiskeinoja kuten suojaavaa</w:t>
      </w:r>
      <w:r>
        <w:rPr>
          <w:color w:val="000000"/>
          <w:szCs w:val="22"/>
          <w:lang w:val="fi-FI"/>
        </w:rPr>
        <w:t xml:space="preserve"> vaatetu</w:t>
      </w:r>
      <w:r w:rsidR="00FE21C9">
        <w:rPr>
          <w:color w:val="000000"/>
          <w:szCs w:val="22"/>
          <w:lang w:val="fi-FI"/>
        </w:rPr>
        <w:t>sta</w:t>
      </w:r>
      <w:r>
        <w:rPr>
          <w:color w:val="000000"/>
          <w:szCs w:val="22"/>
          <w:lang w:val="fi-FI"/>
        </w:rPr>
        <w:t xml:space="preserve"> ja </w:t>
      </w:r>
      <w:r w:rsidR="00FE21C9">
        <w:rPr>
          <w:color w:val="000000"/>
          <w:szCs w:val="22"/>
          <w:lang w:val="fi-FI"/>
        </w:rPr>
        <w:t>aurinkosuojaa, jossa on korkea suojakerroin</w:t>
      </w:r>
      <w:r>
        <w:rPr>
          <w:color w:val="000000"/>
          <w:szCs w:val="22"/>
          <w:lang w:val="fi-FI"/>
        </w:rPr>
        <w:t xml:space="preserve"> (SPF)</w:t>
      </w:r>
      <w:r w:rsidR="00FE21C9">
        <w:rPr>
          <w:color w:val="000000"/>
          <w:szCs w:val="22"/>
          <w:lang w:val="fi-FI"/>
        </w:rPr>
        <w:t>.</w:t>
      </w:r>
    </w:p>
    <w:p w14:paraId="586FBFF0" w14:textId="77777777" w:rsidR="00CD0F10" w:rsidRDefault="00CD0F10">
      <w:pPr>
        <w:pStyle w:val="EndnoteText"/>
        <w:widowControl w:val="0"/>
        <w:tabs>
          <w:tab w:val="clear" w:pos="567"/>
        </w:tabs>
        <w:rPr>
          <w:color w:val="000000"/>
          <w:szCs w:val="22"/>
          <w:u w:val="single"/>
          <w:lang w:val="fi-FI"/>
        </w:rPr>
      </w:pPr>
    </w:p>
    <w:p w14:paraId="586FBFF1" w14:textId="77777777" w:rsidR="002B0CBF" w:rsidRPr="00C54CAD" w:rsidRDefault="002B0CBF" w:rsidP="002B0CBF">
      <w:pPr>
        <w:pStyle w:val="EndnoteText"/>
        <w:keepNext/>
        <w:widowControl w:val="0"/>
        <w:tabs>
          <w:tab w:val="clear" w:pos="567"/>
        </w:tabs>
        <w:rPr>
          <w:snapToGrid w:val="0"/>
          <w:color w:val="000000"/>
          <w:szCs w:val="22"/>
          <w:u w:val="single"/>
          <w:lang w:val="fi-FI"/>
        </w:rPr>
      </w:pPr>
      <w:r w:rsidRPr="00C54CAD">
        <w:rPr>
          <w:snapToGrid w:val="0"/>
          <w:color w:val="000000"/>
          <w:szCs w:val="22"/>
          <w:u w:val="single"/>
          <w:lang w:val="fi-FI"/>
        </w:rPr>
        <w:t>Tromboottinen mikroangiopatia</w:t>
      </w:r>
    </w:p>
    <w:p w14:paraId="586FBFF2" w14:textId="77777777" w:rsidR="002B0CBF" w:rsidRPr="00C54CAD" w:rsidRDefault="002B0CBF" w:rsidP="002B0CBF">
      <w:pPr>
        <w:pStyle w:val="EndnoteText"/>
        <w:widowControl w:val="0"/>
        <w:tabs>
          <w:tab w:val="clear" w:pos="567"/>
        </w:tabs>
        <w:rPr>
          <w:color w:val="000000"/>
          <w:szCs w:val="22"/>
          <w:lang w:val="fi-FI"/>
        </w:rPr>
      </w:pPr>
      <w:r w:rsidRPr="00C54CAD">
        <w:rPr>
          <w:color w:val="000000"/>
          <w:szCs w:val="22"/>
          <w:lang w:val="fi-FI"/>
        </w:rPr>
        <w:t xml:space="preserve">BCR-ABL-tyrosiinikinaasin estäjien käyttöön on liittynyt tromboottista mikroangiopatiaa, myös yksittäisiä tapauskertomuksia Glivec-hoidon yhteydessä (ks. kohta 4.8). Jos Glivec-hoitoa saavalla potilaalla havaitaan tromboottiseen mikroangiopatiaan liittyviä laboratorio- tai kliinisiä löydöksiä, hoito on </w:t>
      </w:r>
      <w:r w:rsidR="00C11C5B">
        <w:rPr>
          <w:color w:val="000000"/>
          <w:szCs w:val="22"/>
          <w:lang w:val="fi-FI"/>
        </w:rPr>
        <w:t>keskeytettävä</w:t>
      </w:r>
      <w:r w:rsidRPr="00C54CAD">
        <w:rPr>
          <w:color w:val="000000"/>
          <w:szCs w:val="22"/>
          <w:lang w:val="fi-FI"/>
        </w:rPr>
        <w:t xml:space="preserve"> ja tromboottisesta mikroangiopatiasta on tehtävä perusteellinen arvio, johon sisältyy ADAMTS13-aktiivisuuden ja ADAMTS13-vasta-aineiden määritys. Jos ADAMTS13-vasta-aineet ovat koholla ja ADAMTS13-aktiivisuus on samanaikaisesti alentunut, Glivec-hoitoa ei pidä aloittaa uudelleen.</w:t>
      </w:r>
    </w:p>
    <w:p w14:paraId="586FBFF3" w14:textId="77777777" w:rsidR="002B0CBF" w:rsidRDefault="002B0CBF">
      <w:pPr>
        <w:pStyle w:val="EndnoteText"/>
        <w:widowControl w:val="0"/>
        <w:tabs>
          <w:tab w:val="clear" w:pos="567"/>
        </w:tabs>
        <w:rPr>
          <w:color w:val="000000"/>
          <w:szCs w:val="22"/>
          <w:u w:val="single"/>
          <w:lang w:val="fi-FI"/>
        </w:rPr>
      </w:pPr>
    </w:p>
    <w:p w14:paraId="586FBFF4" w14:textId="77777777" w:rsidR="00AE3698" w:rsidRPr="00912A5D" w:rsidRDefault="00AE3698" w:rsidP="001C676D">
      <w:pPr>
        <w:pStyle w:val="EndnoteText"/>
        <w:keepNext/>
        <w:widowControl w:val="0"/>
        <w:tabs>
          <w:tab w:val="clear" w:pos="567"/>
        </w:tabs>
        <w:rPr>
          <w:color w:val="000000"/>
          <w:szCs w:val="22"/>
          <w:lang w:val="fi-FI"/>
        </w:rPr>
      </w:pPr>
      <w:r w:rsidRPr="00912A5D">
        <w:rPr>
          <w:color w:val="000000"/>
          <w:szCs w:val="22"/>
          <w:u w:val="single"/>
          <w:lang w:val="fi-FI"/>
        </w:rPr>
        <w:t>Laboratoriokokeet</w:t>
      </w:r>
    </w:p>
    <w:p w14:paraId="586FBFF5"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Täydellinen verenkuva on määritettävä säännöllisesti Glivec-hoidon aikana. Kroonista myelooista leukemiaa sairastavien potilaiden Glivec-hoitoon on liittynyt neutropeniaa tai trombosytopeniaa. Näiden sytopenioiden esiintyminen liittyy todennäköisesti kuitenkin hoidettavan taudin vaiheeseen, ja ne olivat tavallisempia kroonisen myelooisen leukemian akseleraatiovaihetta tai blastikriisiä sairastavilla kuin kroonista vaihetta sairastavilla potilailla. Glivec-hoito voidaan keskeyttää tai annosta pienentää kohdan 4.2 suositusten mukaan.</w:t>
      </w:r>
    </w:p>
    <w:p w14:paraId="586FBFF6" w14:textId="77777777" w:rsidR="00AE3698" w:rsidRPr="00912A5D" w:rsidRDefault="00AE3698">
      <w:pPr>
        <w:pStyle w:val="EndnoteText"/>
        <w:widowControl w:val="0"/>
        <w:tabs>
          <w:tab w:val="clear" w:pos="567"/>
        </w:tabs>
        <w:rPr>
          <w:color w:val="000000"/>
          <w:szCs w:val="22"/>
          <w:lang w:val="fi-FI"/>
        </w:rPr>
      </w:pPr>
    </w:p>
    <w:p w14:paraId="586FBFF7"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Glivec-hoitoa saavien potilaiden maksan toimintaa (transaminaasit, bilirubiini, alkalinen fosfataasi) pitää seurata säännöllisesti.</w:t>
      </w:r>
    </w:p>
    <w:p w14:paraId="586FBFF8" w14:textId="77777777" w:rsidR="00AE3698" w:rsidRPr="00912A5D" w:rsidRDefault="00AE3698">
      <w:pPr>
        <w:pStyle w:val="EndnoteText"/>
        <w:widowControl w:val="0"/>
        <w:tabs>
          <w:tab w:val="clear" w:pos="567"/>
        </w:tabs>
        <w:rPr>
          <w:color w:val="000000"/>
          <w:szCs w:val="22"/>
          <w:lang w:val="fi-FI"/>
        </w:rPr>
      </w:pPr>
    </w:p>
    <w:p w14:paraId="586FBFF9" w14:textId="77777777" w:rsidR="00AE3698" w:rsidRDefault="00AE3698">
      <w:pPr>
        <w:pStyle w:val="EndnoteText"/>
        <w:widowControl w:val="0"/>
        <w:tabs>
          <w:tab w:val="clear" w:pos="567"/>
        </w:tabs>
        <w:rPr>
          <w:color w:val="000000"/>
          <w:szCs w:val="22"/>
          <w:lang w:val="fi-FI"/>
        </w:rPr>
      </w:pPr>
      <w:r w:rsidRPr="00912A5D">
        <w:rPr>
          <w:color w:val="000000"/>
          <w:szCs w:val="22"/>
          <w:lang w:val="fi-FI"/>
        </w:rPr>
        <w:t>Potilailla, joiden munuaistoiminta on heikentynyt, plasman imatinibialtistus vaikuttaa olevan suurempi kuin potilailla, joiden munuaistoiminta on normaali. Tämä johtuu todennäköisesti siitä, että imatinibia sitovan happaman alfa-1-glykoproteiinin (AGP) pitoisuus munuaisten vajaatoimintapotilaiden plasmassa on kohonnut. Munuaisten vajaatoimintapotilaille tulee antaa pienin mahdollinen aloitusannos. Vaikeaa munuaisten vajaatoimintaa sairastavia potilaita on hoidettava varoen. Annosta voidaan pienentää, jos siedettävyysongelmia ilmenee (ks. kohdat 4.2 ja 5.2).</w:t>
      </w:r>
    </w:p>
    <w:p w14:paraId="586FBFFA" w14:textId="77777777" w:rsidR="00440FDD" w:rsidRDefault="00440FDD">
      <w:pPr>
        <w:pStyle w:val="EndnoteText"/>
        <w:widowControl w:val="0"/>
        <w:tabs>
          <w:tab w:val="clear" w:pos="567"/>
        </w:tabs>
        <w:rPr>
          <w:color w:val="000000"/>
          <w:szCs w:val="22"/>
          <w:lang w:val="fi-FI"/>
        </w:rPr>
      </w:pPr>
    </w:p>
    <w:p w14:paraId="586FBFFB" w14:textId="77777777" w:rsidR="006D384B" w:rsidRDefault="00440FDD">
      <w:pPr>
        <w:pStyle w:val="EndnoteText"/>
        <w:widowControl w:val="0"/>
        <w:tabs>
          <w:tab w:val="clear" w:pos="567"/>
        </w:tabs>
        <w:rPr>
          <w:color w:val="000000"/>
          <w:szCs w:val="22"/>
          <w:lang w:val="fi-FI"/>
        </w:rPr>
      </w:pPr>
      <w:r>
        <w:rPr>
          <w:color w:val="000000"/>
          <w:szCs w:val="22"/>
          <w:lang w:val="fi-FI"/>
        </w:rPr>
        <w:t>Pitkäkestoiseen imatinibihoitoon voi liittyä kliinisesti merkitsevä</w:t>
      </w:r>
      <w:r w:rsidR="00597FC4">
        <w:rPr>
          <w:color w:val="000000"/>
          <w:szCs w:val="22"/>
          <w:lang w:val="fi-FI"/>
        </w:rPr>
        <w:t>ä</w:t>
      </w:r>
      <w:r>
        <w:rPr>
          <w:color w:val="000000"/>
          <w:szCs w:val="22"/>
          <w:lang w:val="fi-FI"/>
        </w:rPr>
        <w:t xml:space="preserve"> munuaisten toiminnan h</w:t>
      </w:r>
      <w:r w:rsidR="00F60AFC">
        <w:rPr>
          <w:color w:val="000000"/>
          <w:szCs w:val="22"/>
          <w:lang w:val="fi-FI"/>
        </w:rPr>
        <w:t>eikkenemi</w:t>
      </w:r>
      <w:r w:rsidR="00597FC4">
        <w:rPr>
          <w:color w:val="000000"/>
          <w:szCs w:val="22"/>
          <w:lang w:val="fi-FI"/>
        </w:rPr>
        <w:t>st</w:t>
      </w:r>
      <w:r w:rsidR="00F60AFC">
        <w:rPr>
          <w:color w:val="000000"/>
          <w:szCs w:val="22"/>
          <w:lang w:val="fi-FI"/>
        </w:rPr>
        <w:t>ä</w:t>
      </w:r>
      <w:r>
        <w:rPr>
          <w:color w:val="000000"/>
          <w:szCs w:val="22"/>
          <w:lang w:val="fi-FI"/>
        </w:rPr>
        <w:t>. Tämän vuoksi munuaisten toiminta tulee arvioida ennen imatinibihoidon aloitusta ja sitä tulee seurata tarkasti hoidon aikana</w:t>
      </w:r>
      <w:r w:rsidR="008236CD">
        <w:rPr>
          <w:color w:val="000000"/>
          <w:szCs w:val="22"/>
          <w:lang w:val="fi-FI"/>
        </w:rPr>
        <w:t>, kiinnittäen e</w:t>
      </w:r>
      <w:r>
        <w:rPr>
          <w:color w:val="000000"/>
          <w:szCs w:val="22"/>
          <w:lang w:val="fi-FI"/>
        </w:rPr>
        <w:t>rityistä huomiota potilaisiin, joilla on munuaisten vajaatoiminnan riskitekijöitä. Jos munuaisten vajaatoimintaa havaitaan, tulee aloittaa tarkoituksenmukainen hoito tavanomaisten hoitokäytäntöjen mukaisesti.</w:t>
      </w:r>
    </w:p>
    <w:p w14:paraId="586FBFFC" w14:textId="77777777" w:rsidR="00440FDD" w:rsidRDefault="00440FDD">
      <w:pPr>
        <w:pStyle w:val="EndnoteText"/>
        <w:widowControl w:val="0"/>
        <w:tabs>
          <w:tab w:val="clear" w:pos="567"/>
        </w:tabs>
        <w:rPr>
          <w:color w:val="000000"/>
          <w:szCs w:val="22"/>
          <w:u w:val="single"/>
          <w:lang w:val="fi-FI"/>
        </w:rPr>
      </w:pPr>
    </w:p>
    <w:p w14:paraId="586FBFFD" w14:textId="77777777" w:rsidR="006D384B" w:rsidRDefault="005A54FA" w:rsidP="00345374">
      <w:pPr>
        <w:pStyle w:val="EndnoteText"/>
        <w:keepNext/>
        <w:widowControl w:val="0"/>
        <w:tabs>
          <w:tab w:val="clear" w:pos="567"/>
        </w:tabs>
        <w:rPr>
          <w:color w:val="000000"/>
          <w:szCs w:val="22"/>
          <w:lang w:val="fi-FI"/>
        </w:rPr>
      </w:pPr>
      <w:r>
        <w:rPr>
          <w:color w:val="000000"/>
          <w:szCs w:val="22"/>
          <w:u w:val="single"/>
          <w:lang w:val="fi-FI"/>
        </w:rPr>
        <w:t>Pediatriset potilaat</w:t>
      </w:r>
    </w:p>
    <w:p w14:paraId="586FBFFE" w14:textId="77777777" w:rsidR="006D384B" w:rsidRPr="006D384B" w:rsidRDefault="006D384B">
      <w:pPr>
        <w:pStyle w:val="EndnoteText"/>
        <w:widowControl w:val="0"/>
        <w:tabs>
          <w:tab w:val="clear" w:pos="567"/>
        </w:tabs>
        <w:rPr>
          <w:color w:val="000000"/>
          <w:szCs w:val="22"/>
          <w:lang w:val="fi-FI"/>
        </w:rPr>
      </w:pPr>
      <w:r>
        <w:rPr>
          <w:color w:val="000000"/>
          <w:szCs w:val="22"/>
          <w:lang w:val="fi-FI"/>
        </w:rPr>
        <w:t xml:space="preserve">Kasvun hidastumista on ilmoitettu imatinibia saaneilla lapsilla ja nuorilla ennen murrosikää. </w:t>
      </w:r>
      <w:r w:rsidR="00761450">
        <w:rPr>
          <w:color w:val="000000"/>
          <w:szCs w:val="22"/>
          <w:lang w:val="fi-FI"/>
        </w:rPr>
        <w:t xml:space="preserve">Pediatrisilla KML-potilailla tehdyssä havainnoivassa tutkimuksessa raportoitiin </w:t>
      </w:r>
      <w:r w:rsidR="006865C7">
        <w:rPr>
          <w:color w:val="000000"/>
          <w:szCs w:val="22"/>
          <w:lang w:val="fi-FI"/>
        </w:rPr>
        <w:t xml:space="preserve">tilastollisesti </w:t>
      </w:r>
      <w:r w:rsidR="00445873">
        <w:rPr>
          <w:color w:val="000000"/>
          <w:szCs w:val="22"/>
          <w:lang w:val="fi-FI"/>
        </w:rPr>
        <w:t xml:space="preserve">merkitsevää </w:t>
      </w:r>
      <w:r w:rsidR="006865C7">
        <w:rPr>
          <w:color w:val="000000"/>
          <w:szCs w:val="22"/>
          <w:lang w:val="fi-FI"/>
        </w:rPr>
        <w:t>(mutta kliinise</w:t>
      </w:r>
      <w:r w:rsidR="008B4A8F">
        <w:rPr>
          <w:color w:val="000000"/>
          <w:szCs w:val="22"/>
          <w:lang w:val="fi-FI"/>
        </w:rPr>
        <w:t>ltä merkitykseltä</w:t>
      </w:r>
      <w:r w:rsidR="00431475">
        <w:rPr>
          <w:color w:val="000000"/>
          <w:szCs w:val="22"/>
          <w:lang w:val="fi-FI"/>
        </w:rPr>
        <w:t>än</w:t>
      </w:r>
      <w:r w:rsidR="006865C7">
        <w:rPr>
          <w:color w:val="000000"/>
          <w:szCs w:val="22"/>
          <w:lang w:val="fi-FI"/>
        </w:rPr>
        <w:t xml:space="preserve"> epävarmaa) </w:t>
      </w:r>
      <w:r w:rsidR="00761450">
        <w:rPr>
          <w:color w:val="000000"/>
          <w:szCs w:val="22"/>
          <w:lang w:val="fi-FI"/>
        </w:rPr>
        <w:t>pituuden keskiarvon keskihajontapisteiden laskua 12 ja 24</w:t>
      </w:r>
      <w:r w:rsidR="00CF089C">
        <w:rPr>
          <w:color w:val="000000"/>
          <w:szCs w:val="22"/>
          <w:lang w:val="fi-FI"/>
        </w:rPr>
        <w:t> </w:t>
      </w:r>
      <w:r w:rsidR="00761450">
        <w:rPr>
          <w:color w:val="000000"/>
          <w:szCs w:val="22"/>
          <w:lang w:val="fi-FI"/>
        </w:rPr>
        <w:t xml:space="preserve">kuukauden hoidon jälkeen kahdessa pienessä alaryhmässä </w:t>
      </w:r>
      <w:r w:rsidR="00221906">
        <w:rPr>
          <w:color w:val="000000"/>
          <w:szCs w:val="22"/>
          <w:lang w:val="fi-FI"/>
        </w:rPr>
        <w:t>murrosiän vaiheesta ja sukupuolesta riippumatta. I</w:t>
      </w:r>
      <w:r>
        <w:rPr>
          <w:color w:val="000000"/>
          <w:szCs w:val="22"/>
          <w:lang w:val="fi-FI"/>
        </w:rPr>
        <w:t>matinibihoitoa saavien lasten kasvun tarkkaa seurantaa suositellaan (ks. kohta 4.8).</w:t>
      </w:r>
    </w:p>
    <w:p w14:paraId="586FBFFF" w14:textId="77777777" w:rsidR="00AE3698" w:rsidRPr="00912A5D" w:rsidRDefault="00AE3698">
      <w:pPr>
        <w:pStyle w:val="EndnoteText"/>
        <w:widowControl w:val="0"/>
        <w:tabs>
          <w:tab w:val="clear" w:pos="567"/>
        </w:tabs>
        <w:rPr>
          <w:color w:val="000000"/>
          <w:szCs w:val="22"/>
          <w:lang w:val="fi-FI"/>
        </w:rPr>
      </w:pPr>
    </w:p>
    <w:p w14:paraId="586FC000"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4.5</w:t>
      </w:r>
      <w:r w:rsidRPr="00912A5D">
        <w:rPr>
          <w:rFonts w:ascii="Times New Roman" w:hAnsi="Times New Roman"/>
          <w:b/>
          <w:sz w:val="22"/>
          <w:szCs w:val="22"/>
        </w:rPr>
        <w:tab/>
        <w:t>Yhteisvaikutukset muiden lääkevalmisteiden kanssa sekä muut yhteisvaikutukset</w:t>
      </w:r>
    </w:p>
    <w:p w14:paraId="586FC001" w14:textId="77777777" w:rsidR="00AE3698" w:rsidRPr="00912A5D" w:rsidRDefault="00AE3698" w:rsidP="00345374">
      <w:pPr>
        <w:pStyle w:val="EndnoteText"/>
        <w:keepNext/>
        <w:widowControl w:val="0"/>
        <w:tabs>
          <w:tab w:val="clear" w:pos="567"/>
        </w:tabs>
        <w:rPr>
          <w:color w:val="000000"/>
          <w:szCs w:val="22"/>
          <w:lang w:val="fi-FI"/>
        </w:rPr>
      </w:pPr>
    </w:p>
    <w:p w14:paraId="586FC002" w14:textId="77777777" w:rsidR="00AE3698" w:rsidRPr="00912A5D" w:rsidRDefault="00AE3698" w:rsidP="00345374">
      <w:pPr>
        <w:pStyle w:val="Text"/>
        <w:keepNext/>
        <w:widowControl w:val="0"/>
        <w:spacing w:before="0"/>
        <w:jc w:val="left"/>
        <w:rPr>
          <w:color w:val="000000"/>
          <w:sz w:val="22"/>
          <w:szCs w:val="22"/>
          <w:lang w:val="fi-FI"/>
        </w:rPr>
      </w:pPr>
      <w:r w:rsidRPr="00912A5D">
        <w:rPr>
          <w:color w:val="000000"/>
          <w:sz w:val="22"/>
          <w:szCs w:val="22"/>
          <w:u w:val="single"/>
          <w:lang w:val="fi-FI"/>
        </w:rPr>
        <w:t xml:space="preserve">Vaikuttavat aineet, jotka voivat </w:t>
      </w:r>
      <w:r w:rsidRPr="00912A5D">
        <w:rPr>
          <w:b/>
          <w:color w:val="000000"/>
          <w:sz w:val="22"/>
          <w:szCs w:val="22"/>
          <w:u w:val="single"/>
          <w:lang w:val="fi-FI"/>
        </w:rPr>
        <w:t>suurentaa</w:t>
      </w:r>
      <w:r w:rsidRPr="00912A5D">
        <w:rPr>
          <w:color w:val="000000"/>
          <w:sz w:val="22"/>
          <w:szCs w:val="22"/>
          <w:u w:val="single"/>
          <w:lang w:val="fi-FI"/>
        </w:rPr>
        <w:t xml:space="preserve"> imatinibin plasmapitoisuuksia</w:t>
      </w:r>
      <w:r w:rsidRPr="00912A5D">
        <w:rPr>
          <w:color w:val="000000"/>
          <w:sz w:val="22"/>
          <w:szCs w:val="22"/>
          <w:lang w:val="fi-FI"/>
        </w:rPr>
        <w:t>:</w:t>
      </w:r>
    </w:p>
    <w:p w14:paraId="586FC003"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 xml:space="preserve">Sytokromi P450 isoentsyymi CYP3A4:n toimintaa estävät lääkkeet (esim. </w:t>
      </w:r>
      <w:r w:rsidR="007B30AD">
        <w:rPr>
          <w:color w:val="000000"/>
          <w:sz w:val="22"/>
          <w:szCs w:val="22"/>
          <w:lang w:val="fi-FI"/>
        </w:rPr>
        <w:t xml:space="preserve">proteaasin estäjät, kuten indinaviiri, lopinaviiri/ritonaviiri, ritonaviiri, sakinaviiri, telapreviiri, nelfinaviiri, bosepreviiri; atsoliryhmään kuuluvat sienilääkkeet, mukaan lukien </w:t>
      </w:r>
      <w:r w:rsidRPr="00912A5D">
        <w:rPr>
          <w:color w:val="000000"/>
          <w:sz w:val="22"/>
          <w:szCs w:val="22"/>
          <w:lang w:val="fi-FI"/>
        </w:rPr>
        <w:t xml:space="preserve">ketokonatsoli, itrakonatsoli, </w:t>
      </w:r>
      <w:r w:rsidR="007B30AD">
        <w:rPr>
          <w:color w:val="000000"/>
          <w:sz w:val="22"/>
          <w:szCs w:val="22"/>
          <w:lang w:val="fi-FI"/>
        </w:rPr>
        <w:t xml:space="preserve">posakonatsoli, vorikonatsoli; tietyt makrolidiryhmän antibiootit, kuten </w:t>
      </w:r>
      <w:r w:rsidRPr="00912A5D">
        <w:rPr>
          <w:color w:val="000000"/>
          <w:sz w:val="22"/>
          <w:szCs w:val="22"/>
          <w:lang w:val="fi-FI"/>
        </w:rPr>
        <w:t>erytromysiini, klaritromysiini</w:t>
      </w:r>
      <w:r w:rsidR="007B30AD">
        <w:rPr>
          <w:color w:val="000000"/>
          <w:sz w:val="22"/>
          <w:szCs w:val="22"/>
          <w:lang w:val="fi-FI"/>
        </w:rPr>
        <w:t xml:space="preserve"> ja telitromysiini</w:t>
      </w:r>
      <w:r w:rsidRPr="00912A5D">
        <w:rPr>
          <w:color w:val="000000"/>
          <w:sz w:val="22"/>
          <w:szCs w:val="22"/>
          <w:lang w:val="fi-FI"/>
        </w:rPr>
        <w:t>) saattavat heikentää imatinibin metaboliaa ja suurentaa imatinibipitoisuuksia. Imatinibialtistus voimistui merkitsevästi (imatinibin C</w:t>
      </w:r>
      <w:r w:rsidRPr="00912A5D">
        <w:rPr>
          <w:color w:val="000000"/>
          <w:sz w:val="22"/>
          <w:szCs w:val="22"/>
          <w:vertAlign w:val="subscript"/>
          <w:lang w:val="fi-FI"/>
        </w:rPr>
        <w:t>max</w:t>
      </w:r>
      <w:r w:rsidRPr="00912A5D">
        <w:rPr>
          <w:color w:val="000000"/>
          <w:sz w:val="22"/>
          <w:szCs w:val="22"/>
          <w:lang w:val="fi-FI"/>
        </w:rPr>
        <w:t>-keskiarvo suureni 26 % ja AUC-keskiarvo 40 %) terveillä koehenkilöillä, kun sitä annettiin samanaikaisesti ketokonatsolin (CYP3A4-estäjä) kerta-annoksen kanssa. Varovaisuus on tarpeen annettaessa Gliveciä samanaikaisesti CYP3A4-estäjäryhmään kuuluvien lääkkeiden kanssa.</w:t>
      </w:r>
    </w:p>
    <w:p w14:paraId="586FC004" w14:textId="77777777" w:rsidR="00AE3698" w:rsidRPr="00912A5D" w:rsidRDefault="00AE3698">
      <w:pPr>
        <w:pStyle w:val="Text"/>
        <w:widowControl w:val="0"/>
        <w:spacing w:before="0"/>
        <w:jc w:val="left"/>
        <w:rPr>
          <w:color w:val="000000"/>
          <w:sz w:val="22"/>
          <w:szCs w:val="22"/>
          <w:lang w:val="fi-FI"/>
        </w:rPr>
      </w:pPr>
    </w:p>
    <w:p w14:paraId="586FC005" w14:textId="77777777" w:rsidR="00AE3698" w:rsidRPr="00912A5D" w:rsidRDefault="00AE3698" w:rsidP="00345374">
      <w:pPr>
        <w:pStyle w:val="Text"/>
        <w:keepNext/>
        <w:widowControl w:val="0"/>
        <w:spacing w:before="0"/>
        <w:jc w:val="left"/>
        <w:rPr>
          <w:color w:val="000000"/>
          <w:sz w:val="22"/>
          <w:szCs w:val="22"/>
          <w:lang w:val="fi-FI"/>
        </w:rPr>
      </w:pPr>
      <w:r w:rsidRPr="00912A5D">
        <w:rPr>
          <w:color w:val="000000"/>
          <w:sz w:val="22"/>
          <w:szCs w:val="22"/>
          <w:u w:val="single"/>
          <w:lang w:val="fi-FI"/>
        </w:rPr>
        <w:t xml:space="preserve">Vaikuttavat aineet, jotka voivat </w:t>
      </w:r>
      <w:r w:rsidRPr="00912A5D">
        <w:rPr>
          <w:b/>
          <w:color w:val="000000"/>
          <w:sz w:val="22"/>
          <w:szCs w:val="22"/>
          <w:u w:val="single"/>
          <w:lang w:val="fi-FI"/>
        </w:rPr>
        <w:t>pienentää</w:t>
      </w:r>
      <w:r w:rsidRPr="00912A5D">
        <w:rPr>
          <w:color w:val="000000"/>
          <w:sz w:val="22"/>
          <w:szCs w:val="22"/>
          <w:u w:val="single"/>
          <w:lang w:val="fi-FI"/>
        </w:rPr>
        <w:t xml:space="preserve"> imatinibin plasmapitoisuuksia</w:t>
      </w:r>
      <w:r w:rsidRPr="00912A5D">
        <w:rPr>
          <w:color w:val="000000"/>
          <w:sz w:val="22"/>
          <w:szCs w:val="22"/>
          <w:lang w:val="fi-FI"/>
        </w:rPr>
        <w:t>:</w:t>
      </w:r>
    </w:p>
    <w:p w14:paraId="586FC006"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CYP3A4:n toimintaa indusoivat aineet (esim. deksametasoni, fenytoiini, karbamatsepiini, rifampisiini, fenobarbitaali, fosfenytoiini, primidoni tai mäkikuisma (</w:t>
      </w:r>
      <w:r w:rsidRPr="00912A5D">
        <w:rPr>
          <w:i/>
          <w:color w:val="000000"/>
          <w:sz w:val="22"/>
          <w:szCs w:val="22"/>
          <w:lang w:val="fi-FI"/>
        </w:rPr>
        <w:t>Hypericum perforatum</w:t>
      </w:r>
      <w:r w:rsidRPr="00912A5D">
        <w:rPr>
          <w:color w:val="000000"/>
          <w:sz w:val="22"/>
          <w:szCs w:val="22"/>
          <w:lang w:val="fi-FI"/>
        </w:rPr>
        <w:t>)) saatta</w:t>
      </w:r>
      <w:r w:rsidR="00187FAD">
        <w:rPr>
          <w:color w:val="000000"/>
          <w:sz w:val="22"/>
          <w:szCs w:val="22"/>
          <w:lang w:val="fi-FI"/>
        </w:rPr>
        <w:t>v</w:t>
      </w:r>
      <w:r w:rsidRPr="00912A5D">
        <w:rPr>
          <w:color w:val="000000"/>
          <w:sz w:val="22"/>
          <w:szCs w:val="22"/>
          <w:lang w:val="fi-FI"/>
        </w:rPr>
        <w:t>a</w:t>
      </w:r>
      <w:r w:rsidR="00187FAD">
        <w:rPr>
          <w:color w:val="000000"/>
          <w:sz w:val="22"/>
          <w:szCs w:val="22"/>
          <w:lang w:val="fi-FI"/>
        </w:rPr>
        <w:t>t</w:t>
      </w:r>
      <w:r w:rsidRPr="00912A5D">
        <w:rPr>
          <w:color w:val="000000"/>
          <w:sz w:val="22"/>
          <w:szCs w:val="22"/>
          <w:lang w:val="fi-FI"/>
        </w:rPr>
        <w:t xml:space="preserve"> vähentää merkitsevästi Glivec-altistusta, mahdollisesti lisäten hoidon epäonnistumisen riskiä. Esihoito useilla rifampisiiniannoksilla (600 mg), joita seurasi 400 mg:n kerta-annos Gliveciä, pienensi C</w:t>
      </w:r>
      <w:r w:rsidRPr="00912A5D">
        <w:rPr>
          <w:color w:val="000000"/>
          <w:sz w:val="22"/>
          <w:szCs w:val="22"/>
          <w:vertAlign w:val="subscript"/>
          <w:lang w:val="fi-FI"/>
        </w:rPr>
        <w:t>max</w:t>
      </w:r>
      <w:r w:rsidRPr="00912A5D">
        <w:rPr>
          <w:color w:val="000000"/>
          <w:sz w:val="22"/>
          <w:szCs w:val="22"/>
          <w:lang w:val="fi-FI"/>
        </w:rPr>
        <w:t>-arvoa vähintään 54 % ja AUC</w:t>
      </w:r>
      <w:r w:rsidRPr="00912A5D">
        <w:rPr>
          <w:color w:val="000000"/>
          <w:sz w:val="22"/>
          <w:szCs w:val="22"/>
          <w:vertAlign w:val="subscript"/>
          <w:lang w:val="fi-FI"/>
        </w:rPr>
        <w:t>(0-∞)</w:t>
      </w:r>
      <w:r w:rsidRPr="00912A5D">
        <w:rPr>
          <w:color w:val="000000"/>
          <w:sz w:val="22"/>
          <w:szCs w:val="22"/>
          <w:lang w:val="fi-FI"/>
        </w:rPr>
        <w:t xml:space="preserve">-arvoa vähintään 74 %:lla vastaaviin ilman rifampisiinihoitoa saatuihin arvoihin verrattuna. Samanlaisia tuloksia saatiin myös potilailla, jotka saivat Glivec-hoitoa pahanlaatuisten glioomien hoitoon ja käyttivät samanaikaisesti entsyymejä indusoivia epilepsialääkkeitä kuten karbamatsepiinia, </w:t>
      </w:r>
      <w:r w:rsidR="00A627D5" w:rsidRPr="00912A5D">
        <w:rPr>
          <w:color w:val="000000"/>
          <w:sz w:val="22"/>
          <w:szCs w:val="22"/>
          <w:lang w:val="fi-FI"/>
        </w:rPr>
        <w:t>okskarbatsepiinia</w:t>
      </w:r>
      <w:r w:rsidRPr="00912A5D">
        <w:rPr>
          <w:color w:val="000000"/>
          <w:sz w:val="22"/>
          <w:szCs w:val="22"/>
          <w:lang w:val="fi-FI"/>
        </w:rPr>
        <w:t xml:space="preserve"> ja fenytoiinia. Imatinibin </w:t>
      </w:r>
      <w:r w:rsidRPr="00912A5D">
        <w:rPr>
          <w:snapToGrid w:val="0"/>
          <w:color w:val="000000"/>
          <w:sz w:val="22"/>
          <w:szCs w:val="22"/>
          <w:lang w:val="fi-FI"/>
        </w:rPr>
        <w:t>AUC-arvo plasmassa pieneni 73 % verrattuna potilaisiin, jotka eivät käyttäneet entsyymejä indusoivia epilepsialääkkeitä.</w:t>
      </w:r>
      <w:r w:rsidRPr="00912A5D">
        <w:rPr>
          <w:color w:val="000000"/>
          <w:sz w:val="22"/>
          <w:szCs w:val="22"/>
          <w:lang w:val="fi-FI"/>
        </w:rPr>
        <w:t xml:space="preserve"> Imatinibin yhteiskäyttöä rifampisiinin tai voimakkaiden CYP3A4-indusoijien kanssa tulee välttää.</w:t>
      </w:r>
    </w:p>
    <w:p w14:paraId="586FC007" w14:textId="77777777" w:rsidR="00AE3698" w:rsidRPr="00912A5D" w:rsidRDefault="00AE3698">
      <w:pPr>
        <w:pStyle w:val="Text"/>
        <w:widowControl w:val="0"/>
        <w:spacing w:before="0"/>
        <w:jc w:val="left"/>
        <w:rPr>
          <w:color w:val="000000"/>
          <w:sz w:val="22"/>
          <w:szCs w:val="22"/>
          <w:lang w:val="fi-FI"/>
        </w:rPr>
      </w:pPr>
    </w:p>
    <w:p w14:paraId="586FC008" w14:textId="77777777" w:rsidR="00AE3698" w:rsidRPr="00912A5D" w:rsidRDefault="00AE3698" w:rsidP="00345374">
      <w:pPr>
        <w:pStyle w:val="Text"/>
        <w:keepNext/>
        <w:widowControl w:val="0"/>
        <w:spacing w:before="0"/>
        <w:jc w:val="left"/>
        <w:rPr>
          <w:b/>
          <w:color w:val="000000"/>
          <w:sz w:val="22"/>
          <w:szCs w:val="22"/>
          <w:lang w:val="fi-FI"/>
        </w:rPr>
      </w:pPr>
      <w:r w:rsidRPr="00912A5D">
        <w:rPr>
          <w:b/>
          <w:color w:val="000000"/>
          <w:sz w:val="22"/>
          <w:szCs w:val="22"/>
          <w:lang w:val="fi-FI"/>
        </w:rPr>
        <w:t>Vaikuttavat aineet, joiden plasmapitoisuus voi muuttua Glivecin vaikutuksesta</w:t>
      </w:r>
    </w:p>
    <w:p w14:paraId="586FC009"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Imatinibi suurentaa simvastatiinin (CYP3A4-substraatti) C</w:t>
      </w:r>
      <w:r w:rsidRPr="00912A5D">
        <w:rPr>
          <w:color w:val="000000"/>
          <w:sz w:val="22"/>
          <w:szCs w:val="22"/>
          <w:vertAlign w:val="subscript"/>
          <w:lang w:val="fi-FI"/>
        </w:rPr>
        <w:t>max</w:t>
      </w:r>
      <w:r w:rsidRPr="00912A5D">
        <w:rPr>
          <w:color w:val="000000"/>
          <w:sz w:val="22"/>
          <w:szCs w:val="22"/>
          <w:lang w:val="fi-FI"/>
        </w:rPr>
        <w:t>-keskiarvot kaksinkertaisiksi ja AUC-keskiarvot 3,5-kertaisiksi, mikä osoittaa imatinibin estävän CYP3A4:ää. Siksi suositellaan noudattamaan varovaisuutta käytettäessä Gliveciä samanaikaisesti kapean terapeuttisen leveyden omaavien CYP3A4-substraattien (esim. syklosporiini</w:t>
      </w:r>
      <w:r w:rsidR="00E42156">
        <w:rPr>
          <w:color w:val="000000"/>
          <w:sz w:val="22"/>
          <w:szCs w:val="22"/>
          <w:lang w:val="fi-FI"/>
        </w:rPr>
        <w:t>,</w:t>
      </w:r>
      <w:r w:rsidRPr="00912A5D">
        <w:rPr>
          <w:color w:val="000000"/>
          <w:sz w:val="22"/>
          <w:szCs w:val="22"/>
          <w:lang w:val="fi-FI"/>
        </w:rPr>
        <w:t xml:space="preserve"> pimotsidi</w:t>
      </w:r>
      <w:r w:rsidR="00E42156">
        <w:rPr>
          <w:color w:val="000000"/>
          <w:sz w:val="22"/>
          <w:szCs w:val="22"/>
          <w:lang w:val="fi-FI"/>
        </w:rPr>
        <w:t>, takrolimuusi, sirolimuusi, ergotamiini, diergotamiini, fentanyyli, alfentaniili, terfenadiini, bortetsomibi, dosetakseli ja kinidiini</w:t>
      </w:r>
      <w:r w:rsidRPr="00912A5D">
        <w:rPr>
          <w:color w:val="000000"/>
          <w:sz w:val="22"/>
          <w:szCs w:val="22"/>
          <w:lang w:val="fi-FI"/>
        </w:rPr>
        <w:t xml:space="preserve">) kanssa. Glivec saattaa suurentaa muiden CYP3A4:n metaboloimien lääkkeiden plasmapitoisuuksia (esim. triatsolibentsodiatsepiinien, dihydropyridiini kalsiumkanavan salpaajien, tiettyjen </w:t>
      </w:r>
      <w:smartTag w:uri="urn:schemas-microsoft-com:office:smarttags" w:element="State">
        <w:r w:rsidRPr="00912A5D">
          <w:rPr>
            <w:color w:val="000000"/>
            <w:sz w:val="22"/>
            <w:szCs w:val="22"/>
            <w:lang w:val="fi-FI"/>
          </w:rPr>
          <w:t>HMG</w:t>
        </w:r>
      </w:smartTag>
      <w:r w:rsidRPr="00912A5D">
        <w:rPr>
          <w:color w:val="000000"/>
          <w:sz w:val="22"/>
          <w:szCs w:val="22"/>
          <w:lang w:val="fi-FI"/>
        </w:rPr>
        <w:t>-CoA reduktaasin estäjien, eli statiinien; jne.).</w:t>
      </w:r>
    </w:p>
    <w:p w14:paraId="586FC00A" w14:textId="77777777" w:rsidR="00AE3698" w:rsidRPr="00912A5D" w:rsidRDefault="00AE3698">
      <w:pPr>
        <w:pStyle w:val="Text"/>
        <w:widowControl w:val="0"/>
        <w:spacing w:before="0"/>
        <w:jc w:val="left"/>
        <w:rPr>
          <w:color w:val="000000"/>
          <w:sz w:val="22"/>
          <w:szCs w:val="22"/>
          <w:lang w:val="fi-FI"/>
        </w:rPr>
      </w:pPr>
    </w:p>
    <w:p w14:paraId="586FC00B"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 xml:space="preserve">Koska </w:t>
      </w:r>
      <w:r w:rsidR="00E42156">
        <w:rPr>
          <w:color w:val="000000"/>
          <w:sz w:val="22"/>
          <w:szCs w:val="22"/>
          <w:lang w:val="fi-FI"/>
        </w:rPr>
        <w:t>imatinibin käyttöön liittyy tunnetusti lisääntynyt riski verenvuodoille (esim. hemorragia)</w:t>
      </w:r>
      <w:r w:rsidRPr="00912A5D">
        <w:rPr>
          <w:color w:val="000000"/>
          <w:sz w:val="22"/>
          <w:szCs w:val="22"/>
          <w:lang w:val="fi-FI"/>
        </w:rPr>
        <w:t>, antikoagulanttihoitoa tarvitseville potilaille pitää käyttää pienimolekyylipainoista tai tavanomaista hepariinia</w:t>
      </w:r>
      <w:r w:rsidR="00367E6F">
        <w:rPr>
          <w:color w:val="000000"/>
          <w:sz w:val="22"/>
          <w:szCs w:val="22"/>
          <w:lang w:val="fi-FI"/>
        </w:rPr>
        <w:t xml:space="preserve"> kumariinijohdannaisten (esim. varfariinin) sijaan</w:t>
      </w:r>
      <w:r w:rsidRPr="00912A5D">
        <w:rPr>
          <w:color w:val="000000"/>
          <w:sz w:val="22"/>
          <w:szCs w:val="22"/>
          <w:lang w:val="fi-FI"/>
        </w:rPr>
        <w:t>.</w:t>
      </w:r>
    </w:p>
    <w:p w14:paraId="586FC00C" w14:textId="77777777" w:rsidR="00AE3698" w:rsidRPr="00912A5D" w:rsidRDefault="00AE3698">
      <w:pPr>
        <w:pStyle w:val="Text"/>
        <w:widowControl w:val="0"/>
        <w:spacing w:before="0"/>
        <w:jc w:val="left"/>
        <w:rPr>
          <w:color w:val="000000"/>
          <w:sz w:val="22"/>
          <w:szCs w:val="22"/>
          <w:lang w:val="fi-FI"/>
        </w:rPr>
      </w:pPr>
    </w:p>
    <w:p w14:paraId="586FC00D" w14:textId="77777777" w:rsidR="00AE3698" w:rsidRPr="00912A5D" w:rsidRDefault="00AE3698">
      <w:pPr>
        <w:pStyle w:val="Text"/>
        <w:widowControl w:val="0"/>
        <w:spacing w:before="0"/>
        <w:jc w:val="left"/>
        <w:rPr>
          <w:color w:val="000000"/>
          <w:sz w:val="22"/>
          <w:szCs w:val="22"/>
          <w:lang w:val="fi-FI"/>
        </w:rPr>
      </w:pPr>
      <w:r w:rsidRPr="00912A5D">
        <w:rPr>
          <w:i/>
          <w:color w:val="000000"/>
          <w:sz w:val="22"/>
          <w:szCs w:val="22"/>
          <w:lang w:val="fi-FI"/>
        </w:rPr>
        <w:t>In vitro</w:t>
      </w:r>
      <w:r w:rsidRPr="00912A5D">
        <w:rPr>
          <w:color w:val="000000"/>
          <w:sz w:val="22"/>
          <w:szCs w:val="22"/>
          <w:lang w:val="fi-FI"/>
        </w:rPr>
        <w:t xml:space="preserve"> Glivec estää sytokromi P450 isoentsyymi CYP2D6:n toimintaa pitoisuuksina, jotka ovat samanlaisia kuin CYP3A4:n toimintaan vaikuttavat pitoisuudet. Imatinibi annoksella 400 mg kahdesti vuorokaudessa esti CYP2D6-välitteiseen metoprololin metaboliaa, metoprololin C</w:t>
      </w:r>
      <w:r w:rsidRPr="00912A5D">
        <w:rPr>
          <w:color w:val="000000"/>
          <w:sz w:val="22"/>
          <w:szCs w:val="22"/>
          <w:vertAlign w:val="subscript"/>
          <w:lang w:val="fi-FI"/>
        </w:rPr>
        <w:t>max</w:t>
      </w:r>
      <w:r w:rsidRPr="00912A5D">
        <w:rPr>
          <w:color w:val="000000"/>
          <w:sz w:val="22"/>
          <w:szCs w:val="22"/>
          <w:lang w:val="fi-FI"/>
        </w:rPr>
        <w:t xml:space="preserve"> ja AUC-arvo kohosivat noin 23 % (90 % luottamusväli [1,16</w:t>
      </w:r>
      <w:r w:rsidRPr="00912A5D">
        <w:rPr>
          <w:color w:val="000000"/>
          <w:sz w:val="22"/>
          <w:szCs w:val="22"/>
          <w:lang w:val="fi-FI"/>
        </w:rPr>
        <w:noBreakHyphen/>
        <w:t>1,30]). Annoksen muuttaminen ei ole tarpeen kun imatinibia annetaan samanaikaisesti CYP2D6-substraattien kanssa. Varovaisuutta on kuitenkin noudatettava imatinibin ja kapean terapeuttisen leveyden omaavien CYP2D6-substraattien, kuten metoprololin yhteydessä. Metoprololia saavien potilaiden seurantaa tulee harkita.</w:t>
      </w:r>
    </w:p>
    <w:p w14:paraId="586FC00E" w14:textId="77777777" w:rsidR="009935AA" w:rsidRPr="00912A5D" w:rsidRDefault="009935AA" w:rsidP="009935AA">
      <w:pPr>
        <w:pStyle w:val="Text"/>
        <w:widowControl w:val="0"/>
        <w:spacing w:before="0"/>
        <w:jc w:val="left"/>
        <w:rPr>
          <w:color w:val="000000"/>
          <w:sz w:val="22"/>
          <w:szCs w:val="22"/>
          <w:lang w:val="fi-FI"/>
        </w:rPr>
      </w:pPr>
    </w:p>
    <w:p w14:paraId="586FC00F" w14:textId="77777777" w:rsidR="009935AA" w:rsidRPr="008367FE" w:rsidRDefault="009935AA" w:rsidP="009935AA">
      <w:pPr>
        <w:pStyle w:val="Text"/>
        <w:widowControl w:val="0"/>
        <w:spacing w:before="0"/>
        <w:jc w:val="left"/>
        <w:rPr>
          <w:color w:val="000000"/>
          <w:sz w:val="22"/>
          <w:szCs w:val="22"/>
          <w:lang w:val="fi-FI"/>
        </w:rPr>
      </w:pPr>
      <w:r w:rsidRPr="00912A5D">
        <w:rPr>
          <w:i/>
          <w:color w:val="000000"/>
          <w:sz w:val="22"/>
          <w:szCs w:val="22"/>
          <w:lang w:val="fi-FI"/>
        </w:rPr>
        <w:lastRenderedPageBreak/>
        <w:t>In vitro</w:t>
      </w:r>
      <w:r w:rsidRPr="00912A5D">
        <w:rPr>
          <w:color w:val="000000"/>
          <w:sz w:val="22"/>
          <w:szCs w:val="22"/>
          <w:lang w:val="fi-FI"/>
        </w:rPr>
        <w:t>, Glivec estää parasetamolin O-glukuronidaatiota Ki-arvo</w:t>
      </w:r>
      <w:r w:rsidR="008367FE">
        <w:rPr>
          <w:color w:val="000000"/>
          <w:sz w:val="22"/>
          <w:szCs w:val="22"/>
          <w:lang w:val="fi-FI"/>
        </w:rPr>
        <w:t>lla</w:t>
      </w:r>
      <w:r w:rsidRPr="00912A5D">
        <w:rPr>
          <w:color w:val="000000"/>
          <w:sz w:val="22"/>
          <w:szCs w:val="22"/>
          <w:lang w:val="fi-FI"/>
        </w:rPr>
        <w:t xml:space="preserve"> 58,5 µmol/l.</w:t>
      </w:r>
      <w:r w:rsidR="008367FE">
        <w:rPr>
          <w:color w:val="000000"/>
          <w:sz w:val="22"/>
          <w:szCs w:val="22"/>
          <w:lang w:val="fi-FI"/>
        </w:rPr>
        <w:t xml:space="preserve"> Tätä estoa ei ole havaittu </w:t>
      </w:r>
      <w:r w:rsidR="008367FE" w:rsidRPr="008367FE">
        <w:rPr>
          <w:i/>
          <w:color w:val="000000"/>
          <w:sz w:val="22"/>
          <w:szCs w:val="22"/>
          <w:lang w:val="fi-FI"/>
        </w:rPr>
        <w:t>in vivo</w:t>
      </w:r>
      <w:r w:rsidR="008367FE">
        <w:rPr>
          <w:color w:val="000000"/>
          <w:sz w:val="22"/>
          <w:szCs w:val="22"/>
          <w:lang w:val="fi-FI"/>
        </w:rPr>
        <w:t xml:space="preserve"> 400</w:t>
      </w:r>
      <w:r w:rsidR="005A0A04">
        <w:rPr>
          <w:color w:val="000000"/>
          <w:sz w:val="22"/>
          <w:szCs w:val="22"/>
          <w:lang w:val="fi-FI"/>
        </w:rPr>
        <w:t> </w:t>
      </w:r>
      <w:r w:rsidR="008367FE">
        <w:rPr>
          <w:color w:val="000000"/>
          <w:sz w:val="22"/>
          <w:szCs w:val="22"/>
          <w:lang w:val="fi-FI"/>
        </w:rPr>
        <w:t>mg Glivec- ja 1000</w:t>
      </w:r>
      <w:r w:rsidR="005A0A04">
        <w:rPr>
          <w:color w:val="000000"/>
          <w:sz w:val="22"/>
          <w:szCs w:val="22"/>
          <w:lang w:val="fi-FI"/>
        </w:rPr>
        <w:t> </w:t>
      </w:r>
      <w:r w:rsidR="008367FE">
        <w:rPr>
          <w:color w:val="000000"/>
          <w:sz w:val="22"/>
          <w:szCs w:val="22"/>
          <w:lang w:val="fi-FI"/>
        </w:rPr>
        <w:t xml:space="preserve">mg parasetamoliannoksen jälkeen. </w:t>
      </w:r>
      <w:r w:rsidR="008C326E">
        <w:rPr>
          <w:color w:val="000000"/>
          <w:sz w:val="22"/>
          <w:szCs w:val="22"/>
          <w:lang w:val="fi-FI"/>
        </w:rPr>
        <w:t>Suure</w:t>
      </w:r>
      <w:r w:rsidR="008367FE">
        <w:rPr>
          <w:color w:val="000000"/>
          <w:sz w:val="22"/>
          <w:szCs w:val="22"/>
          <w:lang w:val="fi-FI"/>
        </w:rPr>
        <w:t>mpia Glivec- ja parasetamoliannoksia ei ole tutkittu.</w:t>
      </w:r>
    </w:p>
    <w:p w14:paraId="586FC010" w14:textId="77777777" w:rsidR="009935AA" w:rsidRPr="00912A5D" w:rsidRDefault="009935AA" w:rsidP="009935AA">
      <w:pPr>
        <w:pStyle w:val="Text"/>
        <w:widowControl w:val="0"/>
        <w:spacing w:before="0"/>
        <w:jc w:val="left"/>
        <w:rPr>
          <w:color w:val="000000"/>
          <w:sz w:val="22"/>
          <w:szCs w:val="22"/>
          <w:lang w:val="fi-FI"/>
        </w:rPr>
      </w:pPr>
    </w:p>
    <w:p w14:paraId="586FC011" w14:textId="77777777" w:rsidR="009935AA" w:rsidRPr="00912A5D" w:rsidRDefault="009935AA" w:rsidP="009935AA">
      <w:pPr>
        <w:pStyle w:val="Text"/>
        <w:widowControl w:val="0"/>
        <w:spacing w:before="0"/>
        <w:jc w:val="left"/>
        <w:rPr>
          <w:color w:val="000000"/>
          <w:sz w:val="22"/>
          <w:szCs w:val="22"/>
          <w:lang w:val="fi-FI"/>
        </w:rPr>
      </w:pPr>
      <w:r w:rsidRPr="00912A5D">
        <w:rPr>
          <w:color w:val="000000"/>
          <w:sz w:val="22"/>
          <w:szCs w:val="22"/>
          <w:lang w:val="fi-FI"/>
        </w:rPr>
        <w:t xml:space="preserve">Siksi tulee noudattaa varovaisuutta, kun </w:t>
      </w:r>
      <w:r w:rsidR="009134C2">
        <w:rPr>
          <w:color w:val="000000"/>
          <w:sz w:val="22"/>
          <w:szCs w:val="22"/>
          <w:lang w:val="fi-FI"/>
        </w:rPr>
        <w:t>s</w:t>
      </w:r>
      <w:r w:rsidR="00FE4AC3">
        <w:rPr>
          <w:color w:val="000000"/>
          <w:sz w:val="22"/>
          <w:szCs w:val="22"/>
          <w:lang w:val="fi-FI"/>
        </w:rPr>
        <w:t>uuri</w:t>
      </w:r>
      <w:r w:rsidR="009134C2">
        <w:rPr>
          <w:color w:val="000000"/>
          <w:sz w:val="22"/>
          <w:szCs w:val="22"/>
          <w:lang w:val="fi-FI"/>
        </w:rPr>
        <w:t xml:space="preserve">a annoksia </w:t>
      </w:r>
      <w:r w:rsidRPr="00912A5D">
        <w:rPr>
          <w:color w:val="000000"/>
          <w:sz w:val="22"/>
          <w:szCs w:val="22"/>
          <w:lang w:val="fi-FI"/>
        </w:rPr>
        <w:t>Gliveciä ja parasetamolia annetaan samanaikaisesti.</w:t>
      </w:r>
    </w:p>
    <w:p w14:paraId="586FC012" w14:textId="77777777" w:rsidR="009935AA" w:rsidRPr="00912A5D" w:rsidRDefault="009935AA" w:rsidP="009935AA">
      <w:pPr>
        <w:pStyle w:val="Text"/>
        <w:widowControl w:val="0"/>
        <w:spacing w:before="0"/>
        <w:jc w:val="left"/>
        <w:rPr>
          <w:color w:val="000000"/>
          <w:sz w:val="22"/>
          <w:szCs w:val="22"/>
          <w:lang w:val="fi-FI"/>
        </w:rPr>
      </w:pPr>
    </w:p>
    <w:p w14:paraId="586FC013" w14:textId="77777777" w:rsidR="00AE3698" w:rsidRPr="00912A5D" w:rsidRDefault="009935AA" w:rsidP="009935AA">
      <w:pPr>
        <w:rPr>
          <w:rFonts w:ascii="Times New Roman" w:hAnsi="Times New Roman"/>
          <w:sz w:val="22"/>
          <w:szCs w:val="22"/>
        </w:rPr>
      </w:pPr>
      <w:r w:rsidRPr="00912A5D">
        <w:rPr>
          <w:rFonts w:ascii="Times New Roman" w:hAnsi="Times New Roman"/>
          <w:sz w:val="22"/>
          <w:szCs w:val="22"/>
        </w:rPr>
        <w:t xml:space="preserve">Jos </w:t>
      </w:r>
      <w:r w:rsidR="00AE3698" w:rsidRPr="00912A5D">
        <w:rPr>
          <w:rFonts w:ascii="Times New Roman" w:hAnsi="Times New Roman"/>
          <w:sz w:val="22"/>
          <w:szCs w:val="22"/>
        </w:rPr>
        <w:t>potilaan kilpirauhanen on poistettu ja häntä hoidetaan levotyroksiinilla, samanaikainen Glivec-hoito saattaa pienentää plasman levotyroksiinipitoisuuksia (ks. kohta 4.4). Varovaisuutta on siis syytä noudattaa. Tämän yhteisvaikutuksen syntymekanismia ei kuitenkaan vielä tunneta.</w:t>
      </w:r>
    </w:p>
    <w:p w14:paraId="586FC014" w14:textId="77777777" w:rsidR="00AE3698" w:rsidRPr="00912A5D" w:rsidRDefault="00AE3698">
      <w:pPr>
        <w:pStyle w:val="Text"/>
        <w:widowControl w:val="0"/>
        <w:spacing w:before="0"/>
        <w:jc w:val="left"/>
        <w:rPr>
          <w:color w:val="000000"/>
          <w:sz w:val="22"/>
          <w:szCs w:val="22"/>
          <w:lang w:val="fi-FI"/>
        </w:rPr>
      </w:pPr>
    </w:p>
    <w:p w14:paraId="586FC015" w14:textId="77777777" w:rsidR="00AE3698" w:rsidRPr="00912A5D" w:rsidRDefault="00AE3698">
      <w:pPr>
        <w:pStyle w:val="Text"/>
        <w:widowControl w:val="0"/>
        <w:spacing w:before="0"/>
        <w:jc w:val="left"/>
        <w:rPr>
          <w:color w:val="000000"/>
          <w:szCs w:val="22"/>
          <w:lang w:val="fi-FI"/>
        </w:rPr>
      </w:pPr>
      <w:r w:rsidRPr="00912A5D">
        <w:rPr>
          <w:color w:val="000000"/>
          <w:sz w:val="22"/>
          <w:szCs w:val="22"/>
          <w:lang w:val="fi-FI"/>
        </w:rPr>
        <w:t xml:space="preserve">Glivecin käytöstä samanaikaisesti kemoterapian kanssa potilailla, joilla on Ph+ </w:t>
      </w:r>
      <w:smartTag w:uri="urn:schemas-microsoft-com:office:smarttags" w:element="State">
        <w:r w:rsidRPr="00912A5D">
          <w:rPr>
            <w:color w:val="000000"/>
            <w:sz w:val="22"/>
            <w:szCs w:val="22"/>
            <w:lang w:val="fi-FI"/>
          </w:rPr>
          <w:t>ALL</w:t>
        </w:r>
      </w:smartTag>
      <w:r w:rsidRPr="00912A5D">
        <w:rPr>
          <w:color w:val="000000"/>
          <w:sz w:val="22"/>
          <w:szCs w:val="22"/>
          <w:lang w:val="fi-FI"/>
        </w:rPr>
        <w:t>, on kliinistä kokemusta (ks. kohta 5.1), mutta imatinibin ja kemoterapiahoitojen välisiä yhteisvaikutuksia ei tunneta täysin. Imatinibiin liittyvät haittatapahtumat (maksatoksisuus, myelosuppressio tai muut) saattavat lisääntyä, ja on ilmoitettu, että valmisteen samanaikaiseen käyttöön L-asparaginaasin kanssa saattaa liittyä maksatoksisuuden lisääntymistä (ks. kohta 4.8). Tästä syystä Glivecin käyttö yhdistelmähoidossa vaatii erityistä varovaisuutta.</w:t>
      </w:r>
    </w:p>
    <w:p w14:paraId="586FC016" w14:textId="77777777" w:rsidR="00AE3698" w:rsidRPr="00912A5D" w:rsidRDefault="00AE3698">
      <w:pPr>
        <w:pStyle w:val="EndnoteText"/>
        <w:widowControl w:val="0"/>
        <w:tabs>
          <w:tab w:val="clear" w:pos="567"/>
        </w:tabs>
        <w:rPr>
          <w:color w:val="000000"/>
          <w:szCs w:val="22"/>
          <w:lang w:val="fi-FI"/>
        </w:rPr>
      </w:pPr>
    </w:p>
    <w:p w14:paraId="586FC017" w14:textId="77777777" w:rsidR="00AE3698" w:rsidRPr="00912A5D" w:rsidRDefault="00AE3698" w:rsidP="00345374">
      <w:pPr>
        <w:keepNext/>
        <w:widowControl w:val="0"/>
        <w:suppressAutoHyphens/>
        <w:ind w:left="570" w:hanging="570"/>
        <w:rPr>
          <w:rFonts w:ascii="Times New Roman" w:hAnsi="Times New Roman"/>
          <w:b/>
          <w:sz w:val="22"/>
          <w:szCs w:val="22"/>
        </w:rPr>
      </w:pPr>
      <w:r w:rsidRPr="00912A5D">
        <w:rPr>
          <w:rFonts w:ascii="Times New Roman" w:hAnsi="Times New Roman"/>
          <w:b/>
          <w:sz w:val="22"/>
          <w:szCs w:val="22"/>
        </w:rPr>
        <w:t>4.6</w:t>
      </w:r>
      <w:r w:rsidRPr="00912A5D">
        <w:rPr>
          <w:rFonts w:ascii="Times New Roman" w:hAnsi="Times New Roman"/>
          <w:b/>
          <w:sz w:val="22"/>
          <w:szCs w:val="22"/>
        </w:rPr>
        <w:tab/>
      </w:r>
      <w:r w:rsidR="00C67279">
        <w:rPr>
          <w:rFonts w:ascii="Times New Roman" w:hAnsi="Times New Roman"/>
          <w:b/>
          <w:sz w:val="22"/>
          <w:szCs w:val="22"/>
        </w:rPr>
        <w:t>Hedelmällisyys</w:t>
      </w:r>
      <w:r w:rsidR="00834CB6">
        <w:rPr>
          <w:rFonts w:ascii="Times New Roman" w:hAnsi="Times New Roman"/>
          <w:b/>
          <w:sz w:val="22"/>
          <w:szCs w:val="22"/>
        </w:rPr>
        <w:t>, r</w:t>
      </w:r>
      <w:r w:rsidRPr="00912A5D">
        <w:rPr>
          <w:rFonts w:ascii="Times New Roman" w:hAnsi="Times New Roman"/>
          <w:b/>
          <w:sz w:val="22"/>
          <w:szCs w:val="22"/>
        </w:rPr>
        <w:t>askaus ja imetys</w:t>
      </w:r>
    </w:p>
    <w:p w14:paraId="586FC018" w14:textId="77777777" w:rsidR="00AE3698" w:rsidRPr="00912A5D" w:rsidRDefault="00AE3698" w:rsidP="00345374">
      <w:pPr>
        <w:pStyle w:val="EndnoteText"/>
        <w:keepNext/>
        <w:widowControl w:val="0"/>
        <w:tabs>
          <w:tab w:val="clear" w:pos="567"/>
        </w:tabs>
        <w:rPr>
          <w:color w:val="000000"/>
          <w:szCs w:val="22"/>
          <w:lang w:val="fi-FI"/>
        </w:rPr>
      </w:pPr>
    </w:p>
    <w:p w14:paraId="586FC019" w14:textId="77777777" w:rsidR="00C67279" w:rsidRPr="00C67279" w:rsidRDefault="00C67279" w:rsidP="00345374">
      <w:pPr>
        <w:pStyle w:val="EndnoteText"/>
        <w:keepNext/>
        <w:widowControl w:val="0"/>
        <w:tabs>
          <w:tab w:val="clear" w:pos="567"/>
        </w:tabs>
        <w:rPr>
          <w:color w:val="000000"/>
          <w:szCs w:val="22"/>
          <w:lang w:val="fi-FI"/>
        </w:rPr>
      </w:pPr>
      <w:r>
        <w:rPr>
          <w:color w:val="000000"/>
          <w:szCs w:val="22"/>
          <w:u w:val="single"/>
          <w:lang w:val="fi-FI"/>
        </w:rPr>
        <w:t>Hedelmällisessä iässä olevat naiset</w:t>
      </w:r>
    </w:p>
    <w:p w14:paraId="586FC01A" w14:textId="77777777" w:rsidR="00C67279" w:rsidRDefault="00C67279" w:rsidP="00C67279">
      <w:pPr>
        <w:pStyle w:val="EndnoteText"/>
        <w:widowControl w:val="0"/>
        <w:tabs>
          <w:tab w:val="clear" w:pos="567"/>
        </w:tabs>
        <w:rPr>
          <w:color w:val="000000"/>
          <w:szCs w:val="22"/>
          <w:lang w:val="fi-FI"/>
        </w:rPr>
      </w:pPr>
      <w:r w:rsidRPr="00912A5D">
        <w:rPr>
          <w:color w:val="000000"/>
          <w:szCs w:val="22"/>
          <w:lang w:val="fi-FI"/>
        </w:rPr>
        <w:t>Hedelmällisessä iässä olevia naisia on kehotettava käyttämään tehokasta ehkäisyä hoidon aikana</w:t>
      </w:r>
      <w:r w:rsidR="00B7337A">
        <w:rPr>
          <w:color w:val="000000"/>
          <w:szCs w:val="22"/>
          <w:lang w:val="fi-FI"/>
        </w:rPr>
        <w:t xml:space="preserve"> ja vähintään 15 päivän ajan Glivec-hoidon lopettamisen jälkeen</w:t>
      </w:r>
      <w:r w:rsidRPr="00912A5D">
        <w:rPr>
          <w:color w:val="000000"/>
          <w:szCs w:val="22"/>
          <w:lang w:val="fi-FI"/>
        </w:rPr>
        <w:t>.</w:t>
      </w:r>
    </w:p>
    <w:p w14:paraId="586FC01B" w14:textId="77777777" w:rsidR="00C67279" w:rsidRPr="00912A5D" w:rsidRDefault="00C67279" w:rsidP="00C67279">
      <w:pPr>
        <w:pStyle w:val="EndnoteText"/>
        <w:widowControl w:val="0"/>
        <w:tabs>
          <w:tab w:val="clear" w:pos="567"/>
        </w:tabs>
        <w:rPr>
          <w:color w:val="000000"/>
          <w:szCs w:val="22"/>
          <w:lang w:val="fi-FI"/>
        </w:rPr>
      </w:pPr>
    </w:p>
    <w:p w14:paraId="586FC01C" w14:textId="77777777" w:rsidR="00AE3698" w:rsidRPr="00912A5D" w:rsidRDefault="00AE3698" w:rsidP="00345374">
      <w:pPr>
        <w:pStyle w:val="EndnoteText"/>
        <w:keepNext/>
        <w:widowControl w:val="0"/>
        <w:tabs>
          <w:tab w:val="clear" w:pos="567"/>
        </w:tabs>
        <w:rPr>
          <w:color w:val="000000"/>
          <w:szCs w:val="22"/>
          <w:u w:val="single"/>
          <w:lang w:val="fi-FI"/>
        </w:rPr>
      </w:pPr>
      <w:r w:rsidRPr="00912A5D">
        <w:rPr>
          <w:color w:val="000000"/>
          <w:szCs w:val="22"/>
          <w:u w:val="single"/>
          <w:lang w:val="fi-FI"/>
        </w:rPr>
        <w:t>Raskaus</w:t>
      </w:r>
    </w:p>
    <w:p w14:paraId="586FC01D" w14:textId="77777777" w:rsidR="005A54FA" w:rsidRDefault="005A54FA">
      <w:pPr>
        <w:pStyle w:val="EndnoteText"/>
        <w:widowControl w:val="0"/>
        <w:tabs>
          <w:tab w:val="clear" w:pos="567"/>
        </w:tabs>
        <w:rPr>
          <w:color w:val="000000"/>
          <w:szCs w:val="22"/>
          <w:lang w:val="fi-FI"/>
        </w:rPr>
      </w:pPr>
      <w:r>
        <w:rPr>
          <w:szCs w:val="22"/>
          <w:lang w:val="fi-FI"/>
        </w:rPr>
        <w:t xml:space="preserve">On vain vähän </w:t>
      </w:r>
      <w:r w:rsidR="00AE3698" w:rsidRPr="00912A5D">
        <w:rPr>
          <w:color w:val="000000"/>
          <w:szCs w:val="22"/>
          <w:lang w:val="fi-FI"/>
        </w:rPr>
        <w:t xml:space="preserve">tietoja imatinibin käytöstä raskaana oleville naisille. </w:t>
      </w:r>
      <w:r w:rsidR="004E6CF8" w:rsidRPr="004E6CF8">
        <w:rPr>
          <w:color w:val="000000"/>
          <w:szCs w:val="22"/>
          <w:lang w:val="fi-FI"/>
        </w:rPr>
        <w:t xml:space="preserve">Markkinoilletulon jälkeen Glivec-hoitoa saaneilla naisilla on </w:t>
      </w:r>
      <w:r w:rsidR="00202D97">
        <w:rPr>
          <w:color w:val="000000"/>
          <w:szCs w:val="22"/>
          <w:lang w:val="fi-FI"/>
        </w:rPr>
        <w:t xml:space="preserve">raportoitu </w:t>
      </w:r>
      <w:r w:rsidR="004E6CF8" w:rsidRPr="004E6CF8">
        <w:rPr>
          <w:color w:val="000000"/>
          <w:szCs w:val="22"/>
          <w:lang w:val="fi-FI"/>
        </w:rPr>
        <w:t>keskenmenoja ja lapsilla synnynnäisiä epämuodostumia.</w:t>
      </w:r>
      <w:r w:rsidR="004E6CF8">
        <w:rPr>
          <w:color w:val="000000"/>
          <w:szCs w:val="22"/>
          <w:lang w:val="fi-FI"/>
        </w:rPr>
        <w:t xml:space="preserve"> </w:t>
      </w:r>
      <w:r w:rsidR="00AE3698" w:rsidRPr="00912A5D">
        <w:rPr>
          <w:color w:val="000000"/>
          <w:szCs w:val="22"/>
          <w:lang w:val="fi-FI"/>
        </w:rPr>
        <w:t>Eläinkoke</w:t>
      </w:r>
      <w:r w:rsidR="005B700E">
        <w:rPr>
          <w:color w:val="000000"/>
          <w:szCs w:val="22"/>
          <w:lang w:val="fi-FI"/>
        </w:rPr>
        <w:t>issa</w:t>
      </w:r>
      <w:r w:rsidR="00AE3698" w:rsidRPr="00912A5D">
        <w:rPr>
          <w:color w:val="000000"/>
          <w:szCs w:val="22"/>
          <w:lang w:val="fi-FI"/>
        </w:rPr>
        <w:t xml:space="preserve"> </w:t>
      </w:r>
      <w:r w:rsidR="005B700E">
        <w:rPr>
          <w:color w:val="000000"/>
          <w:szCs w:val="22"/>
          <w:lang w:val="fi-FI"/>
        </w:rPr>
        <w:t xml:space="preserve">on </w:t>
      </w:r>
      <w:r w:rsidR="00AE3698" w:rsidRPr="00912A5D">
        <w:rPr>
          <w:color w:val="000000"/>
          <w:szCs w:val="22"/>
          <w:lang w:val="fi-FI"/>
        </w:rPr>
        <w:t xml:space="preserve">kuitenkin </w:t>
      </w:r>
      <w:r w:rsidR="005B700E">
        <w:rPr>
          <w:color w:val="000000"/>
          <w:szCs w:val="22"/>
          <w:lang w:val="fi-FI"/>
        </w:rPr>
        <w:t>havaittu</w:t>
      </w:r>
      <w:r w:rsidR="00AE3698" w:rsidRPr="00912A5D">
        <w:rPr>
          <w:color w:val="000000"/>
          <w:szCs w:val="22"/>
          <w:lang w:val="fi-FI"/>
        </w:rPr>
        <w:t xml:space="preserve"> </w:t>
      </w:r>
      <w:r w:rsidR="005B700E">
        <w:rPr>
          <w:color w:val="000000"/>
          <w:szCs w:val="22"/>
          <w:lang w:val="fi-FI"/>
        </w:rPr>
        <w:t>lisääntymis</w:t>
      </w:r>
      <w:r w:rsidR="00AE3698" w:rsidRPr="00912A5D">
        <w:rPr>
          <w:color w:val="000000"/>
          <w:szCs w:val="22"/>
          <w:lang w:val="fi-FI"/>
        </w:rPr>
        <w:t>toksisuutta (ks. kohta 5.3)</w:t>
      </w:r>
      <w:r w:rsidR="005B700E">
        <w:rPr>
          <w:color w:val="000000"/>
          <w:szCs w:val="22"/>
          <w:lang w:val="fi-FI"/>
        </w:rPr>
        <w:t>,</w:t>
      </w:r>
      <w:r w:rsidR="00AE3698" w:rsidRPr="00912A5D">
        <w:rPr>
          <w:color w:val="000000"/>
          <w:szCs w:val="22"/>
          <w:lang w:val="fi-FI"/>
        </w:rPr>
        <w:t xml:space="preserve"> eikä mahdollista riskiä sikiölle tunneta. Gliveciä ei pi</w:t>
      </w:r>
      <w:r w:rsidR="005B700E">
        <w:rPr>
          <w:color w:val="000000"/>
          <w:szCs w:val="22"/>
          <w:lang w:val="fi-FI"/>
        </w:rPr>
        <w:t>dä</w:t>
      </w:r>
      <w:r w:rsidR="00AE3698" w:rsidRPr="00912A5D">
        <w:rPr>
          <w:color w:val="000000"/>
          <w:szCs w:val="22"/>
          <w:lang w:val="fi-FI"/>
        </w:rPr>
        <w:t xml:space="preserve"> käyttää raskauden aikana, </w:t>
      </w:r>
      <w:r w:rsidR="005B700E">
        <w:rPr>
          <w:color w:val="000000"/>
          <w:szCs w:val="22"/>
          <w:lang w:val="fi-FI"/>
        </w:rPr>
        <w:t>ellei</w:t>
      </w:r>
      <w:r w:rsidR="005B700E" w:rsidRPr="00912A5D">
        <w:rPr>
          <w:color w:val="000000"/>
          <w:szCs w:val="22"/>
          <w:lang w:val="fi-FI"/>
        </w:rPr>
        <w:t xml:space="preserve"> </w:t>
      </w:r>
      <w:r w:rsidR="00AE3698" w:rsidRPr="00912A5D">
        <w:rPr>
          <w:color w:val="000000"/>
          <w:szCs w:val="22"/>
          <w:lang w:val="fi-FI"/>
        </w:rPr>
        <w:t>käyttö ole selvästi välttämätöntä. Jos sitä käytetään raskauden aikana, potilaalle on kerrottava sikiöön mahdollisesti kohdistuvasta riskistä.</w:t>
      </w:r>
    </w:p>
    <w:p w14:paraId="586FC01E" w14:textId="77777777" w:rsidR="00AE3698" w:rsidRPr="00912A5D" w:rsidRDefault="00AE3698">
      <w:pPr>
        <w:pStyle w:val="EndnoteText"/>
        <w:widowControl w:val="0"/>
        <w:tabs>
          <w:tab w:val="clear" w:pos="567"/>
        </w:tabs>
        <w:rPr>
          <w:color w:val="000000"/>
          <w:szCs w:val="22"/>
          <w:lang w:val="fi-FI"/>
        </w:rPr>
      </w:pPr>
    </w:p>
    <w:p w14:paraId="586FC01F" w14:textId="77777777" w:rsidR="00AE3698" w:rsidRPr="00912A5D" w:rsidRDefault="00AE3698" w:rsidP="00345374">
      <w:pPr>
        <w:pStyle w:val="EndnoteText"/>
        <w:keepNext/>
        <w:widowControl w:val="0"/>
        <w:tabs>
          <w:tab w:val="clear" w:pos="567"/>
        </w:tabs>
        <w:rPr>
          <w:color w:val="000000"/>
          <w:szCs w:val="22"/>
          <w:lang w:val="fi-FI"/>
        </w:rPr>
      </w:pPr>
      <w:r w:rsidRPr="00912A5D">
        <w:rPr>
          <w:color w:val="000000"/>
          <w:szCs w:val="22"/>
          <w:u w:val="single"/>
          <w:lang w:val="fi-FI"/>
        </w:rPr>
        <w:t>Imetys</w:t>
      </w:r>
    </w:p>
    <w:p w14:paraId="586FC020" w14:textId="17597F3D" w:rsidR="00AE3698" w:rsidRDefault="00AC0FD5">
      <w:pPr>
        <w:pStyle w:val="EndnoteText"/>
        <w:widowControl w:val="0"/>
        <w:tabs>
          <w:tab w:val="clear" w:pos="567"/>
        </w:tabs>
        <w:rPr>
          <w:color w:val="000000"/>
          <w:szCs w:val="22"/>
          <w:lang w:val="fi-FI"/>
        </w:rPr>
      </w:pPr>
      <w:r w:rsidRPr="00F2758D">
        <w:rPr>
          <w:color w:val="000000"/>
          <w:szCs w:val="22"/>
          <w:lang w:val="fi-FI"/>
        </w:rPr>
        <w:t>Imatinibin jakaantumisesta äidinmaitoon on rajallis</w:t>
      </w:r>
      <w:r w:rsidR="0048313C">
        <w:rPr>
          <w:color w:val="000000"/>
          <w:szCs w:val="22"/>
          <w:lang w:val="fi-FI"/>
        </w:rPr>
        <w:t>es</w:t>
      </w:r>
      <w:r w:rsidRPr="00F2758D">
        <w:rPr>
          <w:color w:val="000000"/>
          <w:szCs w:val="22"/>
          <w:lang w:val="fi-FI"/>
        </w:rPr>
        <w:t>t</w:t>
      </w:r>
      <w:r w:rsidR="0048313C">
        <w:rPr>
          <w:color w:val="000000"/>
          <w:szCs w:val="22"/>
          <w:lang w:val="fi-FI"/>
        </w:rPr>
        <w:t>i</w:t>
      </w:r>
      <w:r w:rsidRPr="00F2758D">
        <w:rPr>
          <w:color w:val="000000"/>
          <w:szCs w:val="22"/>
          <w:lang w:val="fi-FI"/>
        </w:rPr>
        <w:t xml:space="preserve"> tietoja. Kahde</w:t>
      </w:r>
      <w:r w:rsidR="0048313C">
        <w:rPr>
          <w:color w:val="000000"/>
          <w:szCs w:val="22"/>
          <w:lang w:val="fi-FI"/>
        </w:rPr>
        <w:t>ssa</w:t>
      </w:r>
      <w:r w:rsidRPr="00F2758D">
        <w:rPr>
          <w:color w:val="000000"/>
          <w:szCs w:val="22"/>
          <w:lang w:val="fi-FI"/>
        </w:rPr>
        <w:t xml:space="preserve"> imettävi</w:t>
      </w:r>
      <w:r w:rsidR="0048313C">
        <w:rPr>
          <w:color w:val="000000"/>
          <w:szCs w:val="22"/>
          <w:lang w:val="fi-FI"/>
        </w:rPr>
        <w:t>llä</w:t>
      </w:r>
      <w:r w:rsidRPr="00F2758D">
        <w:rPr>
          <w:color w:val="000000"/>
          <w:szCs w:val="22"/>
          <w:lang w:val="fi-FI"/>
        </w:rPr>
        <w:t xml:space="preserve"> nais</w:t>
      </w:r>
      <w:r w:rsidR="0048313C">
        <w:rPr>
          <w:color w:val="000000"/>
          <w:szCs w:val="22"/>
          <w:lang w:val="fi-FI"/>
        </w:rPr>
        <w:t>illa tehdyssä</w:t>
      </w:r>
      <w:r w:rsidRPr="00F2758D">
        <w:rPr>
          <w:color w:val="000000"/>
          <w:szCs w:val="22"/>
          <w:lang w:val="fi-FI"/>
        </w:rPr>
        <w:t xml:space="preserve"> tutkimuksessa paljastui, että s</w:t>
      </w:r>
      <w:r w:rsidR="00D904BE" w:rsidRPr="00F2758D">
        <w:rPr>
          <w:color w:val="000000"/>
          <w:szCs w:val="22"/>
          <w:lang w:val="fi-FI"/>
        </w:rPr>
        <w:t>ekä imatinibi että sen aktiivi metaboliitti voi</w:t>
      </w:r>
      <w:r w:rsidR="0048313C">
        <w:rPr>
          <w:color w:val="000000"/>
          <w:szCs w:val="22"/>
          <w:lang w:val="fi-FI"/>
        </w:rPr>
        <w:t>vat</w:t>
      </w:r>
      <w:r w:rsidR="00D904BE" w:rsidRPr="00F2758D">
        <w:rPr>
          <w:color w:val="000000"/>
          <w:szCs w:val="22"/>
          <w:lang w:val="fi-FI"/>
        </w:rPr>
        <w:t xml:space="preserve"> jakaantua äidinmaitoon. </w:t>
      </w:r>
      <w:r w:rsidR="009D02C0" w:rsidRPr="00F2758D">
        <w:rPr>
          <w:color w:val="000000"/>
          <w:szCs w:val="22"/>
          <w:lang w:val="fi-FI"/>
        </w:rPr>
        <w:t>M</w:t>
      </w:r>
      <w:r w:rsidR="000F0A9C" w:rsidRPr="00F2758D">
        <w:rPr>
          <w:color w:val="000000"/>
          <w:szCs w:val="22"/>
          <w:lang w:val="fi-FI"/>
        </w:rPr>
        <w:t>aidon plasma</w:t>
      </w:r>
      <w:r w:rsidR="00D904BE" w:rsidRPr="00F2758D">
        <w:rPr>
          <w:color w:val="000000"/>
          <w:szCs w:val="22"/>
          <w:lang w:val="fi-FI"/>
        </w:rPr>
        <w:t>suhde</w:t>
      </w:r>
      <w:r w:rsidR="00765E7A" w:rsidRPr="00F2758D">
        <w:rPr>
          <w:color w:val="000000"/>
          <w:szCs w:val="22"/>
          <w:lang w:val="fi-FI"/>
        </w:rPr>
        <w:t>, jota tutkittiin</w:t>
      </w:r>
      <w:r w:rsidR="009D02C0" w:rsidRPr="00F2758D">
        <w:rPr>
          <w:color w:val="000000"/>
          <w:szCs w:val="22"/>
          <w:lang w:val="fi-FI"/>
        </w:rPr>
        <w:t xml:space="preserve"> </w:t>
      </w:r>
      <w:r w:rsidR="00765E7A" w:rsidRPr="00F2758D">
        <w:rPr>
          <w:color w:val="000000"/>
          <w:szCs w:val="22"/>
          <w:lang w:val="fi-FI"/>
        </w:rPr>
        <w:t>yhdellä potilalla,</w:t>
      </w:r>
      <w:r w:rsidRPr="00F2758D">
        <w:rPr>
          <w:color w:val="000000"/>
          <w:szCs w:val="22"/>
          <w:lang w:val="fi-FI"/>
        </w:rPr>
        <w:t xml:space="preserve"> </w:t>
      </w:r>
      <w:r w:rsidR="009D02C0" w:rsidRPr="00F2758D">
        <w:rPr>
          <w:color w:val="000000"/>
          <w:szCs w:val="22"/>
          <w:lang w:val="fi-FI"/>
        </w:rPr>
        <w:t>oli imatinibille</w:t>
      </w:r>
      <w:r w:rsidR="00CB241C" w:rsidRPr="00F2758D">
        <w:rPr>
          <w:color w:val="000000"/>
          <w:szCs w:val="22"/>
          <w:lang w:val="fi-FI"/>
        </w:rPr>
        <w:t xml:space="preserve"> </w:t>
      </w:r>
      <w:bookmarkStart w:id="2" w:name="OLE_LINK5"/>
      <w:r w:rsidR="00CB241C" w:rsidRPr="00F2758D">
        <w:rPr>
          <w:color w:val="000000"/>
          <w:szCs w:val="22"/>
          <w:lang w:val="fi-FI"/>
        </w:rPr>
        <w:t>määritettynä</w:t>
      </w:r>
      <w:r w:rsidR="009D02C0" w:rsidRPr="00F2758D">
        <w:rPr>
          <w:color w:val="000000"/>
          <w:szCs w:val="22"/>
          <w:lang w:val="fi-FI"/>
        </w:rPr>
        <w:t xml:space="preserve"> </w:t>
      </w:r>
      <w:bookmarkEnd w:id="2"/>
      <w:r w:rsidR="009D02C0" w:rsidRPr="00F2758D">
        <w:rPr>
          <w:color w:val="000000"/>
          <w:szCs w:val="22"/>
          <w:lang w:val="fi-FI"/>
        </w:rPr>
        <w:t>0,5 ja sen</w:t>
      </w:r>
      <w:r w:rsidR="009D02C0">
        <w:rPr>
          <w:color w:val="000000"/>
          <w:szCs w:val="22"/>
          <w:lang w:val="fi-FI"/>
        </w:rPr>
        <w:t xml:space="preserve"> metaboliitille </w:t>
      </w:r>
      <w:r w:rsidR="00CB241C">
        <w:rPr>
          <w:color w:val="000000"/>
          <w:szCs w:val="22"/>
          <w:lang w:val="fi-FI"/>
        </w:rPr>
        <w:t xml:space="preserve">määritettynä </w:t>
      </w:r>
      <w:r w:rsidR="009D02C0">
        <w:rPr>
          <w:color w:val="000000"/>
          <w:szCs w:val="22"/>
          <w:lang w:val="fi-FI"/>
        </w:rPr>
        <w:t>0,9, joka viittaa metaboliitin suurempaan jakaantumiseen maitoon. Ottaen huomioon imatinibin ja sen metaboliitin</w:t>
      </w:r>
      <w:r w:rsidR="009D02C0" w:rsidRPr="009D02C0">
        <w:rPr>
          <w:color w:val="000000"/>
          <w:szCs w:val="22"/>
          <w:lang w:val="fi-FI"/>
        </w:rPr>
        <w:t xml:space="preserve"> </w:t>
      </w:r>
      <w:r w:rsidR="009D02C0">
        <w:rPr>
          <w:color w:val="000000"/>
          <w:szCs w:val="22"/>
          <w:lang w:val="fi-FI"/>
        </w:rPr>
        <w:t xml:space="preserve">yhdistetty pitoisuus sekä </w:t>
      </w:r>
      <w:r w:rsidR="000F0A9C">
        <w:rPr>
          <w:color w:val="000000"/>
          <w:szCs w:val="22"/>
          <w:lang w:val="fi-FI"/>
        </w:rPr>
        <w:t xml:space="preserve">imeväisten </w:t>
      </w:r>
      <w:r w:rsidR="009D02C0">
        <w:rPr>
          <w:color w:val="000000"/>
          <w:szCs w:val="22"/>
          <w:lang w:val="fi-FI"/>
        </w:rPr>
        <w:t xml:space="preserve">suurin mahdollinen </w:t>
      </w:r>
      <w:r w:rsidR="00E82DA8">
        <w:rPr>
          <w:color w:val="000000"/>
          <w:szCs w:val="22"/>
          <w:lang w:val="fi-FI"/>
        </w:rPr>
        <w:t>päiv</w:t>
      </w:r>
      <w:r w:rsidR="00F2758D">
        <w:rPr>
          <w:color w:val="000000"/>
          <w:szCs w:val="22"/>
          <w:lang w:val="fi-FI"/>
        </w:rPr>
        <w:t>i</w:t>
      </w:r>
      <w:r w:rsidR="00E82DA8">
        <w:rPr>
          <w:color w:val="000000"/>
          <w:szCs w:val="22"/>
          <w:lang w:val="fi-FI"/>
        </w:rPr>
        <w:t>ttäinen</w:t>
      </w:r>
      <w:r w:rsidR="009D02C0">
        <w:rPr>
          <w:color w:val="000000"/>
          <w:szCs w:val="22"/>
          <w:lang w:val="fi-FI"/>
        </w:rPr>
        <w:t xml:space="preserve"> </w:t>
      </w:r>
      <w:r w:rsidR="00E82DA8">
        <w:rPr>
          <w:color w:val="000000"/>
          <w:szCs w:val="22"/>
          <w:lang w:val="fi-FI"/>
        </w:rPr>
        <w:t>maitomäärä, kokonaisaltistu</w:t>
      </w:r>
      <w:r w:rsidR="0048313C">
        <w:rPr>
          <w:color w:val="000000"/>
          <w:szCs w:val="22"/>
          <w:lang w:val="fi-FI"/>
        </w:rPr>
        <w:t>k</w:t>
      </w:r>
      <w:r w:rsidR="00E82DA8">
        <w:rPr>
          <w:color w:val="000000"/>
          <w:szCs w:val="22"/>
          <w:lang w:val="fi-FI"/>
        </w:rPr>
        <w:t>s</w:t>
      </w:r>
      <w:r w:rsidR="0048313C">
        <w:rPr>
          <w:color w:val="000000"/>
          <w:szCs w:val="22"/>
          <w:lang w:val="fi-FI"/>
        </w:rPr>
        <w:t>en</w:t>
      </w:r>
      <w:r w:rsidR="00E82DA8">
        <w:rPr>
          <w:color w:val="000000"/>
          <w:szCs w:val="22"/>
          <w:lang w:val="fi-FI"/>
        </w:rPr>
        <w:t xml:space="preserve"> oletetaan olevan matala (~10 % terapeuttisesta annoksesta).</w:t>
      </w:r>
      <w:r w:rsidR="00D94B28">
        <w:rPr>
          <w:color w:val="000000"/>
          <w:szCs w:val="22"/>
          <w:lang w:val="fi-FI"/>
        </w:rPr>
        <w:t xml:space="preserve"> K</w:t>
      </w:r>
      <w:r w:rsidR="00E82DA8">
        <w:rPr>
          <w:color w:val="000000"/>
          <w:szCs w:val="22"/>
          <w:lang w:val="fi-FI"/>
        </w:rPr>
        <w:t xml:space="preserve">oska </w:t>
      </w:r>
      <w:r w:rsidR="00B971D6">
        <w:rPr>
          <w:color w:val="000000"/>
          <w:szCs w:val="22"/>
          <w:lang w:val="fi-FI"/>
        </w:rPr>
        <w:t>matala-annoksise</w:t>
      </w:r>
      <w:r w:rsidR="0048313C">
        <w:rPr>
          <w:color w:val="000000"/>
          <w:szCs w:val="22"/>
          <w:lang w:val="fi-FI"/>
        </w:rPr>
        <w:t>n</w:t>
      </w:r>
      <w:r w:rsidR="00B971D6">
        <w:rPr>
          <w:color w:val="000000"/>
          <w:szCs w:val="22"/>
          <w:lang w:val="fi-FI"/>
        </w:rPr>
        <w:t xml:space="preserve"> imatinibialtistukse</w:t>
      </w:r>
      <w:r w:rsidR="0048313C">
        <w:rPr>
          <w:color w:val="000000"/>
          <w:szCs w:val="22"/>
          <w:lang w:val="fi-FI"/>
        </w:rPr>
        <w:t>n vaikutukset</w:t>
      </w:r>
      <w:r w:rsidR="00B971D6">
        <w:rPr>
          <w:color w:val="000000"/>
          <w:szCs w:val="22"/>
          <w:lang w:val="fi-FI"/>
        </w:rPr>
        <w:t xml:space="preserve"> </w:t>
      </w:r>
      <w:r w:rsidR="00E82DA8">
        <w:rPr>
          <w:color w:val="000000"/>
          <w:szCs w:val="22"/>
          <w:lang w:val="fi-FI"/>
        </w:rPr>
        <w:t>imeväise</w:t>
      </w:r>
      <w:r w:rsidR="00B971D6">
        <w:rPr>
          <w:color w:val="000000"/>
          <w:szCs w:val="22"/>
          <w:lang w:val="fi-FI"/>
        </w:rPr>
        <w:t>lle</w:t>
      </w:r>
      <w:r w:rsidR="00E82DA8">
        <w:rPr>
          <w:color w:val="000000"/>
          <w:szCs w:val="22"/>
          <w:lang w:val="fi-FI"/>
        </w:rPr>
        <w:t xml:space="preserve"> ovat </w:t>
      </w:r>
      <w:r w:rsidR="007D1B56">
        <w:rPr>
          <w:color w:val="000000"/>
          <w:szCs w:val="22"/>
          <w:lang w:val="fi-FI"/>
        </w:rPr>
        <w:t xml:space="preserve">kuitenkin </w:t>
      </w:r>
      <w:r w:rsidR="00E82DA8">
        <w:rPr>
          <w:color w:val="000000"/>
          <w:szCs w:val="22"/>
          <w:lang w:val="fi-FI"/>
        </w:rPr>
        <w:t>tuntemattomia, naisten ei tule imettää</w:t>
      </w:r>
      <w:r w:rsidR="0048313C">
        <w:rPr>
          <w:color w:val="000000"/>
          <w:szCs w:val="22"/>
          <w:lang w:val="fi-FI"/>
        </w:rPr>
        <w:t xml:space="preserve"> hoidon aikana</w:t>
      </w:r>
      <w:r w:rsidR="00B074B6">
        <w:rPr>
          <w:color w:val="000000"/>
          <w:szCs w:val="22"/>
          <w:lang w:val="fi-FI"/>
        </w:rPr>
        <w:t>,</w:t>
      </w:r>
      <w:r w:rsidR="0048313C">
        <w:rPr>
          <w:color w:val="000000"/>
          <w:szCs w:val="22"/>
          <w:lang w:val="fi-FI"/>
        </w:rPr>
        <w:t xml:space="preserve"> eikä vähintään 15 päivään Glivec-hoidon lopettamisen jälkeen</w:t>
      </w:r>
      <w:r w:rsidR="00E82DA8">
        <w:rPr>
          <w:color w:val="000000"/>
          <w:szCs w:val="22"/>
          <w:lang w:val="fi-FI"/>
        </w:rPr>
        <w:t>.</w:t>
      </w:r>
    </w:p>
    <w:p w14:paraId="586FC021" w14:textId="77777777" w:rsidR="009E5C9F" w:rsidRDefault="009E5C9F">
      <w:pPr>
        <w:pStyle w:val="EndnoteText"/>
        <w:widowControl w:val="0"/>
        <w:tabs>
          <w:tab w:val="clear" w:pos="567"/>
        </w:tabs>
        <w:rPr>
          <w:color w:val="000000"/>
          <w:szCs w:val="22"/>
          <w:lang w:val="fi-FI"/>
        </w:rPr>
      </w:pPr>
    </w:p>
    <w:p w14:paraId="586FC022" w14:textId="77777777" w:rsidR="009E5C9F" w:rsidRDefault="009E5C9F" w:rsidP="00345374">
      <w:pPr>
        <w:pStyle w:val="EndnoteText"/>
        <w:keepNext/>
        <w:widowControl w:val="0"/>
        <w:tabs>
          <w:tab w:val="clear" w:pos="567"/>
        </w:tabs>
        <w:rPr>
          <w:color w:val="000000"/>
          <w:szCs w:val="22"/>
          <w:u w:val="single"/>
          <w:lang w:val="fi-FI"/>
        </w:rPr>
      </w:pPr>
      <w:r>
        <w:rPr>
          <w:color w:val="000000"/>
          <w:szCs w:val="22"/>
          <w:u w:val="single"/>
          <w:lang w:val="fi-FI"/>
        </w:rPr>
        <w:t>Hedelmällisyys</w:t>
      </w:r>
    </w:p>
    <w:p w14:paraId="586FC023" w14:textId="77777777" w:rsidR="009E5C9F" w:rsidRPr="00C9152F" w:rsidRDefault="00520C2B">
      <w:pPr>
        <w:pStyle w:val="EndnoteText"/>
        <w:widowControl w:val="0"/>
        <w:tabs>
          <w:tab w:val="clear" w:pos="567"/>
        </w:tabs>
        <w:rPr>
          <w:szCs w:val="22"/>
          <w:lang w:val="fi-FI"/>
        </w:rPr>
      </w:pPr>
      <w:r w:rsidRPr="00C9152F">
        <w:rPr>
          <w:szCs w:val="22"/>
          <w:lang w:val="fi-FI"/>
        </w:rPr>
        <w:t xml:space="preserve">Prekliinisissä tutkimuksissa lääke ei vaikuttanut uros- </w:t>
      </w:r>
      <w:r w:rsidR="008D728B" w:rsidRPr="00C9152F">
        <w:rPr>
          <w:szCs w:val="22"/>
          <w:lang w:val="fi-FI"/>
        </w:rPr>
        <w:t>eikä</w:t>
      </w:r>
      <w:r w:rsidRPr="00C9152F">
        <w:rPr>
          <w:szCs w:val="22"/>
          <w:lang w:val="fi-FI"/>
        </w:rPr>
        <w:t xml:space="preserve"> naarasrottien hedelmällisyyteen</w:t>
      </w:r>
      <w:r w:rsidR="007D1B56">
        <w:rPr>
          <w:szCs w:val="22"/>
          <w:lang w:val="fi-FI"/>
        </w:rPr>
        <w:t>, vaikka vaikutuksia reproduktiivisiin parametreihin havaittiin</w:t>
      </w:r>
      <w:r w:rsidRPr="00C9152F">
        <w:rPr>
          <w:szCs w:val="22"/>
          <w:lang w:val="fi-FI"/>
        </w:rPr>
        <w:t xml:space="preserve"> (ks. kohta 5.3). </w:t>
      </w:r>
      <w:r w:rsidR="005B700E" w:rsidRPr="00C9152F">
        <w:rPr>
          <w:szCs w:val="22"/>
          <w:lang w:val="fi-FI"/>
        </w:rPr>
        <w:t>Glivec-lääkitystä saavilla potilailla ei ole suoritettu tutkimuksia, ja tutkimuksia lääkkeen mahdollisista vaikutuksista hedelmällisyyteen ja gametogeneesiin ei ole tehty. Jos potilas on huolissaan Glivec-hoidon vaikutuksesta hedelmällisyyteensä, hänen tulee keskustella asiasta lääkärin kanssa.</w:t>
      </w:r>
    </w:p>
    <w:p w14:paraId="586FC024" w14:textId="77777777" w:rsidR="00AE3698" w:rsidRPr="00912A5D" w:rsidRDefault="00AE3698">
      <w:pPr>
        <w:pStyle w:val="EndnoteText"/>
        <w:widowControl w:val="0"/>
        <w:tabs>
          <w:tab w:val="clear" w:pos="567"/>
        </w:tabs>
        <w:rPr>
          <w:color w:val="000000"/>
          <w:szCs w:val="22"/>
          <w:lang w:val="fi-FI"/>
        </w:rPr>
      </w:pPr>
    </w:p>
    <w:p w14:paraId="586FC025"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4.7</w:t>
      </w:r>
      <w:r w:rsidRPr="00912A5D">
        <w:rPr>
          <w:rFonts w:ascii="Times New Roman" w:hAnsi="Times New Roman"/>
          <w:b/>
          <w:sz w:val="22"/>
          <w:szCs w:val="22"/>
        </w:rPr>
        <w:tab/>
        <w:t>Vaikutus ajokykyyn ja koneiden käyttökykyyn</w:t>
      </w:r>
    </w:p>
    <w:p w14:paraId="586FC026" w14:textId="77777777" w:rsidR="00AE3698" w:rsidRPr="00912A5D" w:rsidRDefault="00AE3698" w:rsidP="00345374">
      <w:pPr>
        <w:pStyle w:val="EndnoteText"/>
        <w:keepNext/>
        <w:widowControl w:val="0"/>
        <w:tabs>
          <w:tab w:val="clear" w:pos="567"/>
        </w:tabs>
        <w:rPr>
          <w:color w:val="000000"/>
          <w:szCs w:val="22"/>
          <w:lang w:val="fi-FI"/>
        </w:rPr>
      </w:pPr>
    </w:p>
    <w:p w14:paraId="586FC027"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Potilaille pitää kertoa, että he saattavat kokea haittavaikutuksia kuten huimausta</w:t>
      </w:r>
      <w:r w:rsidR="008D728B">
        <w:rPr>
          <w:color w:val="000000"/>
          <w:szCs w:val="22"/>
          <w:lang w:val="fi-FI"/>
        </w:rPr>
        <w:t>,</w:t>
      </w:r>
      <w:r w:rsidRPr="00912A5D">
        <w:rPr>
          <w:color w:val="000000"/>
          <w:szCs w:val="22"/>
          <w:lang w:val="fi-FI"/>
        </w:rPr>
        <w:t xml:space="preserve"> näön hämärtymistä </w:t>
      </w:r>
      <w:r w:rsidR="008D728B">
        <w:rPr>
          <w:color w:val="000000"/>
          <w:szCs w:val="22"/>
          <w:lang w:val="fi-FI"/>
        </w:rPr>
        <w:t xml:space="preserve">tai uneliaisuutta </w:t>
      </w:r>
      <w:r w:rsidRPr="00912A5D">
        <w:rPr>
          <w:color w:val="000000"/>
          <w:szCs w:val="22"/>
          <w:lang w:val="fi-FI"/>
        </w:rPr>
        <w:t>imatinibi-hoidon aikana. Sen vuoksi autolla ajettaessa ja koneita käytettäessä on noudatettava varovaisuutta.</w:t>
      </w:r>
    </w:p>
    <w:p w14:paraId="586FC028" w14:textId="77777777" w:rsidR="00AE3698" w:rsidRPr="00912A5D" w:rsidRDefault="00AE3698">
      <w:pPr>
        <w:pStyle w:val="EndnoteText"/>
        <w:widowControl w:val="0"/>
        <w:tabs>
          <w:tab w:val="clear" w:pos="567"/>
        </w:tabs>
        <w:rPr>
          <w:color w:val="000000"/>
          <w:szCs w:val="22"/>
          <w:lang w:val="fi-FI"/>
        </w:rPr>
      </w:pPr>
    </w:p>
    <w:p w14:paraId="586FC029" w14:textId="77777777" w:rsidR="00AE3698" w:rsidRPr="00912A5D" w:rsidRDefault="00AE3698" w:rsidP="00345374">
      <w:pPr>
        <w:keepNext/>
        <w:widowControl w:val="0"/>
        <w:suppressAutoHyphens/>
        <w:ind w:left="567" w:hanging="567"/>
        <w:rPr>
          <w:rFonts w:ascii="Times New Roman" w:hAnsi="Times New Roman"/>
          <w:b/>
          <w:sz w:val="22"/>
          <w:szCs w:val="22"/>
        </w:rPr>
      </w:pPr>
      <w:r w:rsidRPr="00912A5D">
        <w:rPr>
          <w:rFonts w:ascii="Times New Roman" w:hAnsi="Times New Roman"/>
          <w:b/>
          <w:sz w:val="22"/>
          <w:szCs w:val="22"/>
        </w:rPr>
        <w:lastRenderedPageBreak/>
        <w:t>4.8</w:t>
      </w:r>
      <w:r w:rsidRPr="00912A5D">
        <w:rPr>
          <w:rFonts w:ascii="Times New Roman" w:hAnsi="Times New Roman"/>
          <w:b/>
          <w:sz w:val="22"/>
          <w:szCs w:val="22"/>
        </w:rPr>
        <w:tab/>
        <w:t>Haittavaikutukset</w:t>
      </w:r>
    </w:p>
    <w:p w14:paraId="586FC02A" w14:textId="77777777" w:rsidR="00AE3698" w:rsidRPr="00912A5D" w:rsidRDefault="00AE3698" w:rsidP="00345374">
      <w:pPr>
        <w:keepNext/>
        <w:widowControl w:val="0"/>
        <w:rPr>
          <w:rFonts w:ascii="Times New Roman" w:hAnsi="Times New Roman"/>
          <w:sz w:val="22"/>
          <w:szCs w:val="22"/>
        </w:rPr>
      </w:pPr>
    </w:p>
    <w:p w14:paraId="586FC02B"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Potilailla, joilla on pitkälle edennyt syöpäsairaus, voi olla useita muita sairauksia, jotka vaikeuttavat haittavaikutusten syysuhteiden arviointia erilaisten oireiden vuoksi, jotka liittyvät perussairauteen, perussairauden etenemiseen ja monien lääkkeiden yhteiskäyttöön.</w:t>
      </w:r>
    </w:p>
    <w:p w14:paraId="586FC02C" w14:textId="77777777" w:rsidR="00AE3698" w:rsidRPr="00912A5D" w:rsidRDefault="00AE3698">
      <w:pPr>
        <w:pStyle w:val="Text"/>
        <w:widowControl w:val="0"/>
        <w:spacing w:before="0"/>
        <w:jc w:val="left"/>
        <w:rPr>
          <w:color w:val="000000"/>
          <w:sz w:val="22"/>
          <w:szCs w:val="22"/>
          <w:lang w:val="fi-FI"/>
        </w:rPr>
      </w:pPr>
    </w:p>
    <w:p w14:paraId="586FC02D"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 xml:space="preserve">Kliinisissä </w:t>
      </w:r>
      <w:smartTag w:uri="urn:schemas-microsoft-com:office:smarttags" w:element="State">
        <w:r w:rsidRPr="00912A5D">
          <w:rPr>
            <w:color w:val="000000"/>
            <w:sz w:val="22"/>
            <w:szCs w:val="22"/>
            <w:lang w:val="fi-FI"/>
          </w:rPr>
          <w:t>KML</w:t>
        </w:r>
      </w:smartTag>
      <w:r w:rsidRPr="00912A5D">
        <w:rPr>
          <w:color w:val="000000"/>
          <w:sz w:val="22"/>
          <w:szCs w:val="22"/>
          <w:lang w:val="fi-FI"/>
        </w:rPr>
        <w:t>-tutkimuksissa lääkkeen käytön lopettaminen lääkkeisiin liittyvien haittavaikutusten vuoksi havaittiin 2,4 %:lla juuri diagnosoiduista potilaista, 4 %:lla taudin myöhäisen kroonisen vaiheen potilaista interferonihoidon epäonnistuttua, 4 %:lla akseleraatiovaiheen potilaista interferonihoidon epäonnistuttua ja 5 %:lla blastikriisipotilaista interferonihoidon epäonnistuttua. GIST-tutkimuksessa lääkkeen käyttö lopetettiin lääkkeeseen liittyvien haittavaikutusten vuoksi 4 %:lla potilaista.</w:t>
      </w:r>
    </w:p>
    <w:p w14:paraId="586FC02E" w14:textId="77777777" w:rsidR="00AE3698" w:rsidRPr="00912A5D" w:rsidRDefault="00AE3698">
      <w:pPr>
        <w:pStyle w:val="Text"/>
        <w:widowControl w:val="0"/>
        <w:spacing w:before="0"/>
        <w:jc w:val="left"/>
        <w:rPr>
          <w:color w:val="000000"/>
          <w:sz w:val="22"/>
          <w:szCs w:val="22"/>
          <w:lang w:val="fi-FI"/>
        </w:rPr>
      </w:pPr>
    </w:p>
    <w:p w14:paraId="586FC02F"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Kahta poikkeusta lukuun</w:t>
      </w:r>
      <w:r w:rsidR="00BA398F">
        <w:rPr>
          <w:color w:val="000000"/>
          <w:sz w:val="22"/>
          <w:szCs w:val="22"/>
          <w:lang w:val="fi-FI"/>
        </w:rPr>
        <w:t xml:space="preserve"> </w:t>
      </w:r>
      <w:r w:rsidRPr="00912A5D">
        <w:rPr>
          <w:color w:val="000000"/>
          <w:sz w:val="22"/>
          <w:szCs w:val="22"/>
          <w:lang w:val="fi-FI"/>
        </w:rPr>
        <w:t xml:space="preserve">ottamatta haittavaikutukset olivat samanlaisia kaikissa käyttöaiheissa. </w:t>
      </w:r>
      <w:smartTag w:uri="urn:schemas-microsoft-com:office:smarttags" w:element="State">
        <w:r w:rsidRPr="00912A5D">
          <w:rPr>
            <w:color w:val="000000"/>
            <w:sz w:val="22"/>
            <w:szCs w:val="22"/>
            <w:lang w:val="fi-FI"/>
          </w:rPr>
          <w:t>KML</w:t>
        </w:r>
      </w:smartTag>
      <w:r w:rsidRPr="00912A5D">
        <w:rPr>
          <w:color w:val="000000"/>
          <w:sz w:val="22"/>
          <w:szCs w:val="22"/>
          <w:lang w:val="fi-FI"/>
        </w:rPr>
        <w:t xml:space="preserve">-potilailla havaittiin enemmän myelosuppressiota kuin GIST-potilailla, mikä johtuu todennäköisesti </w:t>
      </w:r>
      <w:r w:rsidR="00A627D5" w:rsidRPr="00912A5D">
        <w:rPr>
          <w:color w:val="000000"/>
          <w:sz w:val="22"/>
          <w:szCs w:val="22"/>
          <w:lang w:val="fi-FI"/>
        </w:rPr>
        <w:t>perustaudista. GIST-tutkimuksessa</w:t>
      </w:r>
      <w:r w:rsidR="00A627D5" w:rsidRPr="00821CC4">
        <w:rPr>
          <w:sz w:val="22"/>
          <w:szCs w:val="22"/>
          <w:lang w:val="fi-FI"/>
        </w:rPr>
        <w:t xml:space="preserve">, kun </w:t>
      </w:r>
      <w:r w:rsidR="00A627D5">
        <w:rPr>
          <w:sz w:val="22"/>
          <w:szCs w:val="22"/>
          <w:lang w:val="fi-FI"/>
        </w:rPr>
        <w:t xml:space="preserve">potilaiden </w:t>
      </w:r>
      <w:r w:rsidR="00A627D5" w:rsidRPr="00821CC4">
        <w:rPr>
          <w:sz w:val="22"/>
          <w:szCs w:val="22"/>
          <w:lang w:val="fi-FI"/>
        </w:rPr>
        <w:t>kasvainta ei voida leikata ja/tai kun kasvain on metastasoitunut</w:t>
      </w:r>
      <w:r w:rsidR="00A627D5" w:rsidRPr="00912A5D">
        <w:rPr>
          <w:color w:val="000000"/>
          <w:sz w:val="22"/>
          <w:szCs w:val="22"/>
          <w:lang w:val="fi-FI"/>
        </w:rPr>
        <w:t xml:space="preserve"> 7 potilaalla (5 %)</w:t>
      </w:r>
      <w:r w:rsidRPr="00912A5D">
        <w:rPr>
          <w:color w:val="000000"/>
          <w:sz w:val="22"/>
          <w:szCs w:val="22"/>
          <w:lang w:val="fi-FI"/>
        </w:rPr>
        <w:t xml:space="preserve"> oli 3/4 asteen (</w:t>
      </w:r>
      <w:smartTag w:uri="urn:schemas-microsoft-com:office:smarttags" w:element="State">
        <w:r w:rsidRPr="00912A5D">
          <w:rPr>
            <w:color w:val="000000"/>
            <w:sz w:val="22"/>
            <w:szCs w:val="22"/>
            <w:lang w:val="fi-FI"/>
          </w:rPr>
          <w:t>CTC</w:t>
        </w:r>
      </w:smartTag>
      <w:r w:rsidRPr="00912A5D">
        <w:rPr>
          <w:color w:val="000000"/>
          <w:sz w:val="22"/>
          <w:szCs w:val="22"/>
          <w:lang w:val="fi-FI"/>
        </w:rPr>
        <w:t>, Common Toxicity Criteria) verenvuoto: ruuansulatuskanavan verenvuoto (3 potilasta); verenvuotoja kasvaimien alueella (3 potilasta) tai molemmat (1 potilas). Ruuansulatuskanavan verenvuodot saattavat olla lähtöisin ruuansulatuskanavan alueella sijaitsevista kasvaimista (ks. kohta 4.4). Ruuansulatuskanavan ja kasvaimen verenvuodot voivat olla vakavia ja joskus kuolemaan johtavia. Yleisimpiä (≥ 10 %) lääkkeisiin liittyviä haittavaikutuksia molemmissa potilasryhmissä olivat lievä pahoinvointi, oksentelu, ripuli, vatsakipu, väsymys, lihassärky, lihaskouristukset ja ihottuma. Pinnallinen turvotus oli yleinen löydös kaikissa tutkimuksissa, ja sitä kuvattiin lähinnä periorbitaaliseksi turvotukseksi ja alaraajaturvotukseksi. Turvotus oli kuitenkin vain harvoin vaikeaa, ja se voidaan hoitaa diureeteilla, muilla tukitoimilla tai Glivec-annosta pienentämällä.</w:t>
      </w:r>
    </w:p>
    <w:p w14:paraId="586FC030" w14:textId="77777777" w:rsidR="00AE3698" w:rsidRPr="00912A5D" w:rsidRDefault="00AE3698">
      <w:pPr>
        <w:pStyle w:val="Text"/>
        <w:widowControl w:val="0"/>
        <w:spacing w:before="0"/>
        <w:jc w:val="left"/>
        <w:rPr>
          <w:color w:val="000000"/>
          <w:sz w:val="22"/>
          <w:szCs w:val="22"/>
          <w:lang w:val="fi-FI"/>
        </w:rPr>
      </w:pPr>
    </w:p>
    <w:p w14:paraId="586FC031"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 xml:space="preserve">Kun imatinibi yhdistettiin suuriannoksiseen kemoterapiaan Ph+ </w:t>
      </w:r>
      <w:smartTag w:uri="urn:schemas-microsoft-com:office:smarttags" w:element="State">
        <w:r w:rsidRPr="00912A5D">
          <w:rPr>
            <w:color w:val="000000"/>
            <w:sz w:val="22"/>
            <w:szCs w:val="22"/>
            <w:lang w:val="fi-FI"/>
          </w:rPr>
          <w:t>ALL</w:t>
        </w:r>
      </w:smartTag>
      <w:r w:rsidRPr="00912A5D">
        <w:rPr>
          <w:color w:val="000000"/>
          <w:sz w:val="22"/>
          <w:szCs w:val="22"/>
          <w:lang w:val="fi-FI"/>
        </w:rPr>
        <w:t>-potilailla, todettiin ohimenevää maksatoksisuutta, joka ilmeni transaminaasiarvojen nousuna ja hyperbilirubinemiana.</w:t>
      </w:r>
      <w:r w:rsidR="00DC6660">
        <w:rPr>
          <w:color w:val="000000"/>
          <w:sz w:val="22"/>
          <w:szCs w:val="22"/>
          <w:lang w:val="fi-FI"/>
        </w:rPr>
        <w:t xml:space="preserve"> </w:t>
      </w:r>
      <w:r w:rsidR="00DC6660" w:rsidRPr="00396314">
        <w:rPr>
          <w:color w:val="000000"/>
          <w:sz w:val="22"/>
          <w:szCs w:val="22"/>
          <w:lang w:val="fi-FI" w:eastAsia="fi-FI"/>
        </w:rPr>
        <w:t>Ottaen huomioon turvallisuustietokannan rajallisuuden, lapsilla tähän mennessä ilmoitetut hait</w:t>
      </w:r>
      <w:r w:rsidR="00DC6660" w:rsidRPr="001678D7">
        <w:rPr>
          <w:color w:val="000000"/>
          <w:sz w:val="22"/>
          <w:szCs w:val="22"/>
          <w:lang w:val="fi-FI"/>
        </w:rPr>
        <w:t xml:space="preserve">tatapahtumat vastaavat Ph+ ALL </w:t>
      </w:r>
      <w:r w:rsidR="00DC6660" w:rsidRPr="001678D7">
        <w:rPr>
          <w:color w:val="000000"/>
          <w:sz w:val="22"/>
          <w:szCs w:val="22"/>
          <w:lang w:val="fi-FI"/>
        </w:rPr>
        <w:noBreakHyphen/>
      </w:r>
      <w:r w:rsidR="00DC6660" w:rsidRPr="00396314">
        <w:rPr>
          <w:color w:val="000000"/>
          <w:sz w:val="22"/>
          <w:szCs w:val="22"/>
          <w:lang w:val="fi-FI" w:eastAsia="fi-FI"/>
        </w:rPr>
        <w:t xml:space="preserve">aikuispotilaiden tunnettua turvallisuusprofiilia. </w:t>
      </w:r>
      <w:r w:rsidR="003F6321">
        <w:rPr>
          <w:color w:val="000000"/>
          <w:sz w:val="22"/>
          <w:szCs w:val="22"/>
          <w:lang w:val="fi-FI" w:eastAsia="fi-FI"/>
        </w:rPr>
        <w:t>Ph+ ALL -lapsi</w:t>
      </w:r>
      <w:r w:rsidR="005B2737">
        <w:rPr>
          <w:color w:val="000000"/>
          <w:sz w:val="22"/>
          <w:szCs w:val="22"/>
          <w:lang w:val="fi-FI" w:eastAsia="fi-FI"/>
        </w:rPr>
        <w:t>potilait</w:t>
      </w:r>
      <w:r w:rsidR="003F6321">
        <w:rPr>
          <w:color w:val="000000"/>
          <w:sz w:val="22"/>
          <w:szCs w:val="22"/>
          <w:lang w:val="fi-FI" w:eastAsia="fi-FI"/>
        </w:rPr>
        <w:t>a koskeva t</w:t>
      </w:r>
      <w:r w:rsidR="00913E55">
        <w:rPr>
          <w:color w:val="000000"/>
          <w:sz w:val="22"/>
          <w:szCs w:val="22"/>
          <w:lang w:val="fi-FI" w:eastAsia="fi-FI"/>
        </w:rPr>
        <w:t>urvallisuustietokanta on hyvin rajallinen, mutta uusia turvallisuusriskejä ei ole tunnistettu.</w:t>
      </w:r>
    </w:p>
    <w:p w14:paraId="586FC032" w14:textId="77777777" w:rsidR="00AE3698" w:rsidRPr="00912A5D" w:rsidRDefault="00AE3698">
      <w:pPr>
        <w:pStyle w:val="Text"/>
        <w:widowControl w:val="0"/>
        <w:spacing w:before="0"/>
        <w:jc w:val="left"/>
        <w:rPr>
          <w:color w:val="000000"/>
          <w:sz w:val="22"/>
          <w:szCs w:val="22"/>
          <w:lang w:val="fi-FI"/>
        </w:rPr>
      </w:pPr>
    </w:p>
    <w:p w14:paraId="586FC033"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Sekalaisia haittavaikutuksia kuten pleuraeffuusio, askites, keuhkoödeema ja nopea painonnousu, johon voi liittyä pinnallista turvotusta, voidaan kuvata kollektiivisesti ”nestekertymiksi”. Nämä voidaan yleensä hoitaa keskeyttämällä Glivec-hoito väliaikaisesti ja diureeteilla ja muilla asianmukaisilla tukitoimilla. Jotkut näistä haittavaikutuksista saattavat kuitenkin olla vakavia tai hengenvaarallisia, ja useita blastikriisipotilaita, joilla oli todettu pleuraeffuusio, kongestiivinen sydämen vajaatoiminta ja munuaisten vajaatoiminta, on kuollut. Kliinisissä tutkimuksissa ei lapsipotilailla havaittu erityisiä turvallisuuteen liittyviä löydöksiä.</w:t>
      </w:r>
    </w:p>
    <w:p w14:paraId="586FC034" w14:textId="77777777" w:rsidR="00AE3698" w:rsidRPr="00912A5D" w:rsidRDefault="00AE3698">
      <w:pPr>
        <w:pStyle w:val="Text"/>
        <w:widowControl w:val="0"/>
        <w:spacing w:before="0"/>
        <w:jc w:val="left"/>
        <w:rPr>
          <w:color w:val="000000"/>
          <w:sz w:val="22"/>
          <w:szCs w:val="22"/>
          <w:lang w:val="fi-FI"/>
        </w:rPr>
      </w:pPr>
    </w:p>
    <w:p w14:paraId="586FC035" w14:textId="77777777" w:rsidR="00AE3698" w:rsidRPr="00912A5D" w:rsidRDefault="00AE3698" w:rsidP="00345374">
      <w:pPr>
        <w:pStyle w:val="Text"/>
        <w:keepNext/>
        <w:widowControl w:val="0"/>
        <w:spacing w:before="0"/>
        <w:jc w:val="left"/>
        <w:rPr>
          <w:b/>
          <w:color w:val="000000"/>
          <w:sz w:val="22"/>
          <w:szCs w:val="22"/>
          <w:lang w:val="fi-FI"/>
        </w:rPr>
      </w:pPr>
      <w:r w:rsidRPr="00912A5D">
        <w:rPr>
          <w:b/>
          <w:color w:val="000000"/>
          <w:sz w:val="22"/>
          <w:szCs w:val="22"/>
          <w:lang w:val="fi-FI"/>
        </w:rPr>
        <w:t>Haittavaikutukset</w:t>
      </w:r>
    </w:p>
    <w:p w14:paraId="586FC036" w14:textId="77777777" w:rsidR="00AE3698" w:rsidRPr="00912A5D" w:rsidRDefault="00AE3698">
      <w:pPr>
        <w:pStyle w:val="Text"/>
        <w:widowControl w:val="0"/>
        <w:spacing w:before="0"/>
        <w:jc w:val="left"/>
        <w:rPr>
          <w:color w:val="000000"/>
          <w:sz w:val="22"/>
          <w:szCs w:val="22"/>
          <w:lang w:val="fi-FI"/>
        </w:rPr>
      </w:pPr>
      <w:r w:rsidRPr="00912A5D">
        <w:rPr>
          <w:color w:val="000000"/>
          <w:sz w:val="22"/>
          <w:szCs w:val="22"/>
          <w:lang w:val="fi-FI"/>
        </w:rPr>
        <w:t xml:space="preserve">Haittavaikutukset, joita on raportoitu useampia kuin yksittäinen tapaus, on lueteltu alla elinryhmittäin ja esiintymistiheyden mukaan luokiteltuina. Esiintymistiheydet on määritelty seuraavasti: </w:t>
      </w:r>
      <w:r w:rsidR="00B611CC">
        <w:rPr>
          <w:color w:val="000000"/>
          <w:sz w:val="22"/>
          <w:szCs w:val="22"/>
          <w:lang w:val="fi-FI"/>
        </w:rPr>
        <w:t>hyvin</w:t>
      </w:r>
      <w:r w:rsidR="00B611CC" w:rsidRPr="00912A5D">
        <w:rPr>
          <w:color w:val="000000"/>
          <w:sz w:val="22"/>
          <w:szCs w:val="22"/>
          <w:lang w:val="fi-FI"/>
        </w:rPr>
        <w:t xml:space="preserve"> </w:t>
      </w:r>
      <w:r w:rsidRPr="00912A5D">
        <w:rPr>
          <w:color w:val="000000"/>
          <w:sz w:val="22"/>
          <w:szCs w:val="22"/>
          <w:lang w:val="fi-FI"/>
        </w:rPr>
        <w:t>yleinen (</w:t>
      </w:r>
      <w:r w:rsidR="00F75802">
        <w:rPr>
          <w:color w:val="000000"/>
          <w:sz w:val="22"/>
          <w:szCs w:val="22"/>
          <w:lang w:val="fi-FI"/>
        </w:rPr>
        <w:t>≥</w:t>
      </w:r>
      <w:r w:rsidRPr="00912A5D">
        <w:rPr>
          <w:color w:val="000000"/>
          <w:sz w:val="22"/>
          <w:szCs w:val="22"/>
          <w:lang w:val="fi-FI"/>
        </w:rPr>
        <w:t>1/10), yleinen (</w:t>
      </w:r>
      <w:r w:rsidR="00F75802">
        <w:rPr>
          <w:color w:val="000000"/>
          <w:sz w:val="22"/>
          <w:szCs w:val="22"/>
          <w:lang w:val="fi-FI"/>
        </w:rPr>
        <w:t>≥</w:t>
      </w:r>
      <w:r w:rsidRPr="00912A5D">
        <w:rPr>
          <w:color w:val="000000"/>
          <w:sz w:val="22"/>
          <w:szCs w:val="22"/>
          <w:lang w:val="fi-FI"/>
        </w:rPr>
        <w:t>1/100, </w:t>
      </w:r>
      <w:r w:rsidR="00F75802">
        <w:rPr>
          <w:color w:val="000000"/>
          <w:sz w:val="22"/>
          <w:szCs w:val="22"/>
          <w:lang w:val="fi-FI"/>
        </w:rPr>
        <w:t>&lt;</w:t>
      </w:r>
      <w:r w:rsidRPr="00912A5D">
        <w:rPr>
          <w:color w:val="000000"/>
          <w:sz w:val="22"/>
          <w:szCs w:val="22"/>
          <w:lang w:val="fi-FI"/>
        </w:rPr>
        <w:t>1/10), melko harvinainen (</w:t>
      </w:r>
      <w:r w:rsidR="00F75802">
        <w:rPr>
          <w:color w:val="000000"/>
          <w:sz w:val="22"/>
          <w:szCs w:val="22"/>
          <w:lang w:val="fi-FI"/>
        </w:rPr>
        <w:t>≥</w:t>
      </w:r>
      <w:r w:rsidRPr="00912A5D">
        <w:rPr>
          <w:color w:val="000000"/>
          <w:sz w:val="22"/>
          <w:szCs w:val="22"/>
          <w:lang w:val="fi-FI"/>
        </w:rPr>
        <w:t>1/1 000, </w:t>
      </w:r>
      <w:r w:rsidR="00F75802">
        <w:rPr>
          <w:color w:val="000000"/>
          <w:sz w:val="22"/>
          <w:szCs w:val="22"/>
          <w:lang w:val="fi-FI"/>
        </w:rPr>
        <w:t>&lt;</w:t>
      </w:r>
      <w:r w:rsidRPr="00912A5D">
        <w:rPr>
          <w:color w:val="000000"/>
          <w:sz w:val="22"/>
          <w:szCs w:val="22"/>
          <w:lang w:val="fi-FI"/>
        </w:rPr>
        <w:t>1/100), harvinainen (</w:t>
      </w:r>
      <w:r w:rsidR="00F75802">
        <w:rPr>
          <w:color w:val="000000"/>
          <w:sz w:val="22"/>
          <w:szCs w:val="22"/>
          <w:lang w:val="fi-FI"/>
        </w:rPr>
        <w:t>≥1/</w:t>
      </w:r>
      <w:r w:rsidR="00F75802" w:rsidRPr="00912A5D">
        <w:rPr>
          <w:color w:val="000000"/>
          <w:sz w:val="22"/>
          <w:szCs w:val="22"/>
          <w:lang w:val="fi-FI"/>
        </w:rPr>
        <w:t>1</w:t>
      </w:r>
      <w:r w:rsidR="00F75802">
        <w:rPr>
          <w:color w:val="000000"/>
          <w:sz w:val="22"/>
          <w:szCs w:val="22"/>
          <w:lang w:val="fi-FI"/>
        </w:rPr>
        <w:t>0</w:t>
      </w:r>
      <w:r w:rsidR="00F75802" w:rsidRPr="00912A5D">
        <w:rPr>
          <w:color w:val="000000"/>
          <w:sz w:val="22"/>
          <w:szCs w:val="22"/>
          <w:lang w:val="fi-FI"/>
        </w:rPr>
        <w:t> 000</w:t>
      </w:r>
      <w:r w:rsidR="00F75802">
        <w:rPr>
          <w:color w:val="000000"/>
          <w:sz w:val="22"/>
          <w:szCs w:val="22"/>
          <w:lang w:val="fi-FI"/>
        </w:rPr>
        <w:t>, &lt;</w:t>
      </w:r>
      <w:r w:rsidRPr="00912A5D">
        <w:rPr>
          <w:color w:val="000000"/>
          <w:sz w:val="22"/>
          <w:szCs w:val="22"/>
          <w:lang w:val="fi-FI"/>
        </w:rPr>
        <w:t xml:space="preserve">1/1 000), </w:t>
      </w:r>
      <w:r w:rsidR="00F75802">
        <w:rPr>
          <w:color w:val="000000"/>
          <w:sz w:val="22"/>
          <w:szCs w:val="22"/>
          <w:lang w:val="fi-FI"/>
        </w:rPr>
        <w:t>hyvin harvinainen (&lt;1/</w:t>
      </w:r>
      <w:r w:rsidR="00F75802" w:rsidRPr="00912A5D">
        <w:rPr>
          <w:color w:val="000000"/>
          <w:sz w:val="22"/>
          <w:szCs w:val="22"/>
          <w:lang w:val="fi-FI"/>
        </w:rPr>
        <w:t>1</w:t>
      </w:r>
      <w:r w:rsidR="00F75802">
        <w:rPr>
          <w:color w:val="000000"/>
          <w:sz w:val="22"/>
          <w:szCs w:val="22"/>
          <w:lang w:val="fi-FI"/>
        </w:rPr>
        <w:t>0</w:t>
      </w:r>
      <w:r w:rsidR="00F75802" w:rsidRPr="00912A5D">
        <w:rPr>
          <w:color w:val="000000"/>
          <w:sz w:val="22"/>
          <w:szCs w:val="22"/>
          <w:lang w:val="fi-FI"/>
        </w:rPr>
        <w:t> 000</w:t>
      </w:r>
      <w:r w:rsidR="00F75802">
        <w:rPr>
          <w:color w:val="000000"/>
          <w:sz w:val="22"/>
          <w:szCs w:val="22"/>
          <w:lang w:val="fi-FI"/>
        </w:rPr>
        <w:t xml:space="preserve">), </w:t>
      </w:r>
      <w:r w:rsidRPr="00912A5D">
        <w:rPr>
          <w:noProof/>
          <w:color w:val="000000"/>
          <w:sz w:val="22"/>
          <w:szCs w:val="22"/>
          <w:lang w:val="fi-FI"/>
        </w:rPr>
        <w:t>tuntematon (koska saatavissa oleva tieto ei riitä arviointiin)</w:t>
      </w:r>
      <w:r w:rsidRPr="00912A5D">
        <w:rPr>
          <w:color w:val="000000"/>
          <w:sz w:val="22"/>
          <w:szCs w:val="22"/>
          <w:lang w:val="fi-FI"/>
        </w:rPr>
        <w:t>.</w:t>
      </w:r>
    </w:p>
    <w:p w14:paraId="586FC037" w14:textId="77777777" w:rsidR="00AE3698" w:rsidRPr="00912A5D" w:rsidRDefault="00AE3698">
      <w:pPr>
        <w:pStyle w:val="Text"/>
        <w:widowControl w:val="0"/>
        <w:spacing w:before="0"/>
        <w:jc w:val="left"/>
        <w:rPr>
          <w:color w:val="000000"/>
          <w:sz w:val="22"/>
          <w:szCs w:val="22"/>
          <w:lang w:val="fi-FI"/>
        </w:rPr>
      </w:pPr>
    </w:p>
    <w:p w14:paraId="586FC038" w14:textId="77777777" w:rsidR="00AE3698" w:rsidRPr="00912A5D" w:rsidRDefault="00AE3698">
      <w:pPr>
        <w:pStyle w:val="Text"/>
        <w:spacing w:before="0"/>
        <w:jc w:val="left"/>
        <w:rPr>
          <w:color w:val="000000"/>
          <w:sz w:val="22"/>
          <w:szCs w:val="22"/>
          <w:lang w:val="fi-FI"/>
        </w:rPr>
      </w:pPr>
      <w:r w:rsidRPr="00912A5D">
        <w:rPr>
          <w:color w:val="000000"/>
          <w:sz w:val="22"/>
          <w:szCs w:val="22"/>
          <w:lang w:val="fi-FI"/>
        </w:rPr>
        <w:t>Haittavaikutukset on esitetty kussakin yleisyysluokassa haittavaikutuksen esiintymistiheyden mukaan yleisimmistä alkaen.</w:t>
      </w:r>
    </w:p>
    <w:p w14:paraId="586FC039" w14:textId="77777777" w:rsidR="00AE3698" w:rsidRPr="00912A5D" w:rsidRDefault="00AE3698">
      <w:pPr>
        <w:rPr>
          <w:rFonts w:ascii="Times New Roman" w:hAnsi="Times New Roman"/>
          <w:sz w:val="22"/>
          <w:szCs w:val="24"/>
          <w:lang w:eastAsia="ja-JP"/>
        </w:rPr>
      </w:pPr>
    </w:p>
    <w:p w14:paraId="586FC03A" w14:textId="77777777" w:rsidR="00AE3698" w:rsidRPr="00912A5D" w:rsidRDefault="00AE3698">
      <w:pPr>
        <w:rPr>
          <w:rFonts w:ascii="Times New Roman" w:hAnsi="Times New Roman"/>
          <w:sz w:val="22"/>
        </w:rPr>
      </w:pPr>
      <w:r w:rsidRPr="00912A5D">
        <w:rPr>
          <w:rFonts w:ascii="Times New Roman" w:hAnsi="Times New Roman"/>
          <w:sz w:val="22"/>
          <w:szCs w:val="24"/>
          <w:lang w:eastAsia="ja-JP"/>
        </w:rPr>
        <w:t xml:space="preserve">Taulukossa 1 </w:t>
      </w:r>
      <w:r w:rsidR="00F05A5E">
        <w:rPr>
          <w:rFonts w:ascii="Times New Roman" w:hAnsi="Times New Roman"/>
          <w:sz w:val="22"/>
          <w:szCs w:val="24"/>
          <w:lang w:eastAsia="ja-JP"/>
        </w:rPr>
        <w:t xml:space="preserve">on </w:t>
      </w:r>
      <w:r w:rsidRPr="00912A5D">
        <w:rPr>
          <w:rFonts w:ascii="Times New Roman" w:hAnsi="Times New Roman"/>
          <w:sz w:val="22"/>
          <w:szCs w:val="24"/>
          <w:lang w:eastAsia="ja-JP"/>
        </w:rPr>
        <w:t>luetel</w:t>
      </w:r>
      <w:r w:rsidR="00F05A5E">
        <w:rPr>
          <w:rFonts w:ascii="Times New Roman" w:hAnsi="Times New Roman"/>
          <w:sz w:val="22"/>
          <w:szCs w:val="24"/>
          <w:lang w:eastAsia="ja-JP"/>
        </w:rPr>
        <w:t>t</w:t>
      </w:r>
      <w:r w:rsidRPr="00912A5D">
        <w:rPr>
          <w:rFonts w:ascii="Times New Roman" w:hAnsi="Times New Roman"/>
          <w:sz w:val="22"/>
          <w:szCs w:val="24"/>
          <w:lang w:eastAsia="ja-JP"/>
        </w:rPr>
        <w:t>u haittavaikutukset ja niiden esiintymistiheydet.</w:t>
      </w:r>
    </w:p>
    <w:p w14:paraId="586FC03B" w14:textId="77777777" w:rsidR="00AE3698" w:rsidRPr="00912A5D" w:rsidRDefault="00AE3698">
      <w:pPr>
        <w:rPr>
          <w:rFonts w:ascii="Times New Roman" w:hAnsi="Times New Roman"/>
          <w:sz w:val="22"/>
        </w:rPr>
      </w:pPr>
    </w:p>
    <w:p w14:paraId="586FC03C" w14:textId="77777777" w:rsidR="00AE3698" w:rsidRPr="00912A5D" w:rsidRDefault="00AE3698" w:rsidP="00345374">
      <w:pPr>
        <w:keepNext/>
        <w:tabs>
          <w:tab w:val="left" w:pos="1418"/>
        </w:tabs>
        <w:rPr>
          <w:rFonts w:ascii="Times New Roman" w:hAnsi="Times New Roman"/>
          <w:b/>
          <w:sz w:val="22"/>
        </w:rPr>
      </w:pPr>
      <w:r w:rsidRPr="00912A5D">
        <w:rPr>
          <w:rFonts w:ascii="Times New Roman" w:hAnsi="Times New Roman"/>
          <w:b/>
          <w:sz w:val="22"/>
        </w:rPr>
        <w:lastRenderedPageBreak/>
        <w:t>Taulukko 1</w:t>
      </w:r>
      <w:r w:rsidRPr="00912A5D">
        <w:rPr>
          <w:rFonts w:ascii="Times New Roman" w:hAnsi="Times New Roman"/>
          <w:b/>
          <w:sz w:val="22"/>
        </w:rPr>
        <w:tab/>
      </w:r>
      <w:r w:rsidR="00F05A5E">
        <w:rPr>
          <w:rFonts w:ascii="Times New Roman" w:hAnsi="Times New Roman"/>
          <w:b/>
          <w:sz w:val="22"/>
        </w:rPr>
        <w:t xml:space="preserve">Taulukoitu yhteenveto </w:t>
      </w:r>
      <w:r w:rsidRPr="00912A5D">
        <w:rPr>
          <w:rFonts w:ascii="Times New Roman" w:hAnsi="Times New Roman"/>
          <w:b/>
          <w:sz w:val="22"/>
        </w:rPr>
        <w:t>haittavaikutuks</w:t>
      </w:r>
      <w:r w:rsidR="00F05A5E">
        <w:rPr>
          <w:rFonts w:ascii="Times New Roman" w:hAnsi="Times New Roman"/>
          <w:b/>
          <w:sz w:val="22"/>
        </w:rPr>
        <w:t>is</w:t>
      </w:r>
      <w:r w:rsidRPr="00912A5D">
        <w:rPr>
          <w:rFonts w:ascii="Times New Roman" w:hAnsi="Times New Roman"/>
          <w:b/>
          <w:sz w:val="22"/>
        </w:rPr>
        <w:t>t</w:t>
      </w:r>
      <w:r w:rsidR="00F05A5E">
        <w:rPr>
          <w:rFonts w:ascii="Times New Roman" w:hAnsi="Times New Roman"/>
          <w:b/>
          <w:sz w:val="22"/>
        </w:rPr>
        <w:t>a</w:t>
      </w:r>
    </w:p>
    <w:p w14:paraId="586FC03D" w14:textId="77777777" w:rsidR="00AE3698" w:rsidRPr="00912A5D" w:rsidRDefault="00AE3698" w:rsidP="00345374">
      <w:pPr>
        <w:pStyle w:val="Text"/>
        <w:keepNext/>
        <w:spacing w:before="0"/>
        <w:rPr>
          <w:color w:val="000000"/>
          <w:sz w:val="22"/>
          <w:szCs w:val="22"/>
          <w:lang w:val="fi-F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DF1E31" w:rsidRPr="00912A5D" w14:paraId="586FC03F" w14:textId="77777777" w:rsidTr="00345374">
        <w:trPr>
          <w:cantSplit/>
        </w:trPr>
        <w:tc>
          <w:tcPr>
            <w:tcW w:w="9322" w:type="dxa"/>
            <w:gridSpan w:val="2"/>
          </w:tcPr>
          <w:p w14:paraId="586FC03E" w14:textId="77777777" w:rsidR="00DF1E31" w:rsidRPr="00B611CC" w:rsidRDefault="00DF1E31" w:rsidP="00345374">
            <w:pPr>
              <w:keepNext/>
              <w:widowControl w:val="0"/>
              <w:rPr>
                <w:rFonts w:ascii="Times New Roman" w:hAnsi="Times New Roman"/>
                <w:sz w:val="22"/>
                <w:szCs w:val="22"/>
                <w:lang w:val="pt-PT"/>
              </w:rPr>
            </w:pPr>
            <w:r w:rsidRPr="00B611CC">
              <w:rPr>
                <w:rFonts w:ascii="Times New Roman" w:hAnsi="Times New Roman"/>
                <w:b/>
                <w:sz w:val="22"/>
                <w:szCs w:val="22"/>
              </w:rPr>
              <w:t>Infektiot</w:t>
            </w:r>
          </w:p>
        </w:tc>
      </w:tr>
      <w:tr w:rsidR="00DF1E31" w:rsidRPr="00912A5D" w14:paraId="586FC042" w14:textId="77777777" w:rsidTr="00345374">
        <w:trPr>
          <w:cantSplit/>
        </w:trPr>
        <w:tc>
          <w:tcPr>
            <w:tcW w:w="2235" w:type="dxa"/>
          </w:tcPr>
          <w:p w14:paraId="586FC040" w14:textId="77777777" w:rsidR="00DF1E31" w:rsidRPr="00912A5D" w:rsidRDefault="00DF1E31" w:rsidP="00345374">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41" w14:textId="77777777" w:rsidR="00DF1E31" w:rsidRPr="00912A5D" w:rsidRDefault="00DF1E31" w:rsidP="00345374">
            <w:pPr>
              <w:keepNext/>
              <w:widowControl w:val="0"/>
              <w:rPr>
                <w:rFonts w:ascii="Times New Roman" w:hAnsi="Times New Roman"/>
                <w:sz w:val="22"/>
                <w:szCs w:val="22"/>
                <w:lang w:val="pt-PT"/>
              </w:rPr>
            </w:pPr>
            <w:r w:rsidRPr="00912A5D">
              <w:rPr>
                <w:rFonts w:ascii="Times New Roman" w:hAnsi="Times New Roman"/>
                <w:sz w:val="22"/>
                <w:szCs w:val="22"/>
              </w:rPr>
              <w:t>Herpes zoster, herpes simplex, nasofaryngiitti, keuhkokuume</w:t>
            </w:r>
            <w:r w:rsidR="00D96BC6" w:rsidRPr="00D96BC6">
              <w:rPr>
                <w:rFonts w:ascii="Times New Roman" w:hAnsi="Times New Roman"/>
                <w:sz w:val="22"/>
                <w:szCs w:val="22"/>
                <w:vertAlign w:val="superscript"/>
              </w:rPr>
              <w:t>1</w:t>
            </w:r>
            <w:r w:rsidRPr="00912A5D">
              <w:rPr>
                <w:rFonts w:ascii="Times New Roman" w:hAnsi="Times New Roman"/>
                <w:sz w:val="22"/>
                <w:szCs w:val="22"/>
              </w:rPr>
              <w:t>, sinuiitti, selluliitti, ylähengitystieinfektiot, influenssa, virtsatieinfektiot, gastroenteriitti, sepsis</w:t>
            </w:r>
          </w:p>
        </w:tc>
      </w:tr>
      <w:tr w:rsidR="00DF1E31" w:rsidRPr="00912A5D" w14:paraId="586FC045" w14:textId="77777777" w:rsidTr="00345374">
        <w:trPr>
          <w:cantSplit/>
        </w:trPr>
        <w:tc>
          <w:tcPr>
            <w:tcW w:w="2235" w:type="dxa"/>
          </w:tcPr>
          <w:p w14:paraId="586FC043" w14:textId="77777777" w:rsidR="00DF1E31" w:rsidRPr="00912A5D" w:rsidRDefault="00DF1E31" w:rsidP="00345374">
            <w:pPr>
              <w:keepNext/>
              <w:widowControl w:val="0"/>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44" w14:textId="77777777" w:rsidR="00DF1E31" w:rsidRPr="00912A5D" w:rsidRDefault="00DF1E31" w:rsidP="00345374">
            <w:pPr>
              <w:keepNext/>
              <w:widowControl w:val="0"/>
              <w:rPr>
                <w:rFonts w:ascii="Times New Roman" w:hAnsi="Times New Roman"/>
                <w:sz w:val="22"/>
                <w:szCs w:val="22"/>
              </w:rPr>
            </w:pPr>
            <w:r w:rsidRPr="00912A5D">
              <w:rPr>
                <w:rFonts w:ascii="Times New Roman" w:hAnsi="Times New Roman"/>
                <w:sz w:val="22"/>
                <w:szCs w:val="22"/>
              </w:rPr>
              <w:t>Sieni-infektio</w:t>
            </w:r>
          </w:p>
        </w:tc>
      </w:tr>
      <w:tr w:rsidR="00210954" w:rsidRPr="00912A5D" w14:paraId="586FC048" w14:textId="77777777" w:rsidTr="00345374">
        <w:trPr>
          <w:cantSplit/>
        </w:trPr>
        <w:tc>
          <w:tcPr>
            <w:tcW w:w="2235" w:type="dxa"/>
          </w:tcPr>
          <w:p w14:paraId="586FC046" w14:textId="77777777" w:rsidR="00210954" w:rsidRPr="00912A5D" w:rsidRDefault="00210954" w:rsidP="00345374">
            <w:pPr>
              <w:keepNext/>
              <w:widowControl w:val="0"/>
              <w:rPr>
                <w:rFonts w:ascii="Times New Roman" w:hAnsi="Times New Roman"/>
                <w:i/>
                <w:sz w:val="22"/>
                <w:szCs w:val="22"/>
              </w:rPr>
            </w:pPr>
            <w:r>
              <w:rPr>
                <w:rFonts w:ascii="Times New Roman" w:hAnsi="Times New Roman"/>
                <w:i/>
                <w:sz w:val="22"/>
                <w:szCs w:val="22"/>
              </w:rPr>
              <w:t>Tuntematon:</w:t>
            </w:r>
          </w:p>
        </w:tc>
        <w:tc>
          <w:tcPr>
            <w:tcW w:w="7087" w:type="dxa"/>
          </w:tcPr>
          <w:p w14:paraId="586FC047" w14:textId="77777777" w:rsidR="00210954" w:rsidRPr="00912A5D" w:rsidRDefault="00210954" w:rsidP="00345374">
            <w:pPr>
              <w:keepNext/>
              <w:widowControl w:val="0"/>
              <w:rPr>
                <w:rFonts w:ascii="Times New Roman" w:hAnsi="Times New Roman"/>
                <w:sz w:val="22"/>
                <w:szCs w:val="22"/>
              </w:rPr>
            </w:pPr>
            <w:r w:rsidRPr="00210954">
              <w:rPr>
                <w:rFonts w:ascii="Times New Roman" w:hAnsi="Times New Roman"/>
                <w:sz w:val="22"/>
                <w:szCs w:val="22"/>
              </w:rPr>
              <w:t>Hepatiitti B:n uudelleen aktivoituminen</w:t>
            </w:r>
            <w:r w:rsidR="006E785E">
              <w:rPr>
                <w:rFonts w:ascii="Times New Roman" w:hAnsi="Times New Roman"/>
                <w:sz w:val="22"/>
                <w:szCs w:val="22"/>
              </w:rPr>
              <w:t>*</w:t>
            </w:r>
          </w:p>
        </w:tc>
      </w:tr>
      <w:tr w:rsidR="00AE03FE" w:rsidRPr="00912A5D" w14:paraId="586FC04A" w14:textId="77777777" w:rsidTr="00345374">
        <w:trPr>
          <w:cantSplit/>
        </w:trPr>
        <w:tc>
          <w:tcPr>
            <w:tcW w:w="9322" w:type="dxa"/>
            <w:gridSpan w:val="2"/>
          </w:tcPr>
          <w:p w14:paraId="586FC049" w14:textId="77777777" w:rsidR="00AE03FE" w:rsidRPr="00B611CC" w:rsidRDefault="00286E60" w:rsidP="00345374">
            <w:pPr>
              <w:keepNext/>
              <w:widowControl w:val="0"/>
              <w:rPr>
                <w:rFonts w:ascii="Times New Roman" w:hAnsi="Times New Roman"/>
                <w:b/>
                <w:sz w:val="22"/>
                <w:szCs w:val="22"/>
              </w:rPr>
            </w:pPr>
            <w:r>
              <w:rPr>
                <w:rFonts w:ascii="Times New Roman" w:hAnsi="Times New Roman"/>
                <w:b/>
                <w:sz w:val="22"/>
                <w:szCs w:val="22"/>
              </w:rPr>
              <w:t>Hyvän- ja pahanlaatuiset kasvaimet (mukaan lukien kystat ja polyypit)</w:t>
            </w:r>
          </w:p>
        </w:tc>
      </w:tr>
      <w:tr w:rsidR="00585B7A" w:rsidRPr="00912A5D" w14:paraId="586FC04D" w14:textId="77777777" w:rsidTr="00345374">
        <w:trPr>
          <w:cantSplit/>
        </w:trPr>
        <w:tc>
          <w:tcPr>
            <w:tcW w:w="2235" w:type="dxa"/>
          </w:tcPr>
          <w:p w14:paraId="586FC04B" w14:textId="77777777" w:rsidR="00585B7A" w:rsidRPr="00912A5D" w:rsidRDefault="00585B7A" w:rsidP="00345374">
            <w:pPr>
              <w:keepNext/>
              <w:widowControl w:val="0"/>
              <w:rPr>
                <w:rFonts w:ascii="Times New Roman" w:hAnsi="Times New Roman"/>
                <w:i/>
                <w:sz w:val="22"/>
              </w:rPr>
            </w:pPr>
            <w:r w:rsidRPr="00912A5D">
              <w:rPr>
                <w:rFonts w:ascii="Times New Roman" w:hAnsi="Times New Roman"/>
                <w:i/>
                <w:sz w:val="22"/>
              </w:rPr>
              <w:t>Harvinai</w:t>
            </w:r>
            <w:r>
              <w:rPr>
                <w:rFonts w:ascii="Times New Roman" w:hAnsi="Times New Roman"/>
                <w:i/>
                <w:sz w:val="22"/>
              </w:rPr>
              <w:t>n</w:t>
            </w:r>
            <w:r w:rsidRPr="00912A5D">
              <w:rPr>
                <w:rFonts w:ascii="Times New Roman" w:hAnsi="Times New Roman"/>
                <w:i/>
                <w:sz w:val="22"/>
              </w:rPr>
              <w:t>e</w:t>
            </w:r>
            <w:r>
              <w:rPr>
                <w:rFonts w:ascii="Times New Roman" w:hAnsi="Times New Roman"/>
                <w:i/>
                <w:sz w:val="22"/>
              </w:rPr>
              <w:t>n</w:t>
            </w:r>
            <w:r w:rsidRPr="00912A5D">
              <w:rPr>
                <w:rFonts w:ascii="Times New Roman" w:hAnsi="Times New Roman"/>
                <w:i/>
                <w:sz w:val="22"/>
              </w:rPr>
              <w:t>:</w:t>
            </w:r>
          </w:p>
        </w:tc>
        <w:tc>
          <w:tcPr>
            <w:tcW w:w="7087" w:type="dxa"/>
          </w:tcPr>
          <w:p w14:paraId="586FC04C" w14:textId="77777777" w:rsidR="00585B7A" w:rsidRPr="00912A5D" w:rsidRDefault="00585B7A" w:rsidP="00345374">
            <w:pPr>
              <w:keepNext/>
              <w:widowControl w:val="0"/>
              <w:rPr>
                <w:rFonts w:ascii="Times New Roman" w:hAnsi="Times New Roman"/>
                <w:sz w:val="22"/>
              </w:rPr>
            </w:pPr>
            <w:r>
              <w:rPr>
                <w:rFonts w:ascii="Times New Roman" w:hAnsi="Times New Roman"/>
                <w:sz w:val="22"/>
              </w:rPr>
              <w:t>Tuumorilyys</w:t>
            </w:r>
            <w:r w:rsidRPr="00912A5D">
              <w:rPr>
                <w:rFonts w:ascii="Times New Roman" w:hAnsi="Times New Roman"/>
                <w:sz w:val="22"/>
              </w:rPr>
              <w:t>i</w:t>
            </w:r>
            <w:r>
              <w:rPr>
                <w:rFonts w:ascii="Times New Roman" w:hAnsi="Times New Roman"/>
                <w:sz w:val="22"/>
              </w:rPr>
              <w:t>sy</w:t>
            </w:r>
            <w:r w:rsidRPr="00912A5D">
              <w:rPr>
                <w:rFonts w:ascii="Times New Roman" w:hAnsi="Times New Roman"/>
                <w:sz w:val="22"/>
              </w:rPr>
              <w:t>n</w:t>
            </w:r>
            <w:r>
              <w:rPr>
                <w:rFonts w:ascii="Times New Roman" w:hAnsi="Times New Roman"/>
                <w:sz w:val="22"/>
              </w:rPr>
              <w:t>droom</w:t>
            </w:r>
            <w:r w:rsidRPr="00912A5D">
              <w:rPr>
                <w:rFonts w:ascii="Times New Roman" w:hAnsi="Times New Roman"/>
                <w:sz w:val="22"/>
              </w:rPr>
              <w:t>a</w:t>
            </w:r>
          </w:p>
        </w:tc>
      </w:tr>
      <w:tr w:rsidR="00E666CF" w:rsidRPr="00912A5D" w14:paraId="586FC050" w14:textId="77777777" w:rsidTr="00345374">
        <w:trPr>
          <w:cantSplit/>
        </w:trPr>
        <w:tc>
          <w:tcPr>
            <w:tcW w:w="2235" w:type="dxa"/>
          </w:tcPr>
          <w:p w14:paraId="586FC04E" w14:textId="77777777" w:rsidR="00E666CF" w:rsidRPr="00912A5D" w:rsidRDefault="00E666CF" w:rsidP="0034041A">
            <w:pPr>
              <w:rPr>
                <w:rFonts w:ascii="Times New Roman" w:hAnsi="Times New Roman"/>
                <w:i/>
                <w:sz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04F" w14:textId="77777777" w:rsidR="00E666CF" w:rsidRDefault="00E666CF" w:rsidP="00AE03FE">
            <w:pPr>
              <w:rPr>
                <w:rFonts w:ascii="Times New Roman" w:hAnsi="Times New Roman"/>
                <w:sz w:val="22"/>
              </w:rPr>
            </w:pPr>
            <w:r w:rsidRPr="00585B7A">
              <w:rPr>
                <w:rFonts w:ascii="Times New Roman" w:hAnsi="Times New Roman"/>
                <w:sz w:val="22"/>
              </w:rPr>
              <w:t>Kasvaimen verenvuoto/kasvaimen nekroosi</w:t>
            </w:r>
            <w:r>
              <w:rPr>
                <w:rFonts w:ascii="Times New Roman" w:hAnsi="Times New Roman"/>
                <w:sz w:val="22"/>
              </w:rPr>
              <w:t>*</w:t>
            </w:r>
          </w:p>
        </w:tc>
      </w:tr>
      <w:tr w:rsidR="00585B7A" w:rsidRPr="00912A5D" w14:paraId="586FC052" w14:textId="77777777" w:rsidTr="00345374">
        <w:trPr>
          <w:cantSplit/>
        </w:trPr>
        <w:tc>
          <w:tcPr>
            <w:tcW w:w="9322" w:type="dxa"/>
            <w:gridSpan w:val="2"/>
          </w:tcPr>
          <w:p w14:paraId="586FC051" w14:textId="77777777" w:rsidR="00585B7A" w:rsidRPr="00B611CC" w:rsidRDefault="00585B7A" w:rsidP="00345374">
            <w:pPr>
              <w:keepNext/>
              <w:widowControl w:val="0"/>
              <w:rPr>
                <w:rFonts w:ascii="Times New Roman" w:hAnsi="Times New Roman"/>
                <w:sz w:val="22"/>
              </w:rPr>
            </w:pPr>
            <w:r w:rsidRPr="00912A5D">
              <w:rPr>
                <w:rFonts w:ascii="Times New Roman" w:hAnsi="Times New Roman"/>
                <w:b/>
                <w:noProof/>
                <w:sz w:val="22"/>
                <w:szCs w:val="22"/>
                <w:lang w:val="pt-PT"/>
              </w:rPr>
              <w:t>Immuunijärjestelmä</w:t>
            </w:r>
          </w:p>
        </w:tc>
      </w:tr>
      <w:tr w:rsidR="00510641" w:rsidRPr="00912A5D" w14:paraId="586FC055" w14:textId="77777777" w:rsidTr="00345374">
        <w:trPr>
          <w:cantSplit/>
        </w:trPr>
        <w:tc>
          <w:tcPr>
            <w:tcW w:w="2235" w:type="dxa"/>
          </w:tcPr>
          <w:p w14:paraId="586FC053" w14:textId="77777777" w:rsidR="00510641" w:rsidRPr="00912A5D" w:rsidRDefault="00510641" w:rsidP="00501AA0">
            <w:pPr>
              <w:rPr>
                <w:rFonts w:ascii="Times New Roman" w:hAnsi="Times New Roman"/>
                <w:i/>
                <w:sz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054" w14:textId="77777777" w:rsidR="00510641" w:rsidRPr="00912A5D" w:rsidRDefault="00510641" w:rsidP="00501AA0">
            <w:pPr>
              <w:rPr>
                <w:rFonts w:ascii="Times New Roman" w:hAnsi="Times New Roman"/>
                <w:sz w:val="22"/>
              </w:rPr>
            </w:pPr>
            <w:r w:rsidRPr="00510641">
              <w:rPr>
                <w:rFonts w:ascii="Times New Roman" w:hAnsi="Times New Roman"/>
                <w:sz w:val="22"/>
              </w:rPr>
              <w:t>Anafylaktinen sokki</w:t>
            </w:r>
            <w:r>
              <w:rPr>
                <w:rFonts w:ascii="Times New Roman" w:hAnsi="Times New Roman"/>
                <w:sz w:val="22"/>
              </w:rPr>
              <w:t>*</w:t>
            </w:r>
          </w:p>
        </w:tc>
      </w:tr>
      <w:tr w:rsidR="00585B7A" w:rsidRPr="00912A5D" w14:paraId="586FC057" w14:textId="77777777" w:rsidTr="00345374">
        <w:trPr>
          <w:cantSplit/>
        </w:trPr>
        <w:tc>
          <w:tcPr>
            <w:tcW w:w="9322" w:type="dxa"/>
            <w:gridSpan w:val="2"/>
          </w:tcPr>
          <w:p w14:paraId="586FC056" w14:textId="77777777" w:rsidR="00585B7A" w:rsidRPr="00B611CC" w:rsidRDefault="00585B7A" w:rsidP="00345374">
            <w:pPr>
              <w:keepNext/>
              <w:widowControl w:val="0"/>
              <w:rPr>
                <w:rFonts w:ascii="Times New Roman" w:hAnsi="Times New Roman"/>
                <w:sz w:val="22"/>
              </w:rPr>
            </w:pPr>
            <w:r w:rsidRPr="00B611CC">
              <w:rPr>
                <w:rFonts w:ascii="Times New Roman" w:hAnsi="Times New Roman"/>
                <w:b/>
                <w:sz w:val="22"/>
                <w:szCs w:val="22"/>
              </w:rPr>
              <w:t>Veri ja imukudos</w:t>
            </w:r>
          </w:p>
        </w:tc>
      </w:tr>
      <w:tr w:rsidR="00585B7A" w:rsidRPr="00912A5D" w14:paraId="586FC05A" w14:textId="77777777" w:rsidTr="00345374">
        <w:trPr>
          <w:cantSplit/>
        </w:trPr>
        <w:tc>
          <w:tcPr>
            <w:tcW w:w="2235" w:type="dxa"/>
          </w:tcPr>
          <w:p w14:paraId="586FC058" w14:textId="77777777" w:rsidR="00585B7A" w:rsidRPr="00912A5D" w:rsidRDefault="00585B7A" w:rsidP="00345374">
            <w:pPr>
              <w:keepNext/>
              <w:widowControl w:val="0"/>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59" w14:textId="77777777" w:rsidR="00585B7A" w:rsidRPr="00912A5D" w:rsidRDefault="00585B7A" w:rsidP="00345374">
            <w:pPr>
              <w:keepNext/>
              <w:widowControl w:val="0"/>
              <w:rPr>
                <w:rFonts w:ascii="Times New Roman" w:hAnsi="Times New Roman"/>
                <w:sz w:val="22"/>
              </w:rPr>
            </w:pPr>
            <w:r w:rsidRPr="00912A5D">
              <w:rPr>
                <w:rFonts w:ascii="Times New Roman" w:hAnsi="Times New Roman"/>
                <w:sz w:val="22"/>
                <w:szCs w:val="22"/>
              </w:rPr>
              <w:t>Neutropenia, trombosytopenia, anemia</w:t>
            </w:r>
          </w:p>
        </w:tc>
      </w:tr>
      <w:tr w:rsidR="00585B7A" w:rsidRPr="00912A5D" w14:paraId="586FC05D" w14:textId="77777777" w:rsidTr="00345374">
        <w:trPr>
          <w:cantSplit/>
        </w:trPr>
        <w:tc>
          <w:tcPr>
            <w:tcW w:w="2235" w:type="dxa"/>
          </w:tcPr>
          <w:p w14:paraId="586FC05B" w14:textId="77777777" w:rsidR="00585B7A" w:rsidRPr="00912A5D" w:rsidRDefault="00585B7A" w:rsidP="00345374">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5C" w14:textId="77777777" w:rsidR="00585B7A" w:rsidRPr="00912A5D" w:rsidRDefault="00585B7A" w:rsidP="00345374">
            <w:pPr>
              <w:keepNext/>
              <w:widowControl w:val="0"/>
              <w:rPr>
                <w:rFonts w:ascii="Times New Roman" w:hAnsi="Times New Roman"/>
                <w:sz w:val="22"/>
              </w:rPr>
            </w:pPr>
            <w:r w:rsidRPr="00912A5D">
              <w:rPr>
                <w:rFonts w:ascii="Times New Roman" w:hAnsi="Times New Roman"/>
                <w:sz w:val="22"/>
                <w:szCs w:val="22"/>
              </w:rPr>
              <w:t>Pansytopenia, kuumeinen neutropenia</w:t>
            </w:r>
          </w:p>
        </w:tc>
      </w:tr>
      <w:tr w:rsidR="00585B7A" w:rsidRPr="00912A5D" w14:paraId="586FC060" w14:textId="77777777" w:rsidTr="00345374">
        <w:trPr>
          <w:cantSplit/>
        </w:trPr>
        <w:tc>
          <w:tcPr>
            <w:tcW w:w="2235" w:type="dxa"/>
          </w:tcPr>
          <w:p w14:paraId="586FC05E" w14:textId="77777777" w:rsidR="00585B7A" w:rsidRPr="00912A5D" w:rsidRDefault="00585B7A" w:rsidP="00345374">
            <w:pPr>
              <w:keepNext/>
              <w:widowControl w:val="0"/>
              <w:rPr>
                <w:rFonts w:ascii="Times New Roman" w:hAnsi="Times New Roman"/>
                <w:sz w:val="22"/>
              </w:rPr>
            </w:pPr>
            <w:r w:rsidRPr="00912A5D">
              <w:rPr>
                <w:rFonts w:ascii="Times New Roman" w:hAnsi="Times New Roman"/>
                <w:i/>
                <w:sz w:val="22"/>
                <w:szCs w:val="22"/>
              </w:rPr>
              <w:t>Melko harvina</w:t>
            </w:r>
            <w:r>
              <w:rPr>
                <w:rFonts w:ascii="Times New Roman" w:hAnsi="Times New Roman"/>
                <w:i/>
                <w:sz w:val="22"/>
                <w:szCs w:val="22"/>
              </w:rPr>
              <w:t>in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5F" w14:textId="77777777" w:rsidR="00585B7A" w:rsidRPr="00912A5D" w:rsidRDefault="00585B7A" w:rsidP="00345374">
            <w:pPr>
              <w:keepNext/>
              <w:widowControl w:val="0"/>
              <w:rPr>
                <w:rFonts w:ascii="Times New Roman" w:hAnsi="Times New Roman"/>
                <w:sz w:val="22"/>
              </w:rPr>
            </w:pPr>
            <w:r w:rsidRPr="00912A5D">
              <w:rPr>
                <w:rFonts w:ascii="Times New Roman" w:hAnsi="Times New Roman"/>
                <w:sz w:val="22"/>
                <w:szCs w:val="22"/>
              </w:rPr>
              <w:t>Trombosytoosi, lymfopenia, luuydinsuppressio, eosinofilia, lymfadenopatia</w:t>
            </w:r>
          </w:p>
        </w:tc>
      </w:tr>
      <w:tr w:rsidR="00585B7A" w:rsidRPr="00912A5D" w14:paraId="586FC063" w14:textId="77777777" w:rsidTr="00345374">
        <w:trPr>
          <w:cantSplit/>
        </w:trPr>
        <w:tc>
          <w:tcPr>
            <w:tcW w:w="2235" w:type="dxa"/>
          </w:tcPr>
          <w:p w14:paraId="586FC061" w14:textId="77777777" w:rsidR="00585B7A" w:rsidRPr="00912A5D" w:rsidRDefault="00585B7A">
            <w:pPr>
              <w:rPr>
                <w:rFonts w:ascii="Times New Roman" w:hAnsi="Times New Roman"/>
                <w:i/>
                <w:sz w:val="22"/>
              </w:rPr>
            </w:pPr>
            <w:r w:rsidRPr="00912A5D">
              <w:rPr>
                <w:rFonts w:ascii="Times New Roman" w:hAnsi="Times New Roman"/>
                <w:i/>
                <w:sz w:val="22"/>
              </w:rPr>
              <w:t>Harvinai</w:t>
            </w:r>
            <w:r>
              <w:rPr>
                <w:rFonts w:ascii="Times New Roman" w:hAnsi="Times New Roman"/>
                <w:i/>
                <w:sz w:val="22"/>
              </w:rPr>
              <w:t>n</w:t>
            </w:r>
            <w:r w:rsidRPr="00912A5D">
              <w:rPr>
                <w:rFonts w:ascii="Times New Roman" w:hAnsi="Times New Roman"/>
                <w:i/>
                <w:sz w:val="22"/>
              </w:rPr>
              <w:t>e</w:t>
            </w:r>
            <w:r>
              <w:rPr>
                <w:rFonts w:ascii="Times New Roman" w:hAnsi="Times New Roman"/>
                <w:i/>
                <w:sz w:val="22"/>
              </w:rPr>
              <w:t>n</w:t>
            </w:r>
            <w:r w:rsidRPr="00912A5D">
              <w:rPr>
                <w:rFonts w:ascii="Times New Roman" w:hAnsi="Times New Roman"/>
                <w:i/>
                <w:sz w:val="22"/>
              </w:rPr>
              <w:t>:</w:t>
            </w:r>
          </w:p>
        </w:tc>
        <w:tc>
          <w:tcPr>
            <w:tcW w:w="7087" w:type="dxa"/>
          </w:tcPr>
          <w:p w14:paraId="586FC062" w14:textId="77777777" w:rsidR="00585B7A" w:rsidRPr="00912A5D" w:rsidRDefault="00585B7A">
            <w:pPr>
              <w:rPr>
                <w:rFonts w:ascii="Times New Roman" w:hAnsi="Times New Roman"/>
                <w:sz w:val="22"/>
              </w:rPr>
            </w:pPr>
            <w:r w:rsidRPr="00912A5D">
              <w:rPr>
                <w:rFonts w:ascii="Times New Roman" w:hAnsi="Times New Roman"/>
                <w:sz w:val="22"/>
              </w:rPr>
              <w:t>Hemolyyttinen anemia</w:t>
            </w:r>
            <w:r w:rsidR="002B0CBF">
              <w:rPr>
                <w:rFonts w:ascii="Times New Roman" w:hAnsi="Times New Roman"/>
                <w:sz w:val="22"/>
              </w:rPr>
              <w:t>,</w:t>
            </w:r>
            <w:r w:rsidR="002B0CBF" w:rsidRPr="007C3327">
              <w:rPr>
                <w:rFonts w:ascii="Times New Roman" w:hAnsi="Times New Roman"/>
                <w:sz w:val="22"/>
                <w:szCs w:val="22"/>
              </w:rPr>
              <w:t xml:space="preserve"> </w:t>
            </w:r>
            <w:r w:rsidR="002B0CBF" w:rsidRPr="00C54CAD">
              <w:rPr>
                <w:rFonts w:ascii="Times New Roman" w:hAnsi="Times New Roman"/>
                <w:sz w:val="22"/>
                <w:szCs w:val="22"/>
              </w:rPr>
              <w:t>tromboottinen mikroangiopatia</w:t>
            </w:r>
          </w:p>
        </w:tc>
      </w:tr>
      <w:tr w:rsidR="00585B7A" w:rsidRPr="00912A5D" w14:paraId="586FC065" w14:textId="77777777" w:rsidTr="00345374">
        <w:trPr>
          <w:cantSplit/>
        </w:trPr>
        <w:tc>
          <w:tcPr>
            <w:tcW w:w="9322" w:type="dxa"/>
            <w:gridSpan w:val="2"/>
          </w:tcPr>
          <w:p w14:paraId="586FC064" w14:textId="77777777" w:rsidR="00585B7A" w:rsidRPr="00B611CC" w:rsidRDefault="00585B7A" w:rsidP="00345374">
            <w:pPr>
              <w:keepNext/>
              <w:widowControl w:val="0"/>
              <w:rPr>
                <w:rFonts w:ascii="Times New Roman" w:hAnsi="Times New Roman"/>
                <w:sz w:val="22"/>
                <w:szCs w:val="22"/>
              </w:rPr>
            </w:pPr>
            <w:r w:rsidRPr="00B611CC">
              <w:rPr>
                <w:rFonts w:ascii="Times New Roman" w:hAnsi="Times New Roman"/>
                <w:b/>
                <w:sz w:val="22"/>
                <w:szCs w:val="22"/>
              </w:rPr>
              <w:t>Aineenvaihdunta ja ravitsemus</w:t>
            </w:r>
          </w:p>
        </w:tc>
      </w:tr>
      <w:tr w:rsidR="00585B7A" w:rsidRPr="00912A5D" w14:paraId="586FC068" w14:textId="77777777" w:rsidTr="00345374">
        <w:trPr>
          <w:cantSplit/>
        </w:trPr>
        <w:tc>
          <w:tcPr>
            <w:tcW w:w="2235" w:type="dxa"/>
          </w:tcPr>
          <w:p w14:paraId="586FC066" w14:textId="77777777" w:rsidR="00585B7A" w:rsidRPr="00912A5D" w:rsidRDefault="00585B7A" w:rsidP="00345374">
            <w:pPr>
              <w:keepNext/>
              <w:widowControl w:val="0"/>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67" w14:textId="77777777" w:rsidR="00585B7A" w:rsidRPr="00912A5D" w:rsidRDefault="00585B7A" w:rsidP="00345374">
            <w:pPr>
              <w:keepNext/>
              <w:widowControl w:val="0"/>
              <w:rPr>
                <w:rFonts w:ascii="Times New Roman" w:hAnsi="Times New Roman"/>
                <w:sz w:val="22"/>
                <w:szCs w:val="22"/>
              </w:rPr>
            </w:pPr>
            <w:r w:rsidRPr="00912A5D">
              <w:rPr>
                <w:rFonts w:ascii="Times New Roman" w:hAnsi="Times New Roman"/>
                <w:sz w:val="22"/>
                <w:szCs w:val="22"/>
              </w:rPr>
              <w:t>Ruokahaluttomuus</w:t>
            </w:r>
          </w:p>
        </w:tc>
      </w:tr>
      <w:tr w:rsidR="00585B7A" w:rsidRPr="00912A5D" w14:paraId="586FC06B" w14:textId="77777777" w:rsidTr="00345374">
        <w:trPr>
          <w:cantSplit/>
        </w:trPr>
        <w:tc>
          <w:tcPr>
            <w:tcW w:w="2235" w:type="dxa"/>
          </w:tcPr>
          <w:p w14:paraId="586FC069" w14:textId="77777777" w:rsidR="00585B7A" w:rsidRPr="00912A5D" w:rsidRDefault="00585B7A" w:rsidP="00345374">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6A" w14:textId="77777777" w:rsidR="00585B7A" w:rsidRPr="00912A5D" w:rsidRDefault="00585B7A" w:rsidP="00345374">
            <w:pPr>
              <w:keepNext/>
              <w:widowControl w:val="0"/>
              <w:rPr>
                <w:rFonts w:ascii="Times New Roman" w:hAnsi="Times New Roman"/>
                <w:sz w:val="22"/>
                <w:szCs w:val="22"/>
              </w:rPr>
            </w:pPr>
            <w:r w:rsidRPr="00912A5D">
              <w:rPr>
                <w:rFonts w:ascii="Times New Roman" w:hAnsi="Times New Roman"/>
                <w:sz w:val="22"/>
                <w:szCs w:val="22"/>
              </w:rPr>
              <w:t xml:space="preserve">Hypokalemia, ruokahalun </w:t>
            </w:r>
            <w:r>
              <w:rPr>
                <w:rFonts w:ascii="Times New Roman" w:hAnsi="Times New Roman"/>
                <w:sz w:val="22"/>
                <w:szCs w:val="22"/>
              </w:rPr>
              <w:t>lisääntyminen</w:t>
            </w:r>
            <w:r w:rsidRPr="00912A5D">
              <w:rPr>
                <w:rFonts w:ascii="Times New Roman" w:hAnsi="Times New Roman"/>
                <w:sz w:val="22"/>
                <w:szCs w:val="22"/>
              </w:rPr>
              <w:t xml:space="preserve">, hypofosfatemia, ruokahalun </w:t>
            </w:r>
            <w:r>
              <w:rPr>
                <w:rFonts w:ascii="Times New Roman" w:hAnsi="Times New Roman"/>
                <w:sz w:val="22"/>
                <w:szCs w:val="22"/>
              </w:rPr>
              <w:t>vähentyminen</w:t>
            </w:r>
            <w:r w:rsidRPr="00912A5D">
              <w:rPr>
                <w:rFonts w:ascii="Times New Roman" w:hAnsi="Times New Roman"/>
                <w:sz w:val="22"/>
                <w:szCs w:val="22"/>
              </w:rPr>
              <w:t>, dehydraatio, kihti, hyperurikemia, hyperkalsemia, hyperglykemia, hyponatremia</w:t>
            </w:r>
          </w:p>
        </w:tc>
      </w:tr>
      <w:tr w:rsidR="00585B7A" w:rsidRPr="00912A5D" w14:paraId="586FC06E" w14:textId="77777777" w:rsidTr="00345374">
        <w:trPr>
          <w:cantSplit/>
        </w:trPr>
        <w:tc>
          <w:tcPr>
            <w:tcW w:w="2235" w:type="dxa"/>
          </w:tcPr>
          <w:p w14:paraId="586FC06C" w14:textId="77777777" w:rsidR="00585B7A" w:rsidRPr="00912A5D" w:rsidRDefault="00585B7A" w:rsidP="00904F1A">
            <w:pPr>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6D" w14:textId="77777777" w:rsidR="00585B7A" w:rsidRPr="00912A5D" w:rsidRDefault="00585B7A" w:rsidP="00904F1A">
            <w:pPr>
              <w:rPr>
                <w:rFonts w:ascii="Times New Roman" w:hAnsi="Times New Roman"/>
                <w:sz w:val="22"/>
                <w:szCs w:val="22"/>
                <w:lang w:val="pt-PT"/>
              </w:rPr>
            </w:pPr>
            <w:r w:rsidRPr="00912A5D">
              <w:rPr>
                <w:rFonts w:ascii="Times New Roman" w:hAnsi="Times New Roman"/>
                <w:sz w:val="22"/>
                <w:szCs w:val="22"/>
              </w:rPr>
              <w:t>Hyperkalemia, hypomagnesemia</w:t>
            </w:r>
          </w:p>
        </w:tc>
      </w:tr>
      <w:tr w:rsidR="00585B7A" w:rsidRPr="00912A5D" w14:paraId="586FC070" w14:textId="77777777" w:rsidTr="00345374">
        <w:trPr>
          <w:cantSplit/>
        </w:trPr>
        <w:tc>
          <w:tcPr>
            <w:tcW w:w="9322" w:type="dxa"/>
            <w:gridSpan w:val="2"/>
          </w:tcPr>
          <w:p w14:paraId="586FC06F" w14:textId="77777777" w:rsidR="00585B7A" w:rsidRPr="00B611CC" w:rsidRDefault="00585B7A" w:rsidP="00345374">
            <w:pPr>
              <w:keepNext/>
              <w:widowControl w:val="0"/>
              <w:rPr>
                <w:rFonts w:ascii="Times New Roman" w:hAnsi="Times New Roman"/>
                <w:sz w:val="22"/>
                <w:szCs w:val="22"/>
              </w:rPr>
            </w:pPr>
            <w:r w:rsidRPr="00B611CC">
              <w:rPr>
                <w:rFonts w:ascii="Times New Roman" w:hAnsi="Times New Roman"/>
                <w:b/>
                <w:sz w:val="22"/>
                <w:szCs w:val="22"/>
              </w:rPr>
              <w:t>Psyykkiset häiriöt</w:t>
            </w:r>
          </w:p>
        </w:tc>
      </w:tr>
      <w:tr w:rsidR="00585B7A" w:rsidRPr="00912A5D" w14:paraId="586FC073" w14:textId="77777777" w:rsidTr="00345374">
        <w:trPr>
          <w:cantSplit/>
        </w:trPr>
        <w:tc>
          <w:tcPr>
            <w:tcW w:w="2235" w:type="dxa"/>
          </w:tcPr>
          <w:p w14:paraId="586FC071" w14:textId="77777777" w:rsidR="00585B7A" w:rsidRPr="00912A5D" w:rsidRDefault="00585B7A" w:rsidP="00345374">
            <w:pPr>
              <w:keepNext/>
              <w:widowControl w:val="0"/>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72" w14:textId="77777777" w:rsidR="00585B7A" w:rsidRPr="00912A5D" w:rsidRDefault="00585B7A" w:rsidP="00345374">
            <w:pPr>
              <w:keepNext/>
              <w:widowControl w:val="0"/>
              <w:rPr>
                <w:rFonts w:ascii="Times New Roman" w:hAnsi="Times New Roman"/>
                <w:sz w:val="22"/>
                <w:szCs w:val="22"/>
              </w:rPr>
            </w:pPr>
            <w:r w:rsidRPr="00912A5D">
              <w:rPr>
                <w:rFonts w:ascii="Times New Roman" w:hAnsi="Times New Roman"/>
                <w:sz w:val="22"/>
                <w:szCs w:val="22"/>
              </w:rPr>
              <w:t>Unettomuus</w:t>
            </w:r>
          </w:p>
        </w:tc>
      </w:tr>
      <w:tr w:rsidR="00585B7A" w:rsidRPr="00912A5D" w14:paraId="586FC076" w14:textId="77777777" w:rsidTr="00345374">
        <w:trPr>
          <w:cantSplit/>
        </w:trPr>
        <w:tc>
          <w:tcPr>
            <w:tcW w:w="2235" w:type="dxa"/>
          </w:tcPr>
          <w:p w14:paraId="586FC074" w14:textId="77777777" w:rsidR="00585B7A" w:rsidRPr="00912A5D" w:rsidRDefault="00585B7A" w:rsidP="00345374">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75" w14:textId="77777777" w:rsidR="00585B7A" w:rsidRPr="00912A5D" w:rsidRDefault="00585B7A" w:rsidP="00345374">
            <w:pPr>
              <w:keepNext/>
              <w:widowControl w:val="0"/>
              <w:rPr>
                <w:rFonts w:ascii="Times New Roman" w:hAnsi="Times New Roman"/>
                <w:sz w:val="22"/>
                <w:szCs w:val="22"/>
              </w:rPr>
            </w:pPr>
            <w:r w:rsidRPr="00912A5D">
              <w:rPr>
                <w:rFonts w:ascii="Times New Roman" w:hAnsi="Times New Roman"/>
                <w:sz w:val="22"/>
                <w:szCs w:val="22"/>
              </w:rPr>
              <w:t>Masennus, sukupuolivietin heikentyminen, ahdistuneisuus</w:t>
            </w:r>
          </w:p>
        </w:tc>
      </w:tr>
      <w:tr w:rsidR="00585B7A" w:rsidRPr="00912A5D" w14:paraId="586FC079" w14:textId="77777777" w:rsidTr="00345374">
        <w:trPr>
          <w:cantSplit/>
        </w:trPr>
        <w:tc>
          <w:tcPr>
            <w:tcW w:w="2235" w:type="dxa"/>
          </w:tcPr>
          <w:p w14:paraId="586FC077" w14:textId="77777777" w:rsidR="00585B7A" w:rsidRPr="00912A5D" w:rsidRDefault="00585B7A" w:rsidP="00904F1A">
            <w:pPr>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78" w14:textId="77777777" w:rsidR="00585B7A" w:rsidRPr="00912A5D" w:rsidRDefault="00585B7A" w:rsidP="00904F1A">
            <w:pPr>
              <w:rPr>
                <w:rFonts w:ascii="Times New Roman" w:hAnsi="Times New Roman"/>
                <w:sz w:val="22"/>
                <w:szCs w:val="22"/>
              </w:rPr>
            </w:pPr>
            <w:r w:rsidRPr="00912A5D">
              <w:rPr>
                <w:rFonts w:ascii="Times New Roman" w:hAnsi="Times New Roman"/>
                <w:sz w:val="22"/>
                <w:szCs w:val="22"/>
              </w:rPr>
              <w:t>Sekavuustila</w:t>
            </w:r>
          </w:p>
        </w:tc>
      </w:tr>
      <w:tr w:rsidR="00585B7A" w:rsidRPr="00912A5D" w14:paraId="586FC07B" w14:textId="77777777" w:rsidTr="00345374">
        <w:trPr>
          <w:cantSplit/>
        </w:trPr>
        <w:tc>
          <w:tcPr>
            <w:tcW w:w="9322" w:type="dxa"/>
            <w:gridSpan w:val="2"/>
          </w:tcPr>
          <w:p w14:paraId="586FC07A" w14:textId="77777777" w:rsidR="00585B7A" w:rsidRPr="00B611CC" w:rsidRDefault="00585B7A" w:rsidP="00345374">
            <w:pPr>
              <w:keepNext/>
              <w:widowControl w:val="0"/>
              <w:rPr>
                <w:rFonts w:ascii="Times New Roman" w:hAnsi="Times New Roman"/>
                <w:sz w:val="22"/>
              </w:rPr>
            </w:pPr>
            <w:r w:rsidRPr="00B611CC">
              <w:rPr>
                <w:rFonts w:ascii="Times New Roman" w:hAnsi="Times New Roman"/>
                <w:b/>
                <w:sz w:val="22"/>
                <w:szCs w:val="22"/>
              </w:rPr>
              <w:t>Hermosto</w:t>
            </w:r>
          </w:p>
        </w:tc>
      </w:tr>
      <w:tr w:rsidR="00585B7A" w:rsidRPr="00912A5D" w14:paraId="586FC07E" w14:textId="77777777" w:rsidTr="00345374">
        <w:trPr>
          <w:cantSplit/>
        </w:trPr>
        <w:tc>
          <w:tcPr>
            <w:tcW w:w="2235" w:type="dxa"/>
          </w:tcPr>
          <w:p w14:paraId="586FC07C" w14:textId="77777777" w:rsidR="00585B7A" w:rsidRPr="00912A5D" w:rsidRDefault="00585B7A" w:rsidP="00345374">
            <w:pPr>
              <w:keepNext/>
              <w:widowControl w:val="0"/>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7D" w14:textId="77777777" w:rsidR="00585B7A" w:rsidRPr="00912A5D" w:rsidRDefault="00585B7A" w:rsidP="00345374">
            <w:pPr>
              <w:keepNext/>
              <w:widowControl w:val="0"/>
              <w:rPr>
                <w:rFonts w:ascii="Times New Roman" w:hAnsi="Times New Roman"/>
                <w:sz w:val="22"/>
              </w:rPr>
            </w:pPr>
            <w:r w:rsidRPr="00912A5D">
              <w:rPr>
                <w:rFonts w:ascii="Times New Roman" w:hAnsi="Times New Roman"/>
                <w:sz w:val="22"/>
                <w:szCs w:val="22"/>
              </w:rPr>
              <w:t>Päänsärky</w:t>
            </w:r>
            <w:r w:rsidRPr="00912A5D">
              <w:rPr>
                <w:rFonts w:ascii="Times New Roman" w:hAnsi="Times New Roman"/>
                <w:sz w:val="22"/>
                <w:szCs w:val="22"/>
                <w:vertAlign w:val="superscript"/>
              </w:rPr>
              <w:t>2</w:t>
            </w:r>
          </w:p>
        </w:tc>
      </w:tr>
      <w:tr w:rsidR="00585B7A" w:rsidRPr="00912A5D" w14:paraId="586FC081" w14:textId="77777777" w:rsidTr="00345374">
        <w:trPr>
          <w:cantSplit/>
        </w:trPr>
        <w:tc>
          <w:tcPr>
            <w:tcW w:w="2235" w:type="dxa"/>
          </w:tcPr>
          <w:p w14:paraId="586FC07F" w14:textId="77777777" w:rsidR="00585B7A" w:rsidRPr="00912A5D" w:rsidRDefault="00585B7A" w:rsidP="00345374">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80" w14:textId="77777777" w:rsidR="00585B7A" w:rsidRPr="00912A5D" w:rsidRDefault="00585B7A" w:rsidP="00345374">
            <w:pPr>
              <w:keepNext/>
              <w:widowControl w:val="0"/>
              <w:rPr>
                <w:rFonts w:ascii="Times New Roman" w:hAnsi="Times New Roman"/>
                <w:sz w:val="22"/>
                <w:szCs w:val="22"/>
              </w:rPr>
            </w:pPr>
            <w:r w:rsidRPr="00912A5D">
              <w:rPr>
                <w:rFonts w:ascii="Times New Roman" w:hAnsi="Times New Roman"/>
                <w:sz w:val="22"/>
                <w:szCs w:val="22"/>
              </w:rPr>
              <w:t>Huimaus, tuntohäiriöt, makuaistin häiriöt, heikentynyt tunto</w:t>
            </w:r>
          </w:p>
        </w:tc>
      </w:tr>
      <w:tr w:rsidR="00585B7A" w:rsidRPr="00912A5D" w14:paraId="586FC084" w14:textId="77777777" w:rsidTr="00345374">
        <w:trPr>
          <w:cantSplit/>
        </w:trPr>
        <w:tc>
          <w:tcPr>
            <w:tcW w:w="2235" w:type="dxa"/>
          </w:tcPr>
          <w:p w14:paraId="586FC082" w14:textId="77777777" w:rsidR="00585B7A" w:rsidRPr="00912A5D" w:rsidRDefault="00585B7A" w:rsidP="00345374">
            <w:pPr>
              <w:keepNext/>
              <w:widowControl w:val="0"/>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83" w14:textId="77777777" w:rsidR="00585B7A" w:rsidRPr="00912A5D" w:rsidRDefault="00585B7A" w:rsidP="00345374">
            <w:pPr>
              <w:keepNext/>
              <w:widowControl w:val="0"/>
              <w:rPr>
                <w:rFonts w:ascii="Times New Roman" w:hAnsi="Times New Roman"/>
                <w:sz w:val="22"/>
              </w:rPr>
            </w:pPr>
            <w:r w:rsidRPr="00912A5D">
              <w:rPr>
                <w:rFonts w:ascii="Times New Roman" w:hAnsi="Times New Roman"/>
                <w:sz w:val="22"/>
                <w:szCs w:val="22"/>
              </w:rPr>
              <w:t>Migreeni, uneliaisuus, pyörtyminen, perifeerinen neuropatia, muistihäiriöt, iskias, levottomien jalkojen oireyhtymä, vapina, aivoverenvuoto</w:t>
            </w:r>
          </w:p>
        </w:tc>
      </w:tr>
      <w:tr w:rsidR="00585B7A" w:rsidRPr="00912A5D" w14:paraId="586FC087" w14:textId="77777777" w:rsidTr="00345374">
        <w:trPr>
          <w:cantSplit/>
        </w:trPr>
        <w:tc>
          <w:tcPr>
            <w:tcW w:w="2235" w:type="dxa"/>
          </w:tcPr>
          <w:p w14:paraId="586FC085" w14:textId="77777777" w:rsidR="00585B7A" w:rsidRPr="00912A5D" w:rsidRDefault="00585B7A" w:rsidP="00345374">
            <w:pPr>
              <w:keepNext/>
              <w:widowControl w:val="0"/>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86" w14:textId="77777777" w:rsidR="00585B7A" w:rsidRPr="00912A5D" w:rsidRDefault="00585B7A" w:rsidP="00345374">
            <w:pPr>
              <w:keepNext/>
              <w:widowControl w:val="0"/>
              <w:rPr>
                <w:rFonts w:ascii="Times New Roman" w:hAnsi="Times New Roman"/>
                <w:sz w:val="22"/>
                <w:szCs w:val="22"/>
              </w:rPr>
            </w:pPr>
            <w:r w:rsidRPr="00912A5D">
              <w:rPr>
                <w:rFonts w:ascii="Times New Roman" w:hAnsi="Times New Roman"/>
                <w:sz w:val="22"/>
                <w:szCs w:val="22"/>
              </w:rPr>
              <w:t>Kohonnut aivopaine, kouristukset, näköhermotulehdus</w:t>
            </w:r>
          </w:p>
        </w:tc>
      </w:tr>
      <w:tr w:rsidR="005227E6" w:rsidRPr="00912A5D" w14:paraId="586FC08A" w14:textId="77777777" w:rsidTr="00345374">
        <w:trPr>
          <w:cantSplit/>
        </w:trPr>
        <w:tc>
          <w:tcPr>
            <w:tcW w:w="2235" w:type="dxa"/>
          </w:tcPr>
          <w:p w14:paraId="586FC088" w14:textId="77777777" w:rsidR="005227E6" w:rsidRPr="00912A5D" w:rsidRDefault="005227E6">
            <w:pPr>
              <w:rPr>
                <w:rFonts w:ascii="Times New Roman" w:hAnsi="Times New Roman"/>
                <w:i/>
                <w:sz w:val="22"/>
                <w:szCs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089" w14:textId="77777777" w:rsidR="005227E6" w:rsidRPr="00912A5D" w:rsidRDefault="005227E6">
            <w:pPr>
              <w:rPr>
                <w:rFonts w:ascii="Times New Roman" w:hAnsi="Times New Roman"/>
                <w:sz w:val="22"/>
                <w:szCs w:val="22"/>
              </w:rPr>
            </w:pPr>
            <w:r w:rsidRPr="005227E6">
              <w:rPr>
                <w:rFonts w:ascii="Times New Roman" w:hAnsi="Times New Roman"/>
                <w:sz w:val="22"/>
                <w:szCs w:val="22"/>
              </w:rPr>
              <w:t>Aivoturvotus</w:t>
            </w:r>
            <w:r>
              <w:rPr>
                <w:rFonts w:ascii="Times New Roman" w:hAnsi="Times New Roman"/>
                <w:sz w:val="22"/>
                <w:szCs w:val="22"/>
              </w:rPr>
              <w:t>*</w:t>
            </w:r>
          </w:p>
        </w:tc>
      </w:tr>
      <w:tr w:rsidR="005227E6" w:rsidRPr="00912A5D" w14:paraId="586FC08C" w14:textId="77777777" w:rsidTr="00345374">
        <w:trPr>
          <w:cantSplit/>
        </w:trPr>
        <w:tc>
          <w:tcPr>
            <w:tcW w:w="9322" w:type="dxa"/>
            <w:gridSpan w:val="2"/>
          </w:tcPr>
          <w:p w14:paraId="586FC08B" w14:textId="77777777" w:rsidR="005227E6" w:rsidRPr="00B611CC" w:rsidRDefault="005227E6" w:rsidP="00345374">
            <w:pPr>
              <w:keepNext/>
              <w:rPr>
                <w:rFonts w:ascii="Times New Roman" w:hAnsi="Times New Roman"/>
                <w:sz w:val="22"/>
              </w:rPr>
            </w:pPr>
            <w:r w:rsidRPr="00B611CC">
              <w:rPr>
                <w:rFonts w:ascii="Times New Roman" w:hAnsi="Times New Roman"/>
                <w:b/>
                <w:sz w:val="22"/>
                <w:szCs w:val="22"/>
              </w:rPr>
              <w:t>Silmät</w:t>
            </w:r>
          </w:p>
        </w:tc>
      </w:tr>
      <w:tr w:rsidR="005227E6" w:rsidRPr="00912A5D" w14:paraId="586FC08F" w14:textId="77777777" w:rsidTr="00345374">
        <w:trPr>
          <w:cantSplit/>
        </w:trPr>
        <w:tc>
          <w:tcPr>
            <w:tcW w:w="2235" w:type="dxa"/>
          </w:tcPr>
          <w:p w14:paraId="586FC08D" w14:textId="77777777" w:rsidR="005227E6" w:rsidRPr="00912A5D" w:rsidRDefault="005227E6" w:rsidP="00345374">
            <w:pPr>
              <w:keepNext/>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8E" w14:textId="77777777" w:rsidR="005227E6" w:rsidRPr="00912A5D" w:rsidRDefault="005227E6" w:rsidP="00345374">
            <w:pPr>
              <w:keepNext/>
              <w:rPr>
                <w:rFonts w:ascii="Times New Roman" w:hAnsi="Times New Roman"/>
                <w:sz w:val="22"/>
              </w:rPr>
            </w:pPr>
            <w:r w:rsidRPr="00912A5D">
              <w:rPr>
                <w:rFonts w:ascii="Times New Roman" w:hAnsi="Times New Roman"/>
                <w:sz w:val="22"/>
                <w:szCs w:val="22"/>
              </w:rPr>
              <w:t>Silmäluomien turvotus, lisääntynyt kyyneleritys, sidekalvon verenvuoto, sidekalvotulehdus, silmien kuivuminen, näön hämärtyminen</w:t>
            </w:r>
          </w:p>
        </w:tc>
      </w:tr>
      <w:tr w:rsidR="005227E6" w:rsidRPr="00912A5D" w14:paraId="586FC092" w14:textId="77777777" w:rsidTr="00345374">
        <w:trPr>
          <w:cantSplit/>
        </w:trPr>
        <w:tc>
          <w:tcPr>
            <w:tcW w:w="2235" w:type="dxa"/>
          </w:tcPr>
          <w:p w14:paraId="586FC090" w14:textId="77777777" w:rsidR="005227E6" w:rsidRPr="00912A5D" w:rsidRDefault="005227E6" w:rsidP="00345374">
            <w:pPr>
              <w:keepNext/>
              <w:rPr>
                <w:rFonts w:ascii="Times New Roman" w:hAnsi="Times New Roman"/>
                <w:sz w:val="22"/>
              </w:rPr>
            </w:pPr>
            <w:r w:rsidRPr="00912A5D">
              <w:rPr>
                <w:rFonts w:ascii="Times New Roman" w:hAnsi="Times New Roman"/>
                <w:i/>
                <w:sz w:val="22"/>
                <w:szCs w:val="22"/>
              </w:rPr>
              <w:t>Melko harvina</w:t>
            </w:r>
            <w:r>
              <w:rPr>
                <w:rFonts w:ascii="Times New Roman" w:hAnsi="Times New Roman"/>
                <w:i/>
                <w:sz w:val="22"/>
                <w:szCs w:val="22"/>
              </w:rPr>
              <w:t>in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91" w14:textId="77777777" w:rsidR="005227E6" w:rsidRPr="00912A5D" w:rsidRDefault="005227E6" w:rsidP="00345374">
            <w:pPr>
              <w:keepNext/>
              <w:rPr>
                <w:rFonts w:ascii="Times New Roman" w:hAnsi="Times New Roman"/>
                <w:sz w:val="22"/>
              </w:rPr>
            </w:pPr>
            <w:r w:rsidRPr="00912A5D">
              <w:rPr>
                <w:rFonts w:ascii="Times New Roman" w:hAnsi="Times New Roman"/>
                <w:sz w:val="22"/>
                <w:szCs w:val="22"/>
              </w:rPr>
              <w:t>Silmien ärsytys, silmäkipu, silmäkuopan turvotus, kovakalvon verenvuoto, verkkokalvon verenvuoto, silmäluomitulehdus, makulaturvotus</w:t>
            </w:r>
          </w:p>
        </w:tc>
      </w:tr>
      <w:tr w:rsidR="005227E6" w:rsidRPr="00912A5D" w14:paraId="586FC095" w14:textId="77777777" w:rsidTr="00345374">
        <w:trPr>
          <w:cantSplit/>
        </w:trPr>
        <w:tc>
          <w:tcPr>
            <w:tcW w:w="2235" w:type="dxa"/>
          </w:tcPr>
          <w:p w14:paraId="586FC093" w14:textId="77777777" w:rsidR="005227E6" w:rsidRPr="00912A5D" w:rsidRDefault="005227E6" w:rsidP="00345374">
            <w:pPr>
              <w:keepNext/>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94" w14:textId="77777777" w:rsidR="005227E6" w:rsidRPr="00912A5D" w:rsidRDefault="005227E6" w:rsidP="00345374">
            <w:pPr>
              <w:keepNext/>
              <w:rPr>
                <w:rFonts w:ascii="Times New Roman" w:hAnsi="Times New Roman"/>
                <w:sz w:val="22"/>
              </w:rPr>
            </w:pPr>
            <w:r w:rsidRPr="00912A5D">
              <w:rPr>
                <w:rFonts w:ascii="Times New Roman" w:hAnsi="Times New Roman"/>
                <w:sz w:val="22"/>
                <w:szCs w:val="22"/>
              </w:rPr>
              <w:t>Kaihi, glaukooma, papillan turvotus</w:t>
            </w:r>
          </w:p>
        </w:tc>
      </w:tr>
      <w:tr w:rsidR="005227E6" w:rsidRPr="00912A5D" w14:paraId="586FC098" w14:textId="77777777" w:rsidTr="00345374">
        <w:trPr>
          <w:cantSplit/>
        </w:trPr>
        <w:tc>
          <w:tcPr>
            <w:tcW w:w="2235" w:type="dxa"/>
          </w:tcPr>
          <w:p w14:paraId="586FC096" w14:textId="77777777" w:rsidR="005227E6" w:rsidRPr="00912A5D" w:rsidRDefault="005227E6">
            <w:pPr>
              <w:rPr>
                <w:rFonts w:ascii="Times New Roman" w:hAnsi="Times New Roman"/>
                <w:i/>
                <w:sz w:val="22"/>
                <w:szCs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097" w14:textId="77777777" w:rsidR="005227E6" w:rsidRPr="00912A5D" w:rsidRDefault="005227E6">
            <w:pPr>
              <w:rPr>
                <w:rFonts w:ascii="Times New Roman" w:hAnsi="Times New Roman"/>
                <w:sz w:val="22"/>
                <w:szCs w:val="22"/>
              </w:rPr>
            </w:pPr>
            <w:r w:rsidRPr="005227E6">
              <w:rPr>
                <w:rFonts w:ascii="Times New Roman" w:hAnsi="Times New Roman"/>
                <w:sz w:val="22"/>
                <w:szCs w:val="22"/>
              </w:rPr>
              <w:t>Lasiaisen verenvuoto</w:t>
            </w:r>
            <w:r>
              <w:rPr>
                <w:rFonts w:ascii="Times New Roman" w:hAnsi="Times New Roman"/>
                <w:sz w:val="22"/>
                <w:szCs w:val="22"/>
              </w:rPr>
              <w:t>*</w:t>
            </w:r>
          </w:p>
        </w:tc>
      </w:tr>
      <w:tr w:rsidR="005227E6" w:rsidRPr="00912A5D" w14:paraId="586FC09A" w14:textId="77777777" w:rsidTr="00345374">
        <w:trPr>
          <w:cantSplit/>
        </w:trPr>
        <w:tc>
          <w:tcPr>
            <w:tcW w:w="9322" w:type="dxa"/>
            <w:gridSpan w:val="2"/>
          </w:tcPr>
          <w:p w14:paraId="586FC099" w14:textId="77777777" w:rsidR="005227E6" w:rsidRPr="00B611CC" w:rsidRDefault="005227E6" w:rsidP="00345374">
            <w:pPr>
              <w:keepNext/>
              <w:rPr>
                <w:rFonts w:ascii="Times New Roman" w:hAnsi="Times New Roman"/>
                <w:sz w:val="22"/>
              </w:rPr>
            </w:pPr>
            <w:r w:rsidRPr="00B611CC">
              <w:rPr>
                <w:rFonts w:ascii="Times New Roman" w:hAnsi="Times New Roman"/>
                <w:b/>
                <w:sz w:val="22"/>
                <w:szCs w:val="22"/>
              </w:rPr>
              <w:t>Kuulo ja tasapainoelin</w:t>
            </w:r>
          </w:p>
        </w:tc>
      </w:tr>
      <w:tr w:rsidR="005227E6" w:rsidRPr="00912A5D" w14:paraId="586FC09D" w14:textId="77777777" w:rsidTr="00345374">
        <w:trPr>
          <w:cantSplit/>
        </w:trPr>
        <w:tc>
          <w:tcPr>
            <w:tcW w:w="2235" w:type="dxa"/>
          </w:tcPr>
          <w:p w14:paraId="586FC09B" w14:textId="77777777" w:rsidR="005227E6" w:rsidRPr="00912A5D" w:rsidRDefault="005227E6">
            <w:pPr>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9C" w14:textId="77777777" w:rsidR="005227E6" w:rsidRPr="00912A5D" w:rsidRDefault="005227E6">
            <w:pPr>
              <w:rPr>
                <w:rFonts w:ascii="Times New Roman" w:hAnsi="Times New Roman"/>
                <w:sz w:val="22"/>
              </w:rPr>
            </w:pPr>
            <w:r w:rsidRPr="00912A5D">
              <w:rPr>
                <w:rFonts w:ascii="Times New Roman" w:hAnsi="Times New Roman"/>
                <w:sz w:val="22"/>
                <w:szCs w:val="22"/>
                <w:lang w:val="it-IT"/>
              </w:rPr>
              <w:t>Heitehuimaus, tinnitus, kuulon heikkeneminen</w:t>
            </w:r>
          </w:p>
        </w:tc>
      </w:tr>
      <w:tr w:rsidR="005227E6" w:rsidRPr="00912A5D" w14:paraId="586FC09F" w14:textId="77777777" w:rsidTr="00345374">
        <w:trPr>
          <w:cantSplit/>
        </w:trPr>
        <w:tc>
          <w:tcPr>
            <w:tcW w:w="9322" w:type="dxa"/>
            <w:gridSpan w:val="2"/>
          </w:tcPr>
          <w:p w14:paraId="586FC09E" w14:textId="77777777" w:rsidR="005227E6" w:rsidRPr="00B611CC" w:rsidRDefault="005227E6" w:rsidP="00345374">
            <w:pPr>
              <w:keepNext/>
              <w:rPr>
                <w:rFonts w:ascii="Times New Roman" w:hAnsi="Times New Roman"/>
                <w:sz w:val="22"/>
              </w:rPr>
            </w:pPr>
            <w:r w:rsidRPr="00B611CC">
              <w:rPr>
                <w:rFonts w:ascii="Times New Roman" w:hAnsi="Times New Roman"/>
                <w:b/>
                <w:sz w:val="22"/>
                <w:szCs w:val="22"/>
                <w:lang w:val="it-IT"/>
              </w:rPr>
              <w:t>Sydän</w:t>
            </w:r>
          </w:p>
        </w:tc>
      </w:tr>
      <w:tr w:rsidR="005227E6" w:rsidRPr="00912A5D" w14:paraId="586FC0A2" w14:textId="77777777" w:rsidTr="00345374">
        <w:trPr>
          <w:cantSplit/>
        </w:trPr>
        <w:tc>
          <w:tcPr>
            <w:tcW w:w="2235" w:type="dxa"/>
          </w:tcPr>
          <w:p w14:paraId="586FC0A0" w14:textId="77777777" w:rsidR="005227E6" w:rsidRPr="00912A5D" w:rsidRDefault="005227E6" w:rsidP="00345374">
            <w:pPr>
              <w:keepNext/>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A1" w14:textId="77777777" w:rsidR="005227E6" w:rsidRPr="00912A5D" w:rsidRDefault="005227E6" w:rsidP="00345374">
            <w:pPr>
              <w:keepNext/>
              <w:rPr>
                <w:rFonts w:ascii="Times New Roman" w:hAnsi="Times New Roman"/>
                <w:sz w:val="22"/>
              </w:rPr>
            </w:pPr>
            <w:r w:rsidRPr="00912A5D">
              <w:rPr>
                <w:rFonts w:ascii="Times New Roman" w:hAnsi="Times New Roman"/>
                <w:sz w:val="22"/>
                <w:szCs w:val="22"/>
              </w:rPr>
              <w:t>Sydämentykytys, takykardia, kongestiivinen sydämen vajaatoiminta</w:t>
            </w:r>
            <w:r w:rsidRPr="00D96BC6">
              <w:rPr>
                <w:rFonts w:ascii="Times New Roman" w:hAnsi="Times New Roman"/>
                <w:sz w:val="22"/>
                <w:szCs w:val="22"/>
                <w:vertAlign w:val="superscript"/>
              </w:rPr>
              <w:t>3</w:t>
            </w:r>
            <w:r w:rsidRPr="00912A5D">
              <w:rPr>
                <w:rFonts w:ascii="Times New Roman" w:hAnsi="Times New Roman"/>
                <w:sz w:val="22"/>
                <w:szCs w:val="22"/>
              </w:rPr>
              <w:t>, keuhkoödeema</w:t>
            </w:r>
          </w:p>
        </w:tc>
      </w:tr>
      <w:tr w:rsidR="005227E6" w:rsidRPr="00912A5D" w14:paraId="586FC0A5" w14:textId="77777777" w:rsidTr="00345374">
        <w:trPr>
          <w:cantSplit/>
        </w:trPr>
        <w:tc>
          <w:tcPr>
            <w:tcW w:w="2235" w:type="dxa"/>
          </w:tcPr>
          <w:p w14:paraId="586FC0A3" w14:textId="77777777" w:rsidR="005227E6" w:rsidRPr="00912A5D" w:rsidRDefault="005227E6" w:rsidP="00345374">
            <w:pPr>
              <w:keepNext/>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A4" w14:textId="77777777" w:rsidR="005227E6" w:rsidRPr="00912A5D" w:rsidRDefault="005227E6" w:rsidP="00345374">
            <w:pPr>
              <w:keepNext/>
              <w:rPr>
                <w:rFonts w:ascii="Times New Roman" w:hAnsi="Times New Roman"/>
                <w:sz w:val="22"/>
              </w:rPr>
            </w:pPr>
            <w:r w:rsidRPr="00912A5D">
              <w:rPr>
                <w:rFonts w:ascii="Times New Roman" w:hAnsi="Times New Roman"/>
                <w:sz w:val="22"/>
                <w:szCs w:val="22"/>
              </w:rPr>
              <w:t>Sydämen rytmihäiriöt, eteisvärinä, sydänpysähdys, sydäninfarkti, angina pectoris, perikardiumeffuusio</w:t>
            </w:r>
          </w:p>
        </w:tc>
      </w:tr>
      <w:tr w:rsidR="005227E6" w:rsidRPr="00912A5D" w14:paraId="586FC0A8" w14:textId="77777777" w:rsidTr="00345374">
        <w:trPr>
          <w:cantSplit/>
        </w:trPr>
        <w:tc>
          <w:tcPr>
            <w:tcW w:w="2235" w:type="dxa"/>
          </w:tcPr>
          <w:p w14:paraId="586FC0A6" w14:textId="77777777" w:rsidR="005227E6" w:rsidRPr="00912A5D" w:rsidRDefault="005227E6" w:rsidP="00904F1A">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0A7" w14:textId="77777777" w:rsidR="005227E6" w:rsidRPr="00912A5D" w:rsidRDefault="005227E6" w:rsidP="00904F1A">
            <w:pPr>
              <w:rPr>
                <w:rFonts w:ascii="Times New Roman" w:hAnsi="Times New Roman"/>
                <w:sz w:val="22"/>
                <w:szCs w:val="22"/>
              </w:rPr>
            </w:pPr>
            <w:r w:rsidRPr="005227E6">
              <w:rPr>
                <w:rFonts w:ascii="Times New Roman" w:hAnsi="Times New Roman"/>
                <w:sz w:val="22"/>
                <w:szCs w:val="22"/>
              </w:rPr>
              <w:t>Perikardiitti</w:t>
            </w:r>
            <w:r>
              <w:rPr>
                <w:rFonts w:ascii="Times New Roman" w:hAnsi="Times New Roman"/>
                <w:sz w:val="22"/>
                <w:szCs w:val="22"/>
              </w:rPr>
              <w:t>*</w:t>
            </w:r>
            <w:r w:rsidRPr="005227E6">
              <w:rPr>
                <w:rFonts w:ascii="Times New Roman" w:hAnsi="Times New Roman"/>
                <w:sz w:val="22"/>
                <w:szCs w:val="22"/>
              </w:rPr>
              <w:t>, sydäntamponaatio</w:t>
            </w:r>
            <w:r>
              <w:rPr>
                <w:rFonts w:ascii="Times New Roman" w:hAnsi="Times New Roman"/>
                <w:sz w:val="22"/>
                <w:szCs w:val="22"/>
              </w:rPr>
              <w:t>*</w:t>
            </w:r>
          </w:p>
        </w:tc>
      </w:tr>
      <w:tr w:rsidR="005227E6" w:rsidRPr="00912A5D" w14:paraId="586FC0AA" w14:textId="77777777" w:rsidTr="00345374">
        <w:trPr>
          <w:cantSplit/>
        </w:trPr>
        <w:tc>
          <w:tcPr>
            <w:tcW w:w="9322" w:type="dxa"/>
            <w:gridSpan w:val="2"/>
          </w:tcPr>
          <w:p w14:paraId="586FC0A9" w14:textId="77777777" w:rsidR="005227E6" w:rsidRPr="00B611CC" w:rsidRDefault="005227E6" w:rsidP="00345374">
            <w:pPr>
              <w:keepNext/>
              <w:rPr>
                <w:rFonts w:ascii="Times New Roman" w:hAnsi="Times New Roman"/>
                <w:sz w:val="22"/>
                <w:szCs w:val="22"/>
              </w:rPr>
            </w:pPr>
            <w:r w:rsidRPr="00B611CC">
              <w:rPr>
                <w:rFonts w:ascii="Times New Roman" w:hAnsi="Times New Roman"/>
                <w:b/>
                <w:sz w:val="22"/>
                <w:szCs w:val="22"/>
              </w:rPr>
              <w:t>Verisuonisto</w:t>
            </w:r>
            <w:r w:rsidRPr="00D96BC6">
              <w:rPr>
                <w:rFonts w:ascii="Times New Roman" w:hAnsi="Times New Roman"/>
                <w:b/>
                <w:sz w:val="22"/>
                <w:szCs w:val="22"/>
                <w:vertAlign w:val="superscript"/>
              </w:rPr>
              <w:t>4</w:t>
            </w:r>
          </w:p>
        </w:tc>
      </w:tr>
      <w:tr w:rsidR="005227E6" w:rsidRPr="00912A5D" w14:paraId="586FC0AD" w14:textId="77777777" w:rsidTr="00345374">
        <w:trPr>
          <w:cantSplit/>
        </w:trPr>
        <w:tc>
          <w:tcPr>
            <w:tcW w:w="2235" w:type="dxa"/>
          </w:tcPr>
          <w:p w14:paraId="586FC0AB" w14:textId="77777777" w:rsidR="005227E6" w:rsidRPr="00912A5D" w:rsidRDefault="005227E6" w:rsidP="00345374">
            <w:pPr>
              <w:keepNext/>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AC" w14:textId="77777777" w:rsidR="005227E6" w:rsidRPr="00912A5D" w:rsidRDefault="005227E6" w:rsidP="00345374">
            <w:pPr>
              <w:keepNext/>
              <w:rPr>
                <w:rFonts w:ascii="Times New Roman" w:hAnsi="Times New Roman"/>
                <w:sz w:val="22"/>
                <w:szCs w:val="22"/>
              </w:rPr>
            </w:pPr>
            <w:r w:rsidRPr="00912A5D">
              <w:rPr>
                <w:rFonts w:ascii="Times New Roman" w:hAnsi="Times New Roman"/>
                <w:sz w:val="22"/>
                <w:szCs w:val="22"/>
              </w:rPr>
              <w:t>Punastuminen, verenvuoto</w:t>
            </w:r>
          </w:p>
        </w:tc>
      </w:tr>
      <w:tr w:rsidR="005227E6" w:rsidRPr="00912A5D" w14:paraId="586FC0B0" w14:textId="77777777" w:rsidTr="00345374">
        <w:trPr>
          <w:cantSplit/>
        </w:trPr>
        <w:tc>
          <w:tcPr>
            <w:tcW w:w="2235" w:type="dxa"/>
          </w:tcPr>
          <w:p w14:paraId="586FC0AE" w14:textId="77777777" w:rsidR="005227E6" w:rsidRPr="008E27E8" w:rsidRDefault="005227E6" w:rsidP="00345374">
            <w:pPr>
              <w:keepNext/>
              <w:rPr>
                <w:rFonts w:ascii="Times New Roman" w:hAnsi="Times New Roman"/>
                <w:i/>
                <w:sz w:val="22"/>
                <w:szCs w:val="22"/>
              </w:rPr>
            </w:pPr>
            <w:r w:rsidRPr="008E27E8">
              <w:rPr>
                <w:rFonts w:ascii="Times New Roman" w:hAnsi="Times New Roman"/>
                <w:i/>
                <w:sz w:val="22"/>
                <w:szCs w:val="22"/>
              </w:rPr>
              <w:t>Melko harvinai</w:t>
            </w:r>
            <w:r>
              <w:rPr>
                <w:rFonts w:ascii="Times New Roman" w:hAnsi="Times New Roman"/>
                <w:i/>
                <w:sz w:val="22"/>
                <w:szCs w:val="22"/>
              </w:rPr>
              <w:t>n</w:t>
            </w:r>
            <w:r w:rsidRPr="008E27E8">
              <w:rPr>
                <w:rFonts w:ascii="Times New Roman" w:hAnsi="Times New Roman"/>
                <w:i/>
                <w:sz w:val="22"/>
                <w:szCs w:val="22"/>
              </w:rPr>
              <w:t>e</w:t>
            </w:r>
            <w:r>
              <w:rPr>
                <w:rFonts w:ascii="Times New Roman" w:hAnsi="Times New Roman"/>
                <w:i/>
                <w:sz w:val="22"/>
                <w:szCs w:val="22"/>
              </w:rPr>
              <w:t>n</w:t>
            </w:r>
            <w:r w:rsidRPr="008E27E8">
              <w:rPr>
                <w:rFonts w:ascii="Times New Roman" w:hAnsi="Times New Roman"/>
                <w:i/>
                <w:sz w:val="22"/>
                <w:szCs w:val="22"/>
              </w:rPr>
              <w:t>:</w:t>
            </w:r>
          </w:p>
        </w:tc>
        <w:tc>
          <w:tcPr>
            <w:tcW w:w="7087" w:type="dxa"/>
          </w:tcPr>
          <w:p w14:paraId="586FC0AF" w14:textId="77777777" w:rsidR="005227E6" w:rsidRPr="00912A5D" w:rsidRDefault="005227E6" w:rsidP="00345374">
            <w:pPr>
              <w:keepNext/>
              <w:rPr>
                <w:rFonts w:ascii="Times New Roman" w:hAnsi="Times New Roman"/>
                <w:sz w:val="22"/>
                <w:szCs w:val="22"/>
              </w:rPr>
            </w:pPr>
            <w:r w:rsidRPr="00912A5D">
              <w:rPr>
                <w:rFonts w:ascii="Times New Roman" w:hAnsi="Times New Roman"/>
                <w:sz w:val="22"/>
                <w:szCs w:val="22"/>
              </w:rPr>
              <w:t xml:space="preserve">Hypertensio, hematoomat, </w:t>
            </w:r>
            <w:r>
              <w:rPr>
                <w:rFonts w:ascii="Times New Roman" w:hAnsi="Times New Roman"/>
                <w:sz w:val="22"/>
                <w:szCs w:val="22"/>
              </w:rPr>
              <w:t xml:space="preserve">subduraalihematooma, </w:t>
            </w:r>
            <w:r w:rsidRPr="00912A5D">
              <w:rPr>
                <w:rFonts w:ascii="Times New Roman" w:hAnsi="Times New Roman"/>
                <w:sz w:val="22"/>
                <w:szCs w:val="22"/>
              </w:rPr>
              <w:t>ääreisosien kylmyys, hypotensio, Raynaudin ilmiö</w:t>
            </w:r>
          </w:p>
        </w:tc>
      </w:tr>
      <w:tr w:rsidR="005227E6" w:rsidRPr="00912A5D" w14:paraId="586FC0B3" w14:textId="77777777" w:rsidTr="00345374">
        <w:trPr>
          <w:cantSplit/>
        </w:trPr>
        <w:tc>
          <w:tcPr>
            <w:tcW w:w="2235" w:type="dxa"/>
          </w:tcPr>
          <w:p w14:paraId="586FC0B1" w14:textId="77777777" w:rsidR="005227E6" w:rsidRPr="008E27E8" w:rsidRDefault="005227E6" w:rsidP="00904F1A">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0B2" w14:textId="77777777" w:rsidR="005227E6" w:rsidRPr="00912A5D" w:rsidRDefault="005227E6" w:rsidP="00DC0AC2">
            <w:pPr>
              <w:rPr>
                <w:rFonts w:ascii="Times New Roman" w:hAnsi="Times New Roman"/>
                <w:sz w:val="22"/>
                <w:szCs w:val="22"/>
              </w:rPr>
            </w:pPr>
            <w:r w:rsidRPr="005227E6">
              <w:rPr>
                <w:rFonts w:ascii="Times New Roman" w:hAnsi="Times New Roman"/>
                <w:sz w:val="22"/>
                <w:szCs w:val="22"/>
              </w:rPr>
              <w:t>Tromboosi/embolia</w:t>
            </w:r>
            <w:r>
              <w:rPr>
                <w:rFonts w:ascii="Times New Roman" w:hAnsi="Times New Roman"/>
                <w:sz w:val="22"/>
                <w:szCs w:val="22"/>
              </w:rPr>
              <w:t>*</w:t>
            </w:r>
          </w:p>
        </w:tc>
      </w:tr>
      <w:tr w:rsidR="005227E6" w:rsidRPr="00912A5D" w14:paraId="586FC0B5" w14:textId="77777777" w:rsidTr="00345374">
        <w:trPr>
          <w:cantSplit/>
        </w:trPr>
        <w:tc>
          <w:tcPr>
            <w:tcW w:w="9322" w:type="dxa"/>
            <w:gridSpan w:val="2"/>
          </w:tcPr>
          <w:p w14:paraId="586FC0B4" w14:textId="77777777" w:rsidR="005227E6" w:rsidRPr="00B611CC" w:rsidRDefault="005227E6" w:rsidP="00345374">
            <w:pPr>
              <w:keepNext/>
              <w:rPr>
                <w:rFonts w:ascii="Times New Roman" w:hAnsi="Times New Roman"/>
                <w:sz w:val="22"/>
                <w:szCs w:val="22"/>
              </w:rPr>
            </w:pPr>
            <w:r w:rsidRPr="00B611CC">
              <w:rPr>
                <w:rFonts w:ascii="Times New Roman" w:hAnsi="Times New Roman"/>
                <w:b/>
                <w:sz w:val="22"/>
                <w:szCs w:val="22"/>
              </w:rPr>
              <w:lastRenderedPageBreak/>
              <w:t>Hengityselimet, rintakehä ja välikarsina</w:t>
            </w:r>
          </w:p>
        </w:tc>
      </w:tr>
      <w:tr w:rsidR="005227E6" w:rsidRPr="00912A5D" w14:paraId="586FC0B8" w14:textId="77777777" w:rsidTr="00345374">
        <w:trPr>
          <w:cantSplit/>
        </w:trPr>
        <w:tc>
          <w:tcPr>
            <w:tcW w:w="2235" w:type="dxa"/>
          </w:tcPr>
          <w:p w14:paraId="586FC0B6" w14:textId="77777777" w:rsidR="005227E6" w:rsidRPr="00912A5D" w:rsidRDefault="005227E6" w:rsidP="00345374">
            <w:pPr>
              <w:keepNext/>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B7" w14:textId="77777777" w:rsidR="005227E6" w:rsidRPr="00912A5D" w:rsidRDefault="005227E6" w:rsidP="00345374">
            <w:pPr>
              <w:keepNext/>
              <w:rPr>
                <w:rFonts w:ascii="Times New Roman" w:hAnsi="Times New Roman"/>
                <w:sz w:val="22"/>
              </w:rPr>
            </w:pPr>
            <w:r w:rsidRPr="00912A5D">
              <w:rPr>
                <w:rFonts w:ascii="Times New Roman" w:hAnsi="Times New Roman"/>
                <w:sz w:val="22"/>
                <w:szCs w:val="22"/>
                <w:lang w:val="fr-FR"/>
              </w:rPr>
              <w:t>Hengenahdistus, nenäverenvuoto,</w:t>
            </w:r>
            <w:r w:rsidRPr="00912A5D">
              <w:rPr>
                <w:rFonts w:ascii="Times New Roman" w:hAnsi="Times New Roman"/>
                <w:sz w:val="22"/>
                <w:szCs w:val="22"/>
              </w:rPr>
              <w:t xml:space="preserve"> yskä</w:t>
            </w:r>
          </w:p>
        </w:tc>
      </w:tr>
      <w:tr w:rsidR="005227E6" w:rsidRPr="00912A5D" w14:paraId="586FC0BB" w14:textId="77777777" w:rsidTr="00345374">
        <w:trPr>
          <w:cantSplit/>
        </w:trPr>
        <w:tc>
          <w:tcPr>
            <w:tcW w:w="2235" w:type="dxa"/>
          </w:tcPr>
          <w:p w14:paraId="586FC0B9" w14:textId="77777777" w:rsidR="005227E6" w:rsidRPr="00912A5D" w:rsidRDefault="005227E6" w:rsidP="00345374">
            <w:pPr>
              <w:keepNext/>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BA" w14:textId="77777777" w:rsidR="005227E6" w:rsidRPr="00912A5D" w:rsidRDefault="005227E6" w:rsidP="00345374">
            <w:pPr>
              <w:keepNext/>
              <w:rPr>
                <w:rFonts w:ascii="Times New Roman" w:hAnsi="Times New Roman"/>
                <w:sz w:val="22"/>
              </w:rPr>
            </w:pPr>
            <w:r w:rsidRPr="00912A5D">
              <w:rPr>
                <w:rFonts w:ascii="Times New Roman" w:hAnsi="Times New Roman"/>
                <w:sz w:val="22"/>
                <w:szCs w:val="22"/>
              </w:rPr>
              <w:t>Pleuraeffuusio</w:t>
            </w:r>
            <w:r>
              <w:rPr>
                <w:rFonts w:ascii="Times New Roman" w:hAnsi="Times New Roman"/>
                <w:sz w:val="22"/>
                <w:szCs w:val="22"/>
                <w:vertAlign w:val="superscript"/>
              </w:rPr>
              <w:t>5</w:t>
            </w:r>
            <w:r w:rsidRPr="00912A5D">
              <w:rPr>
                <w:rFonts w:ascii="Times New Roman" w:hAnsi="Times New Roman"/>
                <w:sz w:val="22"/>
                <w:szCs w:val="22"/>
              </w:rPr>
              <w:t>, nielun ja kurkunpään kipu, nielutulehdus</w:t>
            </w:r>
          </w:p>
        </w:tc>
      </w:tr>
      <w:tr w:rsidR="005227E6" w:rsidRPr="00912A5D" w14:paraId="586FC0BE" w14:textId="77777777" w:rsidTr="00345374">
        <w:trPr>
          <w:cantSplit/>
        </w:trPr>
        <w:tc>
          <w:tcPr>
            <w:tcW w:w="2235" w:type="dxa"/>
          </w:tcPr>
          <w:p w14:paraId="586FC0BC" w14:textId="77777777" w:rsidR="005227E6" w:rsidRPr="00912A5D" w:rsidRDefault="005227E6" w:rsidP="00345374">
            <w:pPr>
              <w:keepNext/>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BD" w14:textId="77777777" w:rsidR="005227E6" w:rsidRPr="00912A5D" w:rsidRDefault="005227E6" w:rsidP="00345374">
            <w:pPr>
              <w:keepNext/>
              <w:rPr>
                <w:rFonts w:ascii="Times New Roman" w:hAnsi="Times New Roman"/>
                <w:sz w:val="22"/>
              </w:rPr>
            </w:pPr>
            <w:r w:rsidRPr="00912A5D">
              <w:rPr>
                <w:rFonts w:ascii="Times New Roman" w:hAnsi="Times New Roman"/>
                <w:sz w:val="22"/>
                <w:szCs w:val="22"/>
              </w:rPr>
              <w:t>Pleurakipu, keuhkofibroosi, keuhkohypertensio, keuhkoverenvuoto</w:t>
            </w:r>
          </w:p>
        </w:tc>
      </w:tr>
      <w:tr w:rsidR="003773BE" w:rsidRPr="00912A5D" w14:paraId="586FC0C1" w14:textId="77777777" w:rsidTr="00345374">
        <w:trPr>
          <w:cantSplit/>
        </w:trPr>
        <w:tc>
          <w:tcPr>
            <w:tcW w:w="2235" w:type="dxa"/>
          </w:tcPr>
          <w:p w14:paraId="586FC0BF" w14:textId="77777777" w:rsidR="003773BE" w:rsidRPr="00912A5D" w:rsidRDefault="003773BE">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0C0" w14:textId="77777777" w:rsidR="003773BE" w:rsidRPr="00912A5D" w:rsidRDefault="003773BE" w:rsidP="00901CDC">
            <w:pPr>
              <w:rPr>
                <w:rFonts w:ascii="Times New Roman" w:hAnsi="Times New Roman"/>
                <w:sz w:val="22"/>
                <w:szCs w:val="22"/>
              </w:rPr>
            </w:pPr>
            <w:r w:rsidRPr="003773BE">
              <w:rPr>
                <w:rFonts w:ascii="Times New Roman" w:hAnsi="Times New Roman"/>
                <w:sz w:val="22"/>
                <w:szCs w:val="22"/>
              </w:rPr>
              <w:t>Akuutti hengitysvajaus</w:t>
            </w:r>
            <w:r>
              <w:rPr>
                <w:rFonts w:ascii="Times New Roman" w:hAnsi="Times New Roman"/>
                <w:sz w:val="22"/>
                <w:szCs w:val="22"/>
                <w:vertAlign w:val="superscript"/>
              </w:rPr>
              <w:t>1</w:t>
            </w:r>
            <w:r w:rsidR="00901CDC">
              <w:rPr>
                <w:rFonts w:ascii="Times New Roman" w:hAnsi="Times New Roman"/>
                <w:sz w:val="22"/>
                <w:szCs w:val="22"/>
                <w:vertAlign w:val="superscript"/>
              </w:rPr>
              <w:t>1</w:t>
            </w:r>
            <w:r w:rsidRPr="003773BE">
              <w:rPr>
                <w:rFonts w:ascii="Times New Roman" w:hAnsi="Times New Roman"/>
                <w:sz w:val="22"/>
                <w:szCs w:val="22"/>
              </w:rPr>
              <w:t>*, interstitielli keuhkosairaus</w:t>
            </w:r>
            <w:r>
              <w:rPr>
                <w:rFonts w:ascii="Times New Roman" w:hAnsi="Times New Roman"/>
                <w:sz w:val="22"/>
                <w:szCs w:val="22"/>
              </w:rPr>
              <w:t>*</w:t>
            </w:r>
          </w:p>
        </w:tc>
      </w:tr>
      <w:tr w:rsidR="003773BE" w:rsidRPr="00912A5D" w14:paraId="586FC0C3" w14:textId="77777777" w:rsidTr="00345374">
        <w:trPr>
          <w:cantSplit/>
        </w:trPr>
        <w:tc>
          <w:tcPr>
            <w:tcW w:w="9322" w:type="dxa"/>
            <w:gridSpan w:val="2"/>
          </w:tcPr>
          <w:p w14:paraId="586FC0C2" w14:textId="77777777" w:rsidR="003773BE" w:rsidRPr="00B611CC" w:rsidRDefault="003773BE" w:rsidP="00345374">
            <w:pPr>
              <w:keepNext/>
              <w:widowControl w:val="0"/>
              <w:rPr>
                <w:rFonts w:ascii="Times New Roman" w:hAnsi="Times New Roman"/>
                <w:sz w:val="22"/>
                <w:lang w:val="fr-FR"/>
              </w:rPr>
            </w:pPr>
            <w:r w:rsidRPr="00B611CC">
              <w:rPr>
                <w:rFonts w:ascii="Times New Roman" w:hAnsi="Times New Roman"/>
                <w:b/>
                <w:sz w:val="22"/>
                <w:szCs w:val="22"/>
              </w:rPr>
              <w:t>Ruoansulatuselimistö</w:t>
            </w:r>
          </w:p>
        </w:tc>
      </w:tr>
      <w:tr w:rsidR="003773BE" w:rsidRPr="00912A5D" w14:paraId="586FC0C6" w14:textId="77777777" w:rsidTr="00345374">
        <w:trPr>
          <w:cantSplit/>
        </w:trPr>
        <w:tc>
          <w:tcPr>
            <w:tcW w:w="2235" w:type="dxa"/>
          </w:tcPr>
          <w:p w14:paraId="586FC0C4" w14:textId="77777777" w:rsidR="003773BE" w:rsidRPr="00912A5D" w:rsidRDefault="003773BE" w:rsidP="00345374">
            <w:pPr>
              <w:keepNext/>
              <w:widowControl w:val="0"/>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C5" w14:textId="77777777" w:rsidR="003773BE" w:rsidRPr="00912A5D" w:rsidRDefault="003773BE" w:rsidP="00345374">
            <w:pPr>
              <w:keepNext/>
              <w:widowControl w:val="0"/>
              <w:rPr>
                <w:rFonts w:ascii="Times New Roman" w:hAnsi="Times New Roman"/>
                <w:sz w:val="22"/>
              </w:rPr>
            </w:pPr>
            <w:r w:rsidRPr="00912A5D">
              <w:rPr>
                <w:rFonts w:ascii="Times New Roman" w:hAnsi="Times New Roman"/>
                <w:sz w:val="22"/>
                <w:szCs w:val="22"/>
              </w:rPr>
              <w:t>Pahoinvointi, ripuli, oksentelu, dyspepsia, vatsakipu</w:t>
            </w:r>
            <w:r>
              <w:rPr>
                <w:rFonts w:ascii="Times New Roman" w:hAnsi="Times New Roman"/>
                <w:sz w:val="22"/>
                <w:szCs w:val="22"/>
                <w:vertAlign w:val="superscript"/>
              </w:rPr>
              <w:t>6</w:t>
            </w:r>
          </w:p>
        </w:tc>
      </w:tr>
      <w:tr w:rsidR="003773BE" w:rsidRPr="00912A5D" w14:paraId="586FC0C9" w14:textId="77777777" w:rsidTr="00345374">
        <w:trPr>
          <w:cantSplit/>
        </w:trPr>
        <w:tc>
          <w:tcPr>
            <w:tcW w:w="2235" w:type="dxa"/>
          </w:tcPr>
          <w:p w14:paraId="586FC0C7" w14:textId="77777777" w:rsidR="003773BE" w:rsidRPr="00912A5D" w:rsidRDefault="003773BE" w:rsidP="00345374">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C8" w14:textId="77777777" w:rsidR="003773BE" w:rsidRPr="00912A5D" w:rsidRDefault="003773BE" w:rsidP="00345374">
            <w:pPr>
              <w:keepNext/>
              <w:widowControl w:val="0"/>
              <w:rPr>
                <w:rFonts w:ascii="Times New Roman" w:hAnsi="Times New Roman"/>
                <w:sz w:val="22"/>
              </w:rPr>
            </w:pPr>
            <w:r w:rsidRPr="00912A5D">
              <w:rPr>
                <w:rFonts w:ascii="Times New Roman" w:hAnsi="Times New Roman"/>
                <w:sz w:val="22"/>
                <w:szCs w:val="22"/>
              </w:rPr>
              <w:t>Ilmavaivat, vatsan pullotus, gastroesofageaalinen refluksi, ummetus, suun kuivuminen, gastriitti</w:t>
            </w:r>
          </w:p>
        </w:tc>
      </w:tr>
      <w:tr w:rsidR="003773BE" w:rsidRPr="00912A5D" w14:paraId="586FC0CC" w14:textId="77777777" w:rsidTr="00345374">
        <w:trPr>
          <w:cantSplit/>
        </w:trPr>
        <w:tc>
          <w:tcPr>
            <w:tcW w:w="2235" w:type="dxa"/>
          </w:tcPr>
          <w:p w14:paraId="586FC0CA" w14:textId="77777777" w:rsidR="003773BE" w:rsidRPr="00912A5D" w:rsidRDefault="003773BE" w:rsidP="00345374">
            <w:pPr>
              <w:keepNext/>
              <w:widowControl w:val="0"/>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CB" w14:textId="77777777" w:rsidR="003773BE" w:rsidRPr="00912A5D" w:rsidRDefault="003773BE" w:rsidP="00345374">
            <w:pPr>
              <w:keepNext/>
              <w:widowControl w:val="0"/>
              <w:rPr>
                <w:rFonts w:ascii="Times New Roman" w:hAnsi="Times New Roman"/>
                <w:sz w:val="22"/>
              </w:rPr>
            </w:pPr>
            <w:r w:rsidRPr="00912A5D">
              <w:rPr>
                <w:rFonts w:ascii="Times New Roman" w:hAnsi="Times New Roman"/>
                <w:sz w:val="22"/>
                <w:szCs w:val="22"/>
              </w:rPr>
              <w:t>Suutulehdus, suun haavaumat, ruoansulatuskanavan verenvuoto</w:t>
            </w:r>
            <w:r>
              <w:rPr>
                <w:rFonts w:ascii="Times New Roman" w:hAnsi="Times New Roman"/>
                <w:sz w:val="22"/>
                <w:szCs w:val="22"/>
                <w:vertAlign w:val="superscript"/>
              </w:rPr>
              <w:t>7</w:t>
            </w:r>
            <w:r w:rsidRPr="00912A5D">
              <w:rPr>
                <w:rFonts w:ascii="Times New Roman" w:hAnsi="Times New Roman"/>
                <w:sz w:val="22"/>
                <w:szCs w:val="22"/>
              </w:rPr>
              <w:t>, röyhtäily, veriripuli, ruokatorvitulehdus, askites, mahahaava, verioksennukset, huulitulehdus, nielemishäiriö, haimatulehdus</w:t>
            </w:r>
          </w:p>
        </w:tc>
      </w:tr>
      <w:tr w:rsidR="003773BE" w:rsidRPr="00912A5D" w14:paraId="586FC0CF" w14:textId="77777777" w:rsidTr="00345374">
        <w:trPr>
          <w:cantSplit/>
        </w:trPr>
        <w:tc>
          <w:tcPr>
            <w:tcW w:w="2235" w:type="dxa"/>
          </w:tcPr>
          <w:p w14:paraId="586FC0CD" w14:textId="77777777" w:rsidR="003773BE" w:rsidRPr="00912A5D" w:rsidRDefault="003773BE" w:rsidP="00345374">
            <w:pPr>
              <w:keepNext/>
              <w:widowControl w:val="0"/>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CE" w14:textId="77777777" w:rsidR="003773BE" w:rsidRPr="00912A5D" w:rsidRDefault="003773BE" w:rsidP="00345374">
            <w:pPr>
              <w:keepNext/>
              <w:widowControl w:val="0"/>
              <w:rPr>
                <w:rFonts w:ascii="Times New Roman" w:hAnsi="Times New Roman"/>
                <w:snapToGrid w:val="0"/>
                <w:sz w:val="22"/>
                <w:szCs w:val="22"/>
                <w:lang w:val="fr-FR"/>
              </w:rPr>
            </w:pPr>
            <w:r w:rsidRPr="00912A5D">
              <w:rPr>
                <w:rFonts w:ascii="Times New Roman" w:hAnsi="Times New Roman"/>
                <w:sz w:val="22"/>
                <w:szCs w:val="22"/>
              </w:rPr>
              <w:t xml:space="preserve">Koliitti, </w:t>
            </w:r>
            <w:r w:rsidRPr="00912A5D">
              <w:rPr>
                <w:rFonts w:ascii="Times New Roman" w:hAnsi="Times New Roman"/>
                <w:snapToGrid w:val="0"/>
                <w:sz w:val="22"/>
                <w:szCs w:val="22"/>
              </w:rPr>
              <w:t>ileus, tulehduksellinen suolistosairaus</w:t>
            </w:r>
          </w:p>
        </w:tc>
      </w:tr>
      <w:tr w:rsidR="003773BE" w:rsidRPr="00912A5D" w14:paraId="586FC0D2" w14:textId="77777777" w:rsidTr="00345374">
        <w:trPr>
          <w:cantSplit/>
        </w:trPr>
        <w:tc>
          <w:tcPr>
            <w:tcW w:w="2235" w:type="dxa"/>
          </w:tcPr>
          <w:p w14:paraId="586FC0D0" w14:textId="77777777" w:rsidR="003773BE" w:rsidRPr="00912A5D" w:rsidRDefault="003773BE">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0D1" w14:textId="77777777" w:rsidR="003773BE" w:rsidRPr="00912A5D" w:rsidRDefault="003773BE" w:rsidP="003773BE">
            <w:pPr>
              <w:rPr>
                <w:rFonts w:ascii="Times New Roman" w:hAnsi="Times New Roman"/>
                <w:sz w:val="22"/>
                <w:szCs w:val="22"/>
              </w:rPr>
            </w:pPr>
            <w:r w:rsidRPr="003773BE">
              <w:rPr>
                <w:rFonts w:ascii="Times New Roman" w:hAnsi="Times New Roman"/>
                <w:sz w:val="22"/>
                <w:szCs w:val="22"/>
              </w:rPr>
              <w:t>Ileus/suolentukkeuma</w:t>
            </w:r>
            <w:r w:rsidR="00E666CF">
              <w:rPr>
                <w:rFonts w:ascii="Times New Roman" w:hAnsi="Times New Roman"/>
                <w:sz w:val="22"/>
                <w:szCs w:val="22"/>
              </w:rPr>
              <w:t>*</w:t>
            </w:r>
            <w:r w:rsidRPr="003773BE">
              <w:rPr>
                <w:rFonts w:ascii="Times New Roman" w:hAnsi="Times New Roman"/>
                <w:sz w:val="22"/>
                <w:szCs w:val="22"/>
              </w:rPr>
              <w:t>, ruoansulatuskanavan perforaatio</w:t>
            </w:r>
            <w:r>
              <w:rPr>
                <w:rFonts w:ascii="Times New Roman" w:hAnsi="Times New Roman"/>
                <w:sz w:val="22"/>
                <w:szCs w:val="22"/>
              </w:rPr>
              <w:t>*</w:t>
            </w:r>
            <w:r w:rsidRPr="003773BE">
              <w:rPr>
                <w:rFonts w:ascii="Times New Roman" w:hAnsi="Times New Roman"/>
                <w:sz w:val="22"/>
                <w:szCs w:val="22"/>
              </w:rPr>
              <w:t>, divertikuliitti</w:t>
            </w:r>
            <w:r>
              <w:rPr>
                <w:rFonts w:ascii="Times New Roman" w:hAnsi="Times New Roman"/>
                <w:sz w:val="22"/>
                <w:szCs w:val="22"/>
              </w:rPr>
              <w:t xml:space="preserve">*, </w:t>
            </w:r>
            <w:r w:rsidRPr="003773BE">
              <w:rPr>
                <w:rFonts w:ascii="Times New Roman" w:hAnsi="Times New Roman"/>
                <w:sz w:val="22"/>
                <w:szCs w:val="22"/>
              </w:rPr>
              <w:t>mahalaukun antraali</w:t>
            </w:r>
            <w:r>
              <w:rPr>
                <w:rFonts w:ascii="Times New Roman" w:hAnsi="Times New Roman"/>
                <w:sz w:val="22"/>
                <w:szCs w:val="22"/>
              </w:rPr>
              <w:t>nen</w:t>
            </w:r>
            <w:r w:rsidRPr="003773BE">
              <w:rPr>
                <w:rFonts w:ascii="Times New Roman" w:hAnsi="Times New Roman"/>
                <w:sz w:val="22"/>
                <w:szCs w:val="22"/>
              </w:rPr>
              <w:t xml:space="preserve"> vaskulaari</w:t>
            </w:r>
            <w:r>
              <w:rPr>
                <w:rFonts w:ascii="Times New Roman" w:hAnsi="Times New Roman"/>
                <w:sz w:val="22"/>
                <w:szCs w:val="22"/>
              </w:rPr>
              <w:t>nen</w:t>
            </w:r>
            <w:r w:rsidRPr="003773BE">
              <w:rPr>
                <w:rFonts w:ascii="Times New Roman" w:hAnsi="Times New Roman"/>
                <w:sz w:val="22"/>
                <w:szCs w:val="22"/>
              </w:rPr>
              <w:t xml:space="preserve"> ektasia</w:t>
            </w:r>
            <w:r>
              <w:rPr>
                <w:rFonts w:ascii="Times New Roman" w:hAnsi="Times New Roman"/>
                <w:sz w:val="22"/>
                <w:szCs w:val="22"/>
              </w:rPr>
              <w:t xml:space="preserve"> (GAVE)*</w:t>
            </w:r>
          </w:p>
        </w:tc>
      </w:tr>
      <w:tr w:rsidR="003773BE" w:rsidRPr="00912A5D" w14:paraId="586FC0D4" w14:textId="77777777" w:rsidTr="00345374">
        <w:trPr>
          <w:cantSplit/>
        </w:trPr>
        <w:tc>
          <w:tcPr>
            <w:tcW w:w="9322" w:type="dxa"/>
            <w:gridSpan w:val="2"/>
          </w:tcPr>
          <w:p w14:paraId="586FC0D3" w14:textId="77777777" w:rsidR="003773BE" w:rsidRPr="00B611CC" w:rsidRDefault="003773BE" w:rsidP="00345374">
            <w:pPr>
              <w:keepNext/>
              <w:widowControl w:val="0"/>
              <w:rPr>
                <w:rFonts w:ascii="Times New Roman" w:hAnsi="Times New Roman"/>
                <w:snapToGrid w:val="0"/>
                <w:sz w:val="22"/>
                <w:szCs w:val="22"/>
                <w:lang w:val="fr-FR"/>
              </w:rPr>
            </w:pPr>
            <w:r w:rsidRPr="00B611CC">
              <w:rPr>
                <w:rFonts w:ascii="Times New Roman" w:hAnsi="Times New Roman"/>
                <w:b/>
                <w:sz w:val="22"/>
                <w:szCs w:val="22"/>
              </w:rPr>
              <w:t>Maksa ja sappi</w:t>
            </w:r>
          </w:p>
        </w:tc>
      </w:tr>
      <w:tr w:rsidR="003773BE" w:rsidRPr="00912A5D" w14:paraId="586FC0D7" w14:textId="77777777" w:rsidTr="00345374">
        <w:trPr>
          <w:cantSplit/>
        </w:trPr>
        <w:tc>
          <w:tcPr>
            <w:tcW w:w="2235" w:type="dxa"/>
          </w:tcPr>
          <w:p w14:paraId="586FC0D5" w14:textId="77777777" w:rsidR="003773BE" w:rsidRPr="00912A5D" w:rsidRDefault="003773BE" w:rsidP="00345374">
            <w:pPr>
              <w:keepNext/>
              <w:widowControl w:val="0"/>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D6" w14:textId="77777777" w:rsidR="003773BE" w:rsidRPr="00912A5D" w:rsidRDefault="003773BE" w:rsidP="00345374">
            <w:pPr>
              <w:keepNext/>
              <w:widowControl w:val="0"/>
              <w:rPr>
                <w:rFonts w:ascii="Times New Roman" w:hAnsi="Times New Roman"/>
                <w:sz w:val="22"/>
                <w:szCs w:val="22"/>
              </w:rPr>
            </w:pPr>
            <w:r w:rsidRPr="00912A5D">
              <w:rPr>
                <w:rFonts w:ascii="Times New Roman" w:hAnsi="Times New Roman"/>
                <w:sz w:val="22"/>
                <w:szCs w:val="22"/>
              </w:rPr>
              <w:t>Kohonneet maksaentsyymiarvot</w:t>
            </w:r>
          </w:p>
        </w:tc>
      </w:tr>
      <w:tr w:rsidR="003773BE" w:rsidRPr="00912A5D" w14:paraId="586FC0DA" w14:textId="77777777" w:rsidTr="00345374">
        <w:trPr>
          <w:cantSplit/>
        </w:trPr>
        <w:tc>
          <w:tcPr>
            <w:tcW w:w="2235" w:type="dxa"/>
          </w:tcPr>
          <w:p w14:paraId="586FC0D8" w14:textId="77777777" w:rsidR="003773BE" w:rsidRPr="00912A5D" w:rsidRDefault="003773BE" w:rsidP="00345374">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D9" w14:textId="77777777" w:rsidR="003773BE" w:rsidRPr="00912A5D" w:rsidRDefault="003773BE" w:rsidP="00345374">
            <w:pPr>
              <w:keepNext/>
              <w:widowControl w:val="0"/>
              <w:rPr>
                <w:rFonts w:ascii="Times New Roman" w:hAnsi="Times New Roman"/>
                <w:sz w:val="22"/>
                <w:szCs w:val="22"/>
              </w:rPr>
            </w:pPr>
            <w:r w:rsidRPr="00912A5D">
              <w:rPr>
                <w:rFonts w:ascii="Times New Roman" w:hAnsi="Times New Roman"/>
                <w:sz w:val="22"/>
                <w:szCs w:val="22"/>
              </w:rPr>
              <w:t>Hyperbilirubinemia, hepatiitti, ikterus</w:t>
            </w:r>
          </w:p>
        </w:tc>
      </w:tr>
      <w:tr w:rsidR="003773BE" w:rsidRPr="00912A5D" w14:paraId="586FC0DD" w14:textId="77777777" w:rsidTr="00345374">
        <w:trPr>
          <w:cantSplit/>
        </w:trPr>
        <w:tc>
          <w:tcPr>
            <w:tcW w:w="2235" w:type="dxa"/>
          </w:tcPr>
          <w:p w14:paraId="586FC0DB" w14:textId="77777777" w:rsidR="003773BE" w:rsidRPr="00912A5D" w:rsidRDefault="003773BE" w:rsidP="00904F1A">
            <w:pPr>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DC" w14:textId="77777777" w:rsidR="003773BE" w:rsidRPr="00912A5D" w:rsidRDefault="003773BE" w:rsidP="00904F1A">
            <w:pPr>
              <w:rPr>
                <w:rFonts w:ascii="Times New Roman" w:hAnsi="Times New Roman"/>
                <w:sz w:val="22"/>
                <w:szCs w:val="22"/>
              </w:rPr>
            </w:pPr>
            <w:r w:rsidRPr="00912A5D">
              <w:rPr>
                <w:rFonts w:ascii="Times New Roman" w:hAnsi="Times New Roman"/>
                <w:sz w:val="22"/>
                <w:szCs w:val="22"/>
              </w:rPr>
              <w:t>Maksan vajaatoiminta</w:t>
            </w:r>
            <w:r w:rsidRPr="00D96BC6">
              <w:rPr>
                <w:rFonts w:ascii="Times New Roman" w:hAnsi="Times New Roman"/>
                <w:sz w:val="22"/>
                <w:szCs w:val="22"/>
                <w:vertAlign w:val="superscript"/>
              </w:rPr>
              <w:t>8</w:t>
            </w:r>
            <w:r w:rsidRPr="00912A5D">
              <w:rPr>
                <w:rFonts w:ascii="Times New Roman" w:hAnsi="Times New Roman"/>
                <w:sz w:val="22"/>
                <w:szCs w:val="22"/>
              </w:rPr>
              <w:t>, maksanekroosi</w:t>
            </w:r>
          </w:p>
        </w:tc>
      </w:tr>
      <w:tr w:rsidR="003773BE" w:rsidRPr="00912A5D" w14:paraId="586FC0DF" w14:textId="77777777" w:rsidTr="00345374">
        <w:trPr>
          <w:cantSplit/>
        </w:trPr>
        <w:tc>
          <w:tcPr>
            <w:tcW w:w="9322" w:type="dxa"/>
            <w:gridSpan w:val="2"/>
          </w:tcPr>
          <w:p w14:paraId="586FC0DE" w14:textId="77777777" w:rsidR="003773BE" w:rsidRPr="00B611CC" w:rsidRDefault="003773BE" w:rsidP="00345374">
            <w:pPr>
              <w:keepNext/>
              <w:widowControl w:val="0"/>
              <w:rPr>
                <w:rFonts w:ascii="Times New Roman" w:hAnsi="Times New Roman"/>
                <w:sz w:val="22"/>
              </w:rPr>
            </w:pPr>
            <w:r w:rsidRPr="00B611CC">
              <w:rPr>
                <w:rFonts w:ascii="Times New Roman" w:hAnsi="Times New Roman"/>
                <w:b/>
                <w:sz w:val="22"/>
                <w:szCs w:val="22"/>
              </w:rPr>
              <w:t>Iho ja ihonalainen kudos</w:t>
            </w:r>
          </w:p>
        </w:tc>
      </w:tr>
      <w:tr w:rsidR="003773BE" w:rsidRPr="00912A5D" w14:paraId="586FC0E2" w14:textId="77777777" w:rsidTr="00345374">
        <w:trPr>
          <w:cantSplit/>
        </w:trPr>
        <w:tc>
          <w:tcPr>
            <w:tcW w:w="2235" w:type="dxa"/>
          </w:tcPr>
          <w:p w14:paraId="586FC0E0" w14:textId="77777777" w:rsidR="003773BE" w:rsidRPr="00912A5D" w:rsidRDefault="003773BE" w:rsidP="00345374">
            <w:pPr>
              <w:keepNext/>
              <w:widowControl w:val="0"/>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E1" w14:textId="77777777" w:rsidR="003773BE" w:rsidRPr="00912A5D" w:rsidRDefault="003773BE" w:rsidP="00345374">
            <w:pPr>
              <w:keepNext/>
              <w:widowControl w:val="0"/>
              <w:rPr>
                <w:rFonts w:ascii="Times New Roman" w:hAnsi="Times New Roman"/>
                <w:sz w:val="22"/>
              </w:rPr>
            </w:pPr>
            <w:r w:rsidRPr="00912A5D">
              <w:rPr>
                <w:rFonts w:ascii="Times New Roman" w:hAnsi="Times New Roman"/>
                <w:sz w:val="22"/>
                <w:szCs w:val="22"/>
                <w:lang w:val="pt-PT"/>
              </w:rPr>
              <w:t>Turvotus silmäkuopan ympärillä, ihotulehdus/ekseema/ihottuma</w:t>
            </w:r>
          </w:p>
        </w:tc>
      </w:tr>
      <w:tr w:rsidR="003773BE" w:rsidRPr="00912A5D" w14:paraId="586FC0E5" w14:textId="77777777" w:rsidTr="00345374">
        <w:trPr>
          <w:cantSplit/>
        </w:trPr>
        <w:tc>
          <w:tcPr>
            <w:tcW w:w="2235" w:type="dxa"/>
          </w:tcPr>
          <w:p w14:paraId="586FC0E3" w14:textId="77777777" w:rsidR="003773BE" w:rsidRPr="00912A5D" w:rsidRDefault="003773BE" w:rsidP="00345374">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E4" w14:textId="77777777" w:rsidR="003773BE" w:rsidRPr="00912A5D" w:rsidRDefault="003773BE" w:rsidP="00345374">
            <w:pPr>
              <w:keepNext/>
              <w:widowControl w:val="0"/>
              <w:rPr>
                <w:rFonts w:ascii="Times New Roman" w:hAnsi="Times New Roman"/>
                <w:sz w:val="22"/>
              </w:rPr>
            </w:pPr>
            <w:r w:rsidRPr="00912A5D">
              <w:rPr>
                <w:rFonts w:ascii="Times New Roman" w:hAnsi="Times New Roman"/>
                <w:sz w:val="22"/>
                <w:szCs w:val="22"/>
              </w:rPr>
              <w:t>Kutina, kasvojen turvotus, ihon kuivuminen, punoitus, hiustenlähtö, yöhikoilu, valoherkkyysreaktiot</w:t>
            </w:r>
          </w:p>
        </w:tc>
      </w:tr>
      <w:tr w:rsidR="003773BE" w:rsidRPr="00912A5D" w14:paraId="586FC0E8" w14:textId="77777777" w:rsidTr="00345374">
        <w:trPr>
          <w:cantSplit/>
        </w:trPr>
        <w:tc>
          <w:tcPr>
            <w:tcW w:w="2235" w:type="dxa"/>
          </w:tcPr>
          <w:p w14:paraId="586FC0E6" w14:textId="77777777" w:rsidR="003773BE" w:rsidRPr="00912A5D" w:rsidRDefault="003773BE" w:rsidP="00345374">
            <w:pPr>
              <w:keepNext/>
              <w:widowControl w:val="0"/>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E7" w14:textId="77777777" w:rsidR="003773BE" w:rsidRPr="00912A5D" w:rsidRDefault="003773BE" w:rsidP="00345374">
            <w:pPr>
              <w:keepNext/>
              <w:widowControl w:val="0"/>
              <w:rPr>
                <w:rFonts w:ascii="Times New Roman" w:hAnsi="Times New Roman"/>
                <w:sz w:val="22"/>
                <w:szCs w:val="22"/>
                <w:lang w:val="pt-PT"/>
              </w:rPr>
            </w:pPr>
            <w:r w:rsidRPr="00912A5D">
              <w:rPr>
                <w:rFonts w:ascii="Times New Roman" w:hAnsi="Times New Roman"/>
                <w:sz w:val="22"/>
                <w:szCs w:val="22"/>
                <w:lang w:val="pt-PT"/>
              </w:rPr>
              <w:t>Märkärakkulainen ihottuma, ruhjeet, lisääntynyt hikoilu, nokkosihottuma, mustelmat, tavallista suurempi alttius mustelmille, niukka karvaisuus, ihon hypopigmentaatio, eksfoliatiivinen dermatiitti, kynsien murtuminen, follikuliitti, petekiat, psoriaasi, purppura, ihon hyperpigmentaatio, rakkulaiset ihomuutokset</w:t>
            </w:r>
          </w:p>
        </w:tc>
      </w:tr>
      <w:tr w:rsidR="003773BE" w:rsidRPr="00912A5D" w14:paraId="586FC0EB" w14:textId="77777777" w:rsidTr="00345374">
        <w:trPr>
          <w:cantSplit/>
        </w:trPr>
        <w:tc>
          <w:tcPr>
            <w:tcW w:w="2235" w:type="dxa"/>
          </w:tcPr>
          <w:p w14:paraId="586FC0E9" w14:textId="77777777" w:rsidR="003773BE" w:rsidRPr="00912A5D" w:rsidRDefault="003773BE" w:rsidP="00345374">
            <w:pPr>
              <w:keepNext/>
              <w:widowControl w:val="0"/>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EA" w14:textId="77777777" w:rsidR="003773BE" w:rsidRPr="00912A5D" w:rsidRDefault="003773BE" w:rsidP="00345374">
            <w:pPr>
              <w:keepNext/>
              <w:widowControl w:val="0"/>
              <w:rPr>
                <w:rFonts w:ascii="Times New Roman" w:hAnsi="Times New Roman"/>
                <w:sz w:val="22"/>
                <w:lang w:val="pt-PT"/>
              </w:rPr>
            </w:pPr>
            <w:r w:rsidRPr="00912A5D">
              <w:rPr>
                <w:rFonts w:ascii="Times New Roman" w:hAnsi="Times New Roman"/>
                <w:sz w:val="22"/>
                <w:szCs w:val="22"/>
                <w:lang w:val="pt-PT"/>
              </w:rPr>
              <w:t>Akuutti kuumeinen neutrofiilinen dermatoosi (Sweetin oireyhtymä), kynsien värimuutokset, angioödeema, vesirakkulainen ihottuma, erythema multiforme, leukosytoklastinen vaskuliitti, Stevens-Johnsonin oireyhtymä</w:t>
            </w:r>
            <w:r>
              <w:rPr>
                <w:rFonts w:ascii="Times New Roman" w:hAnsi="Times New Roman"/>
                <w:sz w:val="22"/>
                <w:szCs w:val="22"/>
                <w:lang w:val="pt-PT"/>
              </w:rPr>
              <w:t>, akuutti yleistynyt eksanteemainen pustuloosi</w:t>
            </w:r>
            <w:r w:rsidRPr="00912A5D">
              <w:rPr>
                <w:rFonts w:ascii="Times New Roman" w:hAnsi="Times New Roman"/>
                <w:sz w:val="22"/>
                <w:szCs w:val="22"/>
                <w:lang w:val="pt-PT"/>
              </w:rPr>
              <w:t xml:space="preserve"> ihottuma</w:t>
            </w:r>
            <w:r>
              <w:rPr>
                <w:rFonts w:ascii="Times New Roman" w:hAnsi="Times New Roman"/>
                <w:sz w:val="22"/>
                <w:szCs w:val="22"/>
                <w:lang w:val="pt-PT"/>
              </w:rPr>
              <w:t xml:space="preserve"> (AGEP)</w:t>
            </w:r>
          </w:p>
        </w:tc>
      </w:tr>
      <w:tr w:rsidR="00DC4D3D" w:rsidRPr="00912A5D" w14:paraId="586FC0EE" w14:textId="77777777" w:rsidTr="00345374">
        <w:trPr>
          <w:cantSplit/>
        </w:trPr>
        <w:tc>
          <w:tcPr>
            <w:tcW w:w="2235" w:type="dxa"/>
          </w:tcPr>
          <w:p w14:paraId="586FC0EC" w14:textId="77777777" w:rsidR="00DC4D3D" w:rsidRPr="00912A5D" w:rsidRDefault="00DC4D3D">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0ED" w14:textId="77777777" w:rsidR="00DC4D3D" w:rsidRPr="00912A5D" w:rsidRDefault="00DC4D3D" w:rsidP="00F5480C">
            <w:pPr>
              <w:rPr>
                <w:rFonts w:ascii="Times New Roman" w:hAnsi="Times New Roman"/>
                <w:sz w:val="22"/>
                <w:szCs w:val="22"/>
                <w:lang w:val="pt-PT"/>
              </w:rPr>
            </w:pPr>
            <w:r w:rsidRPr="00DC4D3D">
              <w:rPr>
                <w:rFonts w:ascii="Times New Roman" w:hAnsi="Times New Roman"/>
                <w:sz w:val="22"/>
                <w:szCs w:val="22"/>
                <w:lang w:val="pt-PT"/>
              </w:rPr>
              <w:t>Palmoplantaarinen erytrodysestesiaoireyhtymä</w:t>
            </w:r>
            <w:r>
              <w:rPr>
                <w:rFonts w:ascii="Times New Roman" w:hAnsi="Times New Roman"/>
                <w:sz w:val="22"/>
                <w:szCs w:val="22"/>
                <w:lang w:val="pt-PT"/>
              </w:rPr>
              <w:t>*, l</w:t>
            </w:r>
            <w:r w:rsidRPr="00DC4D3D">
              <w:rPr>
                <w:rFonts w:ascii="Times New Roman" w:hAnsi="Times New Roman"/>
                <w:sz w:val="22"/>
                <w:szCs w:val="22"/>
                <w:lang w:val="pt-PT"/>
              </w:rPr>
              <w:t>ikenoidinen keratoosi</w:t>
            </w:r>
            <w:r>
              <w:rPr>
                <w:rFonts w:ascii="Times New Roman" w:hAnsi="Times New Roman"/>
                <w:sz w:val="22"/>
                <w:szCs w:val="22"/>
                <w:lang w:val="pt-PT"/>
              </w:rPr>
              <w:t>*</w:t>
            </w:r>
            <w:r w:rsidRPr="00DC4D3D">
              <w:rPr>
                <w:rFonts w:ascii="Times New Roman" w:hAnsi="Times New Roman"/>
                <w:sz w:val="22"/>
                <w:szCs w:val="22"/>
                <w:lang w:val="pt-PT"/>
              </w:rPr>
              <w:t>, punajäkälä</w:t>
            </w:r>
            <w:r>
              <w:rPr>
                <w:rFonts w:ascii="Times New Roman" w:hAnsi="Times New Roman"/>
                <w:sz w:val="22"/>
                <w:szCs w:val="22"/>
                <w:lang w:val="pt-PT"/>
              </w:rPr>
              <w:t>*, t</w:t>
            </w:r>
            <w:r w:rsidRPr="00DC4D3D">
              <w:rPr>
                <w:rFonts w:ascii="Times New Roman" w:hAnsi="Times New Roman"/>
                <w:sz w:val="22"/>
                <w:szCs w:val="22"/>
                <w:lang w:val="pt-PT"/>
              </w:rPr>
              <w:t>oksinen epidermaalinen nekrolyysi</w:t>
            </w:r>
            <w:r>
              <w:rPr>
                <w:rFonts w:ascii="Times New Roman" w:hAnsi="Times New Roman"/>
                <w:sz w:val="22"/>
                <w:szCs w:val="22"/>
                <w:lang w:val="pt-PT"/>
              </w:rPr>
              <w:t>*, l</w:t>
            </w:r>
            <w:r w:rsidRPr="00DC4D3D">
              <w:rPr>
                <w:rFonts w:ascii="Times New Roman" w:hAnsi="Times New Roman"/>
                <w:sz w:val="22"/>
                <w:szCs w:val="22"/>
                <w:lang w:val="pt-PT"/>
              </w:rPr>
              <w:t>ääkeihottuma, johon liittyy eosinofilia ja systeemisiä oireita (DRESS)</w:t>
            </w:r>
            <w:r>
              <w:rPr>
                <w:rFonts w:ascii="Times New Roman" w:hAnsi="Times New Roman"/>
                <w:sz w:val="22"/>
                <w:szCs w:val="22"/>
                <w:lang w:val="pt-PT"/>
              </w:rPr>
              <w:t>*</w:t>
            </w:r>
            <w:r w:rsidR="00F5480C">
              <w:rPr>
                <w:rFonts w:ascii="Times New Roman" w:hAnsi="Times New Roman"/>
                <w:sz w:val="22"/>
                <w:szCs w:val="22"/>
                <w:lang w:val="pt-PT"/>
              </w:rPr>
              <w:t xml:space="preserve">, </w:t>
            </w:r>
            <w:r w:rsidR="00F5480C" w:rsidRPr="00F5480C">
              <w:rPr>
                <w:rFonts w:ascii="Times New Roman" w:hAnsi="Times New Roman"/>
                <w:sz w:val="22"/>
                <w:szCs w:val="22"/>
                <w:lang w:val="pt-PT"/>
              </w:rPr>
              <w:t>pseudopor</w:t>
            </w:r>
            <w:r w:rsidR="00F5480C">
              <w:rPr>
                <w:rFonts w:ascii="Times New Roman" w:hAnsi="Times New Roman"/>
                <w:sz w:val="22"/>
                <w:szCs w:val="22"/>
                <w:lang w:val="pt-PT"/>
              </w:rPr>
              <w:t>f</w:t>
            </w:r>
            <w:r w:rsidR="00F5480C" w:rsidRPr="00F5480C">
              <w:rPr>
                <w:rFonts w:ascii="Times New Roman" w:hAnsi="Times New Roman"/>
                <w:sz w:val="22"/>
                <w:szCs w:val="22"/>
                <w:lang w:val="pt-PT"/>
              </w:rPr>
              <w:t>yria*</w:t>
            </w:r>
          </w:p>
        </w:tc>
      </w:tr>
      <w:tr w:rsidR="00DC4D3D" w:rsidRPr="00912A5D" w14:paraId="586FC0F0" w14:textId="77777777" w:rsidTr="00345374">
        <w:trPr>
          <w:cantSplit/>
        </w:trPr>
        <w:tc>
          <w:tcPr>
            <w:tcW w:w="9322" w:type="dxa"/>
            <w:gridSpan w:val="2"/>
          </w:tcPr>
          <w:p w14:paraId="586FC0EF" w14:textId="77777777" w:rsidR="00DC4D3D" w:rsidRPr="00B611CC" w:rsidRDefault="00DC4D3D" w:rsidP="00345374">
            <w:pPr>
              <w:keepNext/>
              <w:widowControl w:val="0"/>
              <w:rPr>
                <w:rFonts w:ascii="Times New Roman" w:hAnsi="Times New Roman"/>
                <w:sz w:val="22"/>
                <w:szCs w:val="22"/>
                <w:lang w:val="pt-PT"/>
              </w:rPr>
            </w:pPr>
            <w:r w:rsidRPr="00B611CC">
              <w:rPr>
                <w:rFonts w:ascii="Times New Roman" w:hAnsi="Times New Roman"/>
                <w:b/>
                <w:sz w:val="22"/>
                <w:szCs w:val="22"/>
              </w:rPr>
              <w:t>Luusto, lihakset ja sidekudos</w:t>
            </w:r>
          </w:p>
        </w:tc>
      </w:tr>
      <w:tr w:rsidR="00DC4D3D" w:rsidRPr="00912A5D" w14:paraId="586FC0F3" w14:textId="77777777" w:rsidTr="00345374">
        <w:trPr>
          <w:cantSplit/>
        </w:trPr>
        <w:tc>
          <w:tcPr>
            <w:tcW w:w="2235" w:type="dxa"/>
          </w:tcPr>
          <w:p w14:paraId="586FC0F1" w14:textId="77777777" w:rsidR="00DC4D3D" w:rsidRPr="00912A5D" w:rsidRDefault="00DC4D3D" w:rsidP="00345374">
            <w:pPr>
              <w:keepNext/>
              <w:widowControl w:val="0"/>
              <w:rPr>
                <w:rFonts w:ascii="Times New Roman" w:hAnsi="Times New Roman"/>
                <w:i/>
                <w:sz w:val="22"/>
                <w:szCs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F2" w14:textId="77777777" w:rsidR="00DC4D3D" w:rsidRPr="00912A5D" w:rsidRDefault="00DC4D3D" w:rsidP="00345374">
            <w:pPr>
              <w:keepNext/>
              <w:widowControl w:val="0"/>
              <w:rPr>
                <w:rFonts w:ascii="Times New Roman" w:hAnsi="Times New Roman"/>
                <w:sz w:val="22"/>
                <w:szCs w:val="22"/>
                <w:lang w:val="pt-PT"/>
              </w:rPr>
            </w:pPr>
            <w:r w:rsidRPr="00912A5D">
              <w:rPr>
                <w:rFonts w:ascii="Times New Roman" w:hAnsi="Times New Roman"/>
                <w:sz w:val="22"/>
                <w:szCs w:val="22"/>
              </w:rPr>
              <w:t>Lihasspasmit ja -krampit, luusto- ja lihaskipu (mm. lihaskipu</w:t>
            </w:r>
            <w:r w:rsidR="00901CDC" w:rsidRPr="008A5B9A">
              <w:rPr>
                <w:rFonts w:ascii="Times New Roman" w:hAnsi="Times New Roman"/>
                <w:sz w:val="22"/>
                <w:szCs w:val="22"/>
                <w:vertAlign w:val="superscript"/>
              </w:rPr>
              <w:t>9</w:t>
            </w:r>
            <w:r w:rsidRPr="00912A5D">
              <w:rPr>
                <w:rFonts w:ascii="Times New Roman" w:hAnsi="Times New Roman"/>
                <w:sz w:val="22"/>
                <w:szCs w:val="22"/>
              </w:rPr>
              <w:t>, nivelkipu, luukipu</w:t>
            </w:r>
            <w:r w:rsidR="00545D68" w:rsidRPr="008A5B9A">
              <w:rPr>
                <w:rFonts w:ascii="Times New Roman" w:hAnsi="Times New Roman"/>
                <w:sz w:val="22"/>
                <w:szCs w:val="22"/>
                <w:vertAlign w:val="superscript"/>
              </w:rPr>
              <w:t>10</w:t>
            </w:r>
            <w:r w:rsidRPr="00912A5D">
              <w:rPr>
                <w:rFonts w:ascii="Times New Roman" w:hAnsi="Times New Roman"/>
                <w:sz w:val="22"/>
                <w:szCs w:val="22"/>
              </w:rPr>
              <w:t>)</w:t>
            </w:r>
          </w:p>
        </w:tc>
      </w:tr>
      <w:tr w:rsidR="00DC4D3D" w:rsidRPr="00912A5D" w14:paraId="586FC0F6" w14:textId="77777777" w:rsidTr="00345374">
        <w:trPr>
          <w:cantSplit/>
        </w:trPr>
        <w:tc>
          <w:tcPr>
            <w:tcW w:w="2235" w:type="dxa"/>
          </w:tcPr>
          <w:p w14:paraId="586FC0F4" w14:textId="77777777" w:rsidR="00DC4D3D" w:rsidRPr="00912A5D" w:rsidRDefault="00DC4D3D" w:rsidP="00345374">
            <w:pPr>
              <w:keepNext/>
              <w:widowControl w:val="0"/>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F5" w14:textId="77777777" w:rsidR="00DC4D3D" w:rsidRPr="00912A5D" w:rsidRDefault="00DC4D3D" w:rsidP="00345374">
            <w:pPr>
              <w:keepNext/>
              <w:widowControl w:val="0"/>
              <w:rPr>
                <w:rFonts w:ascii="Times New Roman" w:hAnsi="Times New Roman"/>
                <w:sz w:val="22"/>
                <w:szCs w:val="22"/>
                <w:lang w:val="pt-PT"/>
              </w:rPr>
            </w:pPr>
            <w:r w:rsidRPr="00912A5D">
              <w:rPr>
                <w:rFonts w:ascii="Times New Roman" w:hAnsi="Times New Roman"/>
                <w:sz w:val="22"/>
                <w:szCs w:val="22"/>
              </w:rPr>
              <w:t>Nivelten turvotus</w:t>
            </w:r>
          </w:p>
        </w:tc>
      </w:tr>
      <w:tr w:rsidR="00DC4D3D" w:rsidRPr="00912A5D" w14:paraId="586FC0F9" w14:textId="77777777" w:rsidTr="00345374">
        <w:trPr>
          <w:cantSplit/>
        </w:trPr>
        <w:tc>
          <w:tcPr>
            <w:tcW w:w="2235" w:type="dxa"/>
          </w:tcPr>
          <w:p w14:paraId="586FC0F7" w14:textId="77777777" w:rsidR="00DC4D3D" w:rsidRPr="00912A5D" w:rsidRDefault="00DC4D3D" w:rsidP="00345374">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F8" w14:textId="77777777" w:rsidR="00DC4D3D" w:rsidRPr="00912A5D" w:rsidRDefault="00DC4D3D" w:rsidP="00345374">
            <w:pPr>
              <w:keepNext/>
              <w:widowControl w:val="0"/>
              <w:rPr>
                <w:rFonts w:ascii="Times New Roman" w:hAnsi="Times New Roman"/>
                <w:sz w:val="22"/>
                <w:szCs w:val="22"/>
                <w:lang w:val="pt-PT"/>
              </w:rPr>
            </w:pPr>
            <w:r w:rsidRPr="00912A5D">
              <w:rPr>
                <w:rFonts w:ascii="Times New Roman" w:hAnsi="Times New Roman"/>
                <w:sz w:val="22"/>
                <w:szCs w:val="22"/>
              </w:rPr>
              <w:t>Nivelten ja lihasten jäykkyys</w:t>
            </w:r>
          </w:p>
        </w:tc>
      </w:tr>
      <w:tr w:rsidR="00DC4D3D" w:rsidRPr="00912A5D" w14:paraId="586FC0FC" w14:textId="77777777" w:rsidTr="00345374">
        <w:trPr>
          <w:cantSplit/>
        </w:trPr>
        <w:tc>
          <w:tcPr>
            <w:tcW w:w="2235" w:type="dxa"/>
          </w:tcPr>
          <w:p w14:paraId="586FC0FA" w14:textId="77777777" w:rsidR="00DC4D3D" w:rsidRPr="00912A5D" w:rsidRDefault="00DC4D3D" w:rsidP="00345374">
            <w:pPr>
              <w:keepNext/>
              <w:widowControl w:val="0"/>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0FB" w14:textId="77777777" w:rsidR="00DC4D3D" w:rsidRPr="00912A5D" w:rsidRDefault="00DC4D3D" w:rsidP="00345374">
            <w:pPr>
              <w:keepNext/>
              <w:widowControl w:val="0"/>
              <w:rPr>
                <w:rFonts w:ascii="Times New Roman" w:hAnsi="Times New Roman"/>
                <w:sz w:val="22"/>
                <w:szCs w:val="22"/>
                <w:lang w:val="pt-PT"/>
              </w:rPr>
            </w:pPr>
            <w:r w:rsidRPr="00912A5D">
              <w:rPr>
                <w:rFonts w:ascii="Times New Roman" w:hAnsi="Times New Roman"/>
                <w:bCs/>
                <w:sz w:val="22"/>
                <w:szCs w:val="22"/>
              </w:rPr>
              <w:t>Lihasheikkous, niveltulehdus</w:t>
            </w:r>
            <w:r>
              <w:rPr>
                <w:rFonts w:ascii="Times New Roman" w:hAnsi="Times New Roman"/>
                <w:bCs/>
                <w:sz w:val="22"/>
                <w:szCs w:val="22"/>
              </w:rPr>
              <w:t>, rabdomyolyysi/myopatia</w:t>
            </w:r>
          </w:p>
        </w:tc>
      </w:tr>
      <w:tr w:rsidR="00B078CE" w:rsidRPr="00912A5D" w14:paraId="586FC0FF" w14:textId="77777777" w:rsidTr="00345374">
        <w:trPr>
          <w:cantSplit/>
        </w:trPr>
        <w:tc>
          <w:tcPr>
            <w:tcW w:w="2235" w:type="dxa"/>
          </w:tcPr>
          <w:p w14:paraId="586FC0FD" w14:textId="77777777" w:rsidR="00B078CE" w:rsidRPr="00912A5D" w:rsidRDefault="00B078CE">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0FE" w14:textId="77777777" w:rsidR="00B078CE" w:rsidRPr="00912A5D" w:rsidRDefault="00B078CE" w:rsidP="005E6202">
            <w:pPr>
              <w:rPr>
                <w:rFonts w:ascii="Times New Roman" w:hAnsi="Times New Roman"/>
                <w:bCs/>
                <w:sz w:val="22"/>
                <w:szCs w:val="22"/>
              </w:rPr>
            </w:pPr>
            <w:r w:rsidRPr="00B078CE">
              <w:rPr>
                <w:rFonts w:ascii="Times New Roman" w:hAnsi="Times New Roman"/>
                <w:bCs/>
                <w:sz w:val="22"/>
                <w:szCs w:val="22"/>
              </w:rPr>
              <w:t>Avaskulaarinen nekroosi</w:t>
            </w:r>
            <w:r w:rsidR="005E6202">
              <w:rPr>
                <w:rFonts w:ascii="Times New Roman" w:hAnsi="Times New Roman"/>
                <w:bCs/>
                <w:sz w:val="22"/>
                <w:szCs w:val="22"/>
              </w:rPr>
              <w:t> </w:t>
            </w:r>
            <w:r w:rsidRPr="00B078CE">
              <w:rPr>
                <w:rFonts w:ascii="Times New Roman" w:hAnsi="Times New Roman"/>
                <w:bCs/>
                <w:sz w:val="22"/>
                <w:szCs w:val="22"/>
              </w:rPr>
              <w:t>/</w:t>
            </w:r>
            <w:r w:rsidR="005E6202">
              <w:rPr>
                <w:rFonts w:ascii="Times New Roman" w:hAnsi="Times New Roman"/>
                <w:bCs/>
                <w:sz w:val="22"/>
                <w:szCs w:val="22"/>
              </w:rPr>
              <w:t> </w:t>
            </w:r>
            <w:r w:rsidRPr="00B078CE">
              <w:rPr>
                <w:rFonts w:ascii="Times New Roman" w:hAnsi="Times New Roman"/>
                <w:bCs/>
                <w:sz w:val="22"/>
                <w:szCs w:val="22"/>
              </w:rPr>
              <w:t>lonkkanekroosi</w:t>
            </w:r>
            <w:r>
              <w:rPr>
                <w:rFonts w:ascii="Times New Roman" w:hAnsi="Times New Roman"/>
                <w:bCs/>
                <w:sz w:val="22"/>
                <w:szCs w:val="22"/>
              </w:rPr>
              <w:t>*, k</w:t>
            </w:r>
            <w:r w:rsidRPr="00B078CE">
              <w:rPr>
                <w:rFonts w:ascii="Times New Roman" w:hAnsi="Times New Roman"/>
                <w:bCs/>
                <w:sz w:val="22"/>
                <w:szCs w:val="22"/>
              </w:rPr>
              <w:t>asvun hidastuminen lapsilla</w:t>
            </w:r>
            <w:r>
              <w:rPr>
                <w:rFonts w:ascii="Times New Roman" w:hAnsi="Times New Roman"/>
                <w:bCs/>
                <w:sz w:val="22"/>
                <w:szCs w:val="22"/>
              </w:rPr>
              <w:t>*</w:t>
            </w:r>
          </w:p>
        </w:tc>
      </w:tr>
      <w:tr w:rsidR="00B078CE" w:rsidRPr="00912A5D" w14:paraId="586FC101" w14:textId="77777777" w:rsidTr="00345374">
        <w:trPr>
          <w:cantSplit/>
        </w:trPr>
        <w:tc>
          <w:tcPr>
            <w:tcW w:w="9322" w:type="dxa"/>
            <w:gridSpan w:val="2"/>
          </w:tcPr>
          <w:p w14:paraId="586FC100" w14:textId="77777777" w:rsidR="00B078CE" w:rsidRPr="00B611CC" w:rsidRDefault="00B078CE" w:rsidP="00345374">
            <w:pPr>
              <w:keepNext/>
              <w:rPr>
                <w:rFonts w:ascii="Times New Roman" w:hAnsi="Times New Roman"/>
                <w:b/>
                <w:sz w:val="22"/>
                <w:szCs w:val="22"/>
              </w:rPr>
            </w:pPr>
            <w:r w:rsidRPr="00B611CC">
              <w:rPr>
                <w:rFonts w:ascii="Times New Roman" w:hAnsi="Times New Roman"/>
                <w:b/>
                <w:sz w:val="22"/>
                <w:szCs w:val="22"/>
              </w:rPr>
              <w:t>Munuaiset ja virtsatiet</w:t>
            </w:r>
          </w:p>
        </w:tc>
      </w:tr>
      <w:tr w:rsidR="00B078CE" w:rsidRPr="00912A5D" w14:paraId="586FC104" w14:textId="77777777" w:rsidTr="00345374">
        <w:trPr>
          <w:cantSplit/>
        </w:trPr>
        <w:tc>
          <w:tcPr>
            <w:tcW w:w="2235" w:type="dxa"/>
          </w:tcPr>
          <w:p w14:paraId="586FC102" w14:textId="77777777" w:rsidR="00B078CE" w:rsidRPr="00912A5D" w:rsidRDefault="00B078CE" w:rsidP="00345374">
            <w:pPr>
              <w:keepNext/>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103" w14:textId="77777777" w:rsidR="00B078CE" w:rsidRPr="00912A5D" w:rsidRDefault="00B078CE" w:rsidP="00345374">
            <w:pPr>
              <w:keepNext/>
              <w:rPr>
                <w:rFonts w:ascii="Times New Roman" w:hAnsi="Times New Roman"/>
                <w:sz w:val="22"/>
              </w:rPr>
            </w:pPr>
            <w:r w:rsidRPr="00912A5D">
              <w:rPr>
                <w:rFonts w:ascii="Times New Roman" w:hAnsi="Times New Roman"/>
                <w:sz w:val="22"/>
                <w:szCs w:val="22"/>
              </w:rPr>
              <w:t>Munuaiskipu, verivirtsaisuus, akuutti munuaisten vajaatoiminta, tavallista suurempi virtsaamistiheys</w:t>
            </w:r>
          </w:p>
        </w:tc>
      </w:tr>
      <w:tr w:rsidR="00E10688" w:rsidRPr="00912A5D" w14:paraId="586FC107" w14:textId="77777777" w:rsidTr="00345374">
        <w:trPr>
          <w:cantSplit/>
        </w:trPr>
        <w:tc>
          <w:tcPr>
            <w:tcW w:w="2235" w:type="dxa"/>
          </w:tcPr>
          <w:p w14:paraId="586FC105" w14:textId="77777777" w:rsidR="00E10688" w:rsidRPr="00912A5D" w:rsidRDefault="00E10688" w:rsidP="00904F1A">
            <w:pPr>
              <w:rPr>
                <w:rFonts w:ascii="Times New Roman" w:hAnsi="Times New Roman"/>
                <w:i/>
                <w:sz w:val="22"/>
                <w:szCs w:val="22"/>
              </w:rPr>
            </w:pPr>
            <w:r>
              <w:rPr>
                <w:rFonts w:ascii="Times New Roman" w:hAnsi="Times New Roman"/>
                <w:i/>
                <w:sz w:val="22"/>
                <w:szCs w:val="22"/>
              </w:rPr>
              <w:t>Tuntematon:</w:t>
            </w:r>
          </w:p>
        </w:tc>
        <w:tc>
          <w:tcPr>
            <w:tcW w:w="7087" w:type="dxa"/>
          </w:tcPr>
          <w:p w14:paraId="586FC106" w14:textId="77777777" w:rsidR="00E10688" w:rsidRPr="00912A5D" w:rsidRDefault="00E10688" w:rsidP="00E10688">
            <w:pPr>
              <w:rPr>
                <w:rFonts w:ascii="Times New Roman" w:hAnsi="Times New Roman"/>
                <w:sz w:val="22"/>
                <w:szCs w:val="22"/>
              </w:rPr>
            </w:pPr>
            <w:r>
              <w:rPr>
                <w:rFonts w:ascii="Times New Roman" w:hAnsi="Times New Roman"/>
                <w:sz w:val="22"/>
                <w:szCs w:val="22"/>
              </w:rPr>
              <w:t>Krooninen munuaisten vajaatoiminta</w:t>
            </w:r>
          </w:p>
        </w:tc>
      </w:tr>
      <w:tr w:rsidR="00B078CE" w:rsidRPr="00912A5D" w14:paraId="586FC109" w14:textId="77777777" w:rsidTr="00345374">
        <w:trPr>
          <w:cantSplit/>
        </w:trPr>
        <w:tc>
          <w:tcPr>
            <w:tcW w:w="9322" w:type="dxa"/>
            <w:gridSpan w:val="2"/>
          </w:tcPr>
          <w:p w14:paraId="586FC108" w14:textId="77777777" w:rsidR="00B078CE" w:rsidRPr="00B611CC" w:rsidRDefault="00B078CE" w:rsidP="00345374">
            <w:pPr>
              <w:keepNext/>
              <w:rPr>
                <w:rFonts w:ascii="Times New Roman" w:hAnsi="Times New Roman"/>
                <w:sz w:val="22"/>
                <w:szCs w:val="22"/>
              </w:rPr>
            </w:pPr>
            <w:r w:rsidRPr="00B611CC">
              <w:rPr>
                <w:rFonts w:ascii="Times New Roman" w:hAnsi="Times New Roman"/>
                <w:b/>
                <w:sz w:val="22"/>
                <w:szCs w:val="22"/>
              </w:rPr>
              <w:t>Sukupuolielimet ja rinnat</w:t>
            </w:r>
          </w:p>
        </w:tc>
      </w:tr>
      <w:tr w:rsidR="00B078CE" w:rsidRPr="00912A5D" w14:paraId="586FC10C" w14:textId="77777777" w:rsidTr="00345374">
        <w:trPr>
          <w:cantSplit/>
        </w:trPr>
        <w:tc>
          <w:tcPr>
            <w:tcW w:w="2235" w:type="dxa"/>
          </w:tcPr>
          <w:p w14:paraId="586FC10A" w14:textId="77777777" w:rsidR="00B078CE" w:rsidRPr="00912A5D" w:rsidRDefault="00B078CE" w:rsidP="00345374">
            <w:pPr>
              <w:keepNext/>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10B" w14:textId="77777777" w:rsidR="00B078CE" w:rsidRPr="00912A5D" w:rsidRDefault="00B078CE" w:rsidP="00345374">
            <w:pPr>
              <w:keepNext/>
              <w:rPr>
                <w:rFonts w:ascii="Times New Roman" w:hAnsi="Times New Roman"/>
                <w:sz w:val="22"/>
                <w:szCs w:val="22"/>
              </w:rPr>
            </w:pPr>
            <w:r w:rsidRPr="00912A5D">
              <w:rPr>
                <w:rFonts w:ascii="Times New Roman" w:hAnsi="Times New Roman"/>
                <w:sz w:val="22"/>
                <w:szCs w:val="22"/>
              </w:rPr>
              <w:t>Gynekomastia, erektiohäiriöt, runsaat kuukautiset, kuukautisten epäsäännöllisyys, sukupuolitoimintojen häiriöt, nännien kipu, rintojen turpoaminen, kivespussin turvotus</w:t>
            </w:r>
          </w:p>
        </w:tc>
      </w:tr>
      <w:tr w:rsidR="00B078CE" w:rsidRPr="00912A5D" w14:paraId="586FC10F" w14:textId="77777777" w:rsidTr="00345374">
        <w:trPr>
          <w:cantSplit/>
        </w:trPr>
        <w:tc>
          <w:tcPr>
            <w:tcW w:w="2235" w:type="dxa"/>
          </w:tcPr>
          <w:p w14:paraId="586FC10D" w14:textId="77777777" w:rsidR="00B078CE" w:rsidRPr="00912A5D" w:rsidRDefault="00B078CE" w:rsidP="00904F1A">
            <w:pPr>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10E" w14:textId="77777777" w:rsidR="00B078CE" w:rsidRPr="00912A5D" w:rsidRDefault="00B078CE" w:rsidP="00904F1A">
            <w:pPr>
              <w:rPr>
                <w:rFonts w:ascii="Times New Roman" w:hAnsi="Times New Roman"/>
                <w:sz w:val="22"/>
                <w:szCs w:val="22"/>
              </w:rPr>
            </w:pPr>
            <w:r>
              <w:rPr>
                <w:rFonts w:ascii="Times New Roman" w:hAnsi="Times New Roman"/>
                <w:sz w:val="22"/>
                <w:szCs w:val="22"/>
              </w:rPr>
              <w:t>Hemorraaginen keltarauhanen/ munasarjakysta</w:t>
            </w:r>
          </w:p>
        </w:tc>
      </w:tr>
      <w:tr w:rsidR="00B078CE" w:rsidRPr="00912A5D" w14:paraId="586FC111" w14:textId="77777777" w:rsidTr="00345374">
        <w:trPr>
          <w:cantSplit/>
        </w:trPr>
        <w:tc>
          <w:tcPr>
            <w:tcW w:w="9322" w:type="dxa"/>
            <w:gridSpan w:val="2"/>
          </w:tcPr>
          <w:p w14:paraId="586FC110" w14:textId="77777777" w:rsidR="00B078CE" w:rsidRPr="00B611CC" w:rsidRDefault="00B078CE" w:rsidP="00345374">
            <w:pPr>
              <w:keepNext/>
              <w:rPr>
                <w:rFonts w:ascii="Times New Roman" w:hAnsi="Times New Roman"/>
                <w:sz w:val="22"/>
                <w:szCs w:val="22"/>
              </w:rPr>
            </w:pPr>
            <w:r w:rsidRPr="00B611CC">
              <w:rPr>
                <w:rFonts w:ascii="Times New Roman" w:hAnsi="Times New Roman"/>
                <w:b/>
                <w:sz w:val="22"/>
                <w:szCs w:val="22"/>
              </w:rPr>
              <w:t>Yleisoireet ja antopaikassa todettavat haitat</w:t>
            </w:r>
          </w:p>
        </w:tc>
      </w:tr>
      <w:tr w:rsidR="00B078CE" w:rsidRPr="00912A5D" w14:paraId="586FC114" w14:textId="77777777" w:rsidTr="00345374">
        <w:trPr>
          <w:cantSplit/>
        </w:trPr>
        <w:tc>
          <w:tcPr>
            <w:tcW w:w="2235" w:type="dxa"/>
          </w:tcPr>
          <w:p w14:paraId="586FC112" w14:textId="77777777" w:rsidR="00B078CE" w:rsidRPr="00912A5D" w:rsidRDefault="00B078CE" w:rsidP="00345374">
            <w:pPr>
              <w:keepNext/>
              <w:rPr>
                <w:rFonts w:ascii="Times New Roman" w:hAnsi="Times New Roman"/>
                <w:i/>
                <w:sz w:val="22"/>
                <w:szCs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113" w14:textId="77777777" w:rsidR="00B078CE" w:rsidRPr="00912A5D" w:rsidRDefault="00B078CE" w:rsidP="00345374">
            <w:pPr>
              <w:keepNext/>
              <w:rPr>
                <w:rFonts w:ascii="Times New Roman" w:hAnsi="Times New Roman"/>
                <w:sz w:val="22"/>
                <w:szCs w:val="22"/>
              </w:rPr>
            </w:pPr>
            <w:r w:rsidRPr="00912A5D">
              <w:rPr>
                <w:rFonts w:ascii="Times New Roman" w:hAnsi="Times New Roman"/>
                <w:sz w:val="22"/>
                <w:szCs w:val="22"/>
              </w:rPr>
              <w:t>Nesteen kertyminen elimistöön ja turvotus, väsymys</w:t>
            </w:r>
          </w:p>
        </w:tc>
      </w:tr>
      <w:tr w:rsidR="00B078CE" w:rsidRPr="00912A5D" w14:paraId="586FC117" w14:textId="77777777" w:rsidTr="00345374">
        <w:trPr>
          <w:cantSplit/>
        </w:trPr>
        <w:tc>
          <w:tcPr>
            <w:tcW w:w="2235" w:type="dxa"/>
          </w:tcPr>
          <w:p w14:paraId="586FC115" w14:textId="77777777" w:rsidR="00B078CE" w:rsidRPr="00912A5D" w:rsidRDefault="00B078CE" w:rsidP="00345374">
            <w:pPr>
              <w:keepNext/>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116" w14:textId="77777777" w:rsidR="00B078CE" w:rsidRPr="00912A5D" w:rsidRDefault="00B078CE" w:rsidP="00345374">
            <w:pPr>
              <w:keepNext/>
              <w:rPr>
                <w:rFonts w:ascii="Times New Roman" w:hAnsi="Times New Roman"/>
                <w:sz w:val="22"/>
                <w:szCs w:val="22"/>
              </w:rPr>
            </w:pPr>
            <w:r w:rsidRPr="00912A5D">
              <w:rPr>
                <w:rFonts w:ascii="Times New Roman" w:hAnsi="Times New Roman"/>
                <w:sz w:val="22"/>
                <w:szCs w:val="22"/>
              </w:rPr>
              <w:t>Heikkous, kuume, yleistynyt voimakas turvotus (anasarca), vilunväreet, jäykkyys</w:t>
            </w:r>
          </w:p>
        </w:tc>
      </w:tr>
      <w:tr w:rsidR="00B078CE" w:rsidRPr="00912A5D" w14:paraId="586FC11A" w14:textId="77777777" w:rsidTr="00345374">
        <w:trPr>
          <w:cantSplit/>
        </w:trPr>
        <w:tc>
          <w:tcPr>
            <w:tcW w:w="2235" w:type="dxa"/>
          </w:tcPr>
          <w:p w14:paraId="586FC118" w14:textId="77777777" w:rsidR="00B078CE" w:rsidRPr="00912A5D" w:rsidRDefault="00B078CE">
            <w:pPr>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119" w14:textId="77777777" w:rsidR="00B078CE" w:rsidRPr="00912A5D" w:rsidRDefault="00B078CE">
            <w:pPr>
              <w:rPr>
                <w:rFonts w:ascii="Times New Roman" w:hAnsi="Times New Roman"/>
                <w:sz w:val="22"/>
                <w:szCs w:val="22"/>
              </w:rPr>
            </w:pPr>
            <w:r w:rsidRPr="00912A5D">
              <w:rPr>
                <w:rFonts w:ascii="Times New Roman" w:hAnsi="Times New Roman"/>
                <w:sz w:val="22"/>
                <w:szCs w:val="22"/>
                <w:lang w:val="fr-FR"/>
              </w:rPr>
              <w:t>Rintakipu,</w:t>
            </w:r>
            <w:r w:rsidRPr="00912A5D">
              <w:rPr>
                <w:rFonts w:ascii="Times New Roman" w:hAnsi="Times New Roman"/>
                <w:sz w:val="22"/>
                <w:szCs w:val="22"/>
              </w:rPr>
              <w:t xml:space="preserve"> huonovointisuus</w:t>
            </w:r>
          </w:p>
        </w:tc>
      </w:tr>
      <w:tr w:rsidR="00B078CE" w:rsidRPr="00912A5D" w14:paraId="586FC11C" w14:textId="77777777" w:rsidTr="00345374">
        <w:trPr>
          <w:cantSplit/>
        </w:trPr>
        <w:tc>
          <w:tcPr>
            <w:tcW w:w="9322" w:type="dxa"/>
            <w:gridSpan w:val="2"/>
          </w:tcPr>
          <w:p w14:paraId="586FC11B" w14:textId="77777777" w:rsidR="00B078CE" w:rsidRPr="00B611CC" w:rsidRDefault="00B078CE" w:rsidP="00345374">
            <w:pPr>
              <w:keepNext/>
              <w:rPr>
                <w:rFonts w:ascii="Times New Roman" w:hAnsi="Times New Roman"/>
                <w:sz w:val="22"/>
              </w:rPr>
            </w:pPr>
            <w:r w:rsidRPr="00B611CC">
              <w:rPr>
                <w:rFonts w:ascii="Times New Roman" w:hAnsi="Times New Roman"/>
                <w:b/>
                <w:sz w:val="22"/>
                <w:szCs w:val="22"/>
                <w:lang w:val="fr-FR"/>
              </w:rPr>
              <w:lastRenderedPageBreak/>
              <w:t>Tutkimukset</w:t>
            </w:r>
          </w:p>
        </w:tc>
      </w:tr>
      <w:tr w:rsidR="00B078CE" w:rsidRPr="00912A5D" w14:paraId="586FC11F" w14:textId="77777777" w:rsidTr="00345374">
        <w:trPr>
          <w:cantSplit/>
        </w:trPr>
        <w:tc>
          <w:tcPr>
            <w:tcW w:w="2235" w:type="dxa"/>
          </w:tcPr>
          <w:p w14:paraId="586FC11D" w14:textId="77777777" w:rsidR="00B078CE" w:rsidRPr="00912A5D" w:rsidRDefault="00B078CE" w:rsidP="00345374">
            <w:pPr>
              <w:keepNext/>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11E" w14:textId="77777777" w:rsidR="00B078CE" w:rsidRPr="00912A5D" w:rsidRDefault="00B078CE" w:rsidP="00345374">
            <w:pPr>
              <w:keepNext/>
              <w:rPr>
                <w:rFonts w:ascii="Times New Roman" w:hAnsi="Times New Roman"/>
                <w:sz w:val="22"/>
              </w:rPr>
            </w:pPr>
            <w:r w:rsidRPr="00912A5D">
              <w:rPr>
                <w:rFonts w:ascii="Times New Roman" w:hAnsi="Times New Roman"/>
                <w:sz w:val="22"/>
                <w:szCs w:val="22"/>
              </w:rPr>
              <w:t>Painon nousu</w:t>
            </w:r>
          </w:p>
        </w:tc>
      </w:tr>
      <w:tr w:rsidR="00B078CE" w:rsidRPr="00912A5D" w14:paraId="586FC122" w14:textId="77777777" w:rsidTr="00345374">
        <w:trPr>
          <w:cantSplit/>
        </w:trPr>
        <w:tc>
          <w:tcPr>
            <w:tcW w:w="2235" w:type="dxa"/>
          </w:tcPr>
          <w:p w14:paraId="586FC120" w14:textId="77777777" w:rsidR="00B078CE" w:rsidRPr="00912A5D" w:rsidRDefault="00B078CE" w:rsidP="00345374">
            <w:pPr>
              <w:keepNext/>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sz w:val="22"/>
                <w:szCs w:val="22"/>
              </w:rPr>
              <w:t>:</w:t>
            </w:r>
          </w:p>
        </w:tc>
        <w:tc>
          <w:tcPr>
            <w:tcW w:w="7087" w:type="dxa"/>
          </w:tcPr>
          <w:p w14:paraId="586FC121" w14:textId="77777777" w:rsidR="00B078CE" w:rsidRPr="00912A5D" w:rsidRDefault="00B078CE" w:rsidP="00345374">
            <w:pPr>
              <w:keepNext/>
              <w:rPr>
                <w:rFonts w:ascii="Times New Roman" w:hAnsi="Times New Roman"/>
                <w:sz w:val="22"/>
              </w:rPr>
            </w:pPr>
            <w:r w:rsidRPr="00912A5D">
              <w:rPr>
                <w:rFonts w:ascii="Times New Roman" w:hAnsi="Times New Roman"/>
                <w:sz w:val="22"/>
                <w:szCs w:val="22"/>
              </w:rPr>
              <w:t>Painon lasku</w:t>
            </w:r>
          </w:p>
        </w:tc>
      </w:tr>
      <w:tr w:rsidR="00B078CE" w:rsidRPr="00912A5D" w14:paraId="586FC125" w14:textId="77777777" w:rsidTr="00345374">
        <w:trPr>
          <w:cantSplit/>
        </w:trPr>
        <w:tc>
          <w:tcPr>
            <w:tcW w:w="2235" w:type="dxa"/>
          </w:tcPr>
          <w:p w14:paraId="586FC123" w14:textId="77777777" w:rsidR="00B078CE" w:rsidRPr="00912A5D" w:rsidRDefault="00B078CE" w:rsidP="00345374">
            <w:pPr>
              <w:keepNext/>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sz w:val="22"/>
                <w:szCs w:val="22"/>
              </w:rPr>
              <w:t>:</w:t>
            </w:r>
          </w:p>
        </w:tc>
        <w:tc>
          <w:tcPr>
            <w:tcW w:w="7087" w:type="dxa"/>
          </w:tcPr>
          <w:p w14:paraId="586FC124" w14:textId="77777777" w:rsidR="00B078CE" w:rsidRPr="00912A5D" w:rsidRDefault="00B078CE" w:rsidP="00345374">
            <w:pPr>
              <w:keepNext/>
              <w:rPr>
                <w:rFonts w:ascii="Times New Roman" w:hAnsi="Times New Roman"/>
                <w:sz w:val="22"/>
              </w:rPr>
            </w:pPr>
            <w:r w:rsidRPr="00912A5D">
              <w:rPr>
                <w:rFonts w:ascii="Times New Roman" w:hAnsi="Times New Roman"/>
                <w:sz w:val="22"/>
                <w:szCs w:val="22"/>
              </w:rPr>
              <w:t>Kohonneet veren kreatiniiniarvot, kohonneet veren kreatiinifosfokinaasiarvot, kohonneet veren laktaattidehydrogenaasiarvot, kohonneet veren alkalisen fosfataasin arvot</w:t>
            </w:r>
          </w:p>
        </w:tc>
      </w:tr>
      <w:tr w:rsidR="00B078CE" w:rsidRPr="00912A5D" w14:paraId="586FC128" w14:textId="77777777" w:rsidTr="00345374">
        <w:trPr>
          <w:cantSplit/>
        </w:trPr>
        <w:tc>
          <w:tcPr>
            <w:tcW w:w="2235" w:type="dxa"/>
          </w:tcPr>
          <w:p w14:paraId="586FC126" w14:textId="77777777" w:rsidR="00B078CE" w:rsidRPr="00912A5D" w:rsidRDefault="00B078CE" w:rsidP="00345374">
            <w:pPr>
              <w:keepNext/>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127" w14:textId="77777777" w:rsidR="00B078CE" w:rsidRPr="00912A5D" w:rsidRDefault="00B078CE" w:rsidP="00345374">
            <w:pPr>
              <w:keepNext/>
              <w:rPr>
                <w:rFonts w:ascii="Times New Roman" w:hAnsi="Times New Roman"/>
                <w:sz w:val="22"/>
                <w:szCs w:val="22"/>
              </w:rPr>
            </w:pPr>
            <w:r w:rsidRPr="00912A5D">
              <w:rPr>
                <w:rFonts w:ascii="Times New Roman" w:hAnsi="Times New Roman"/>
                <w:sz w:val="22"/>
                <w:szCs w:val="22"/>
              </w:rPr>
              <w:t>Kohonneet veren amylaasiarvot</w:t>
            </w:r>
          </w:p>
        </w:tc>
      </w:tr>
    </w:tbl>
    <w:p w14:paraId="586FC129" w14:textId="77777777" w:rsidR="00AE3698" w:rsidRDefault="00AE3698" w:rsidP="00345374">
      <w:pPr>
        <w:pStyle w:val="Text"/>
        <w:keepNext/>
        <w:spacing w:before="0"/>
        <w:rPr>
          <w:color w:val="000000"/>
          <w:sz w:val="22"/>
          <w:szCs w:val="22"/>
          <w:lang w:val="fi-FI"/>
        </w:rPr>
      </w:pPr>
    </w:p>
    <w:p w14:paraId="586FC12A" w14:textId="77777777" w:rsidR="008171CB" w:rsidRPr="00912A5D" w:rsidRDefault="008171CB" w:rsidP="00345374">
      <w:pPr>
        <w:pStyle w:val="Text"/>
        <w:keepNext/>
        <w:keepLines/>
        <w:spacing w:before="0"/>
        <w:ind w:left="567" w:hanging="567"/>
        <w:jc w:val="left"/>
        <w:rPr>
          <w:color w:val="000000"/>
          <w:sz w:val="22"/>
          <w:szCs w:val="22"/>
          <w:lang w:val="fi-FI"/>
        </w:rPr>
      </w:pPr>
      <w:r>
        <w:rPr>
          <w:color w:val="000000"/>
          <w:sz w:val="22"/>
          <w:szCs w:val="22"/>
          <w:lang w:val="fi-FI"/>
        </w:rPr>
        <w:t>*</w:t>
      </w:r>
      <w:r>
        <w:rPr>
          <w:color w:val="000000"/>
          <w:sz w:val="22"/>
          <w:szCs w:val="22"/>
          <w:lang w:val="fi-FI"/>
        </w:rPr>
        <w:tab/>
        <w:t>Tämä</w:t>
      </w:r>
      <w:r w:rsidRPr="008171CB">
        <w:rPr>
          <w:color w:val="000000"/>
          <w:sz w:val="22"/>
          <w:szCs w:val="22"/>
          <w:lang w:val="fi-FI"/>
        </w:rPr>
        <w:t xml:space="preserve">ntyyppisiä reaktioita on ilmoitettu lähinnä Glivecin markkinoille tulon jälkeen. Tiedot perustuvat sekä spontaaneihin tapausraportteihin että vakaviin haittatapahtumiin, joita on todettu meneillään olevissa tutkimuksissa, laajennetun saatavuuden tutkimuksissa, kliinisissä farmakologisissa tutkimuksissa ja eksploratiivisissa tutkimuksissa toistaiseksi hyväksymättömillä käyttöaiheilla. </w:t>
      </w:r>
      <w:r>
        <w:rPr>
          <w:color w:val="000000"/>
          <w:sz w:val="22"/>
          <w:szCs w:val="22"/>
          <w:lang w:val="fi-FI"/>
        </w:rPr>
        <w:t>Koska i</w:t>
      </w:r>
      <w:r w:rsidRPr="008171CB">
        <w:rPr>
          <w:color w:val="000000"/>
          <w:sz w:val="22"/>
          <w:szCs w:val="22"/>
          <w:lang w:val="fi-FI"/>
        </w:rPr>
        <w:t>lmoitetut reaktiot on todettu populaatiossa, jonka kokoa ei tiedetä, niiden esiintymistiheyttä ja mahdollista syy-yhteyttä imatinibialtistuksen kanssa ei välttämättä pystytä arvioimaan luotettavasti.</w:t>
      </w:r>
    </w:p>
    <w:p w14:paraId="586FC12B" w14:textId="77777777" w:rsidR="00C44DFF" w:rsidRPr="00912A5D" w:rsidRDefault="00C44DFF" w:rsidP="00345374">
      <w:pPr>
        <w:keepNext/>
        <w:keepLines/>
        <w:widowControl w:val="0"/>
        <w:ind w:left="567" w:hanging="567"/>
        <w:rPr>
          <w:rFonts w:ascii="Times New Roman" w:hAnsi="Times New Roman"/>
          <w:sz w:val="22"/>
          <w:szCs w:val="22"/>
        </w:rPr>
      </w:pPr>
      <w:r>
        <w:rPr>
          <w:rFonts w:ascii="Times New Roman" w:hAnsi="Times New Roman"/>
          <w:sz w:val="22"/>
          <w:szCs w:val="22"/>
        </w:rPr>
        <w:t>1</w:t>
      </w:r>
      <w:r w:rsidRPr="00912A5D">
        <w:rPr>
          <w:rFonts w:ascii="Times New Roman" w:hAnsi="Times New Roman"/>
          <w:sz w:val="22"/>
          <w:szCs w:val="22"/>
        </w:rPr>
        <w:tab/>
        <w:t xml:space="preserve">Keuhkokuumetta ilmoitettiin yleisimmin potilailla, joilla oli GIST tai akseleraatio- tai blastikriisivaiheessa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w:t>
      </w:r>
    </w:p>
    <w:p w14:paraId="586FC12C" w14:textId="77777777" w:rsidR="00AE3698" w:rsidRPr="00912A5D" w:rsidRDefault="00AE3698" w:rsidP="00345374">
      <w:pPr>
        <w:keepNext/>
        <w:keepLines/>
        <w:widowControl w:val="0"/>
        <w:ind w:left="567" w:hanging="567"/>
        <w:rPr>
          <w:rFonts w:ascii="Times New Roman" w:hAnsi="Times New Roman"/>
          <w:sz w:val="22"/>
          <w:szCs w:val="22"/>
        </w:rPr>
      </w:pPr>
      <w:r w:rsidRPr="00912A5D">
        <w:rPr>
          <w:rFonts w:ascii="Times New Roman" w:hAnsi="Times New Roman"/>
          <w:sz w:val="22"/>
          <w:szCs w:val="22"/>
        </w:rPr>
        <w:t>2</w:t>
      </w:r>
      <w:r w:rsidRPr="00912A5D">
        <w:rPr>
          <w:rFonts w:ascii="Times New Roman" w:hAnsi="Times New Roman"/>
          <w:sz w:val="22"/>
          <w:szCs w:val="22"/>
        </w:rPr>
        <w:tab/>
        <w:t>Päänsärky oli yleisintä GIST-potilailla.</w:t>
      </w:r>
    </w:p>
    <w:p w14:paraId="586FC12D" w14:textId="77777777" w:rsidR="00C44DFF" w:rsidRPr="00912A5D" w:rsidRDefault="00C44DFF" w:rsidP="00345374">
      <w:pPr>
        <w:keepNext/>
        <w:keepLines/>
        <w:widowControl w:val="0"/>
        <w:ind w:left="567" w:hanging="567"/>
        <w:rPr>
          <w:rFonts w:ascii="Times New Roman" w:hAnsi="Times New Roman"/>
          <w:sz w:val="22"/>
          <w:szCs w:val="22"/>
        </w:rPr>
      </w:pPr>
      <w:r>
        <w:rPr>
          <w:rFonts w:ascii="Times New Roman" w:hAnsi="Times New Roman"/>
          <w:sz w:val="22"/>
          <w:szCs w:val="22"/>
        </w:rPr>
        <w:t>3</w:t>
      </w:r>
      <w:r w:rsidRPr="00912A5D">
        <w:rPr>
          <w:rFonts w:ascii="Times New Roman" w:hAnsi="Times New Roman"/>
          <w:sz w:val="22"/>
          <w:szCs w:val="22"/>
        </w:rPr>
        <w:tab/>
        <w:t xml:space="preserve">Sydämeen kohdistuneita haittatapahtumia kuten kongestiivista sydämen vajaatoimintaa todettiin potilasvuosiin nähden yleisemmin potilailla, joilla oli akseleraatio- tai blastikriisivaiheessa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 xml:space="preserve">, kuin potilailla, joilla oli kroonisessa 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w:t>
      </w:r>
    </w:p>
    <w:p w14:paraId="586FC12E" w14:textId="77777777" w:rsidR="00C44DFF" w:rsidRPr="00912A5D" w:rsidRDefault="00C44DFF" w:rsidP="00345374">
      <w:pPr>
        <w:keepNext/>
        <w:keepLines/>
        <w:widowControl w:val="0"/>
        <w:ind w:left="567" w:hanging="567"/>
        <w:rPr>
          <w:rFonts w:ascii="Times New Roman" w:hAnsi="Times New Roman"/>
          <w:sz w:val="22"/>
          <w:szCs w:val="22"/>
        </w:rPr>
      </w:pPr>
      <w:r>
        <w:rPr>
          <w:rFonts w:ascii="Times New Roman" w:hAnsi="Times New Roman"/>
          <w:sz w:val="22"/>
          <w:szCs w:val="22"/>
        </w:rPr>
        <w:t>4</w:t>
      </w:r>
      <w:r w:rsidRPr="00912A5D">
        <w:rPr>
          <w:rFonts w:ascii="Times New Roman" w:hAnsi="Times New Roman"/>
          <w:sz w:val="22"/>
          <w:szCs w:val="22"/>
        </w:rPr>
        <w:tab/>
        <w:t xml:space="preserve">Punastuminen oli yleisintä GIST-potilailla, kun taas verenvuodot (verenpurkaumat, verenvuoto) olivat yleisimpiä potilailla, joilla oli GIST tai akseleraatio- tai blastikriisivaiheessa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w:t>
      </w:r>
    </w:p>
    <w:p w14:paraId="586FC12F" w14:textId="77777777" w:rsidR="00AE3698" w:rsidRPr="00912A5D" w:rsidRDefault="00C44DFF" w:rsidP="00345374">
      <w:pPr>
        <w:keepNext/>
        <w:keepLines/>
        <w:widowControl w:val="0"/>
        <w:ind w:left="567" w:hanging="567"/>
        <w:rPr>
          <w:rFonts w:ascii="Times New Roman" w:hAnsi="Times New Roman"/>
          <w:sz w:val="22"/>
          <w:szCs w:val="22"/>
        </w:rPr>
      </w:pPr>
      <w:r>
        <w:rPr>
          <w:rFonts w:ascii="Times New Roman" w:hAnsi="Times New Roman"/>
          <w:sz w:val="22"/>
          <w:szCs w:val="22"/>
        </w:rPr>
        <w:t>5</w:t>
      </w:r>
      <w:r w:rsidR="00AE3698" w:rsidRPr="00912A5D">
        <w:rPr>
          <w:rFonts w:ascii="Times New Roman" w:hAnsi="Times New Roman"/>
          <w:sz w:val="22"/>
          <w:szCs w:val="22"/>
        </w:rPr>
        <w:tab/>
        <w:t xml:space="preserve">Pleuraeffuusiota ilmoitettiin yleisemmin potilailla, joilla oli GIST tai akseleraatio- tai blastikriisivaiheessa oleva </w:t>
      </w:r>
      <w:smartTag w:uri="urn:schemas-microsoft-com:office:smarttags" w:element="State">
        <w:r w:rsidR="00AE3698" w:rsidRPr="00912A5D">
          <w:rPr>
            <w:rFonts w:ascii="Times New Roman" w:hAnsi="Times New Roman"/>
            <w:sz w:val="22"/>
            <w:szCs w:val="22"/>
          </w:rPr>
          <w:t>KML</w:t>
        </w:r>
      </w:smartTag>
      <w:r w:rsidR="00AE3698" w:rsidRPr="00912A5D">
        <w:rPr>
          <w:rFonts w:ascii="Times New Roman" w:hAnsi="Times New Roman"/>
          <w:sz w:val="22"/>
          <w:szCs w:val="22"/>
        </w:rPr>
        <w:t xml:space="preserve">, kuin potilailla, joilla oli kroonisessa vaiheessa oleva </w:t>
      </w:r>
      <w:smartTag w:uri="urn:schemas-microsoft-com:office:smarttags" w:element="State">
        <w:r w:rsidR="00AE3698" w:rsidRPr="00912A5D">
          <w:rPr>
            <w:rFonts w:ascii="Times New Roman" w:hAnsi="Times New Roman"/>
            <w:sz w:val="22"/>
            <w:szCs w:val="22"/>
          </w:rPr>
          <w:t>KML</w:t>
        </w:r>
      </w:smartTag>
      <w:r w:rsidR="00AE3698" w:rsidRPr="00912A5D">
        <w:rPr>
          <w:rFonts w:ascii="Times New Roman" w:hAnsi="Times New Roman"/>
          <w:sz w:val="22"/>
          <w:szCs w:val="22"/>
        </w:rPr>
        <w:t>.</w:t>
      </w:r>
    </w:p>
    <w:p w14:paraId="586FC130" w14:textId="77777777" w:rsidR="00AE3698" w:rsidRPr="00912A5D" w:rsidRDefault="00C44DFF" w:rsidP="00345374">
      <w:pPr>
        <w:keepNext/>
        <w:keepLines/>
        <w:widowControl w:val="0"/>
        <w:ind w:left="567" w:hanging="567"/>
        <w:rPr>
          <w:rFonts w:ascii="Times New Roman" w:hAnsi="Times New Roman"/>
          <w:sz w:val="22"/>
          <w:szCs w:val="22"/>
        </w:rPr>
      </w:pPr>
      <w:r>
        <w:rPr>
          <w:rFonts w:ascii="Times New Roman" w:hAnsi="Times New Roman"/>
          <w:sz w:val="22"/>
          <w:szCs w:val="22"/>
        </w:rPr>
        <w:t>6</w:t>
      </w:r>
      <w:r w:rsidR="00AE3698" w:rsidRPr="00912A5D">
        <w:rPr>
          <w:rFonts w:ascii="Times New Roman" w:hAnsi="Times New Roman"/>
          <w:sz w:val="22"/>
          <w:szCs w:val="22"/>
        </w:rPr>
        <w:t>+</w:t>
      </w:r>
      <w:r>
        <w:rPr>
          <w:rFonts w:ascii="Times New Roman" w:hAnsi="Times New Roman"/>
          <w:sz w:val="22"/>
          <w:szCs w:val="22"/>
        </w:rPr>
        <w:t>7</w:t>
      </w:r>
      <w:r w:rsidR="00AE3698" w:rsidRPr="00912A5D">
        <w:rPr>
          <w:rFonts w:ascii="Times New Roman" w:hAnsi="Times New Roman"/>
          <w:sz w:val="22"/>
          <w:szCs w:val="22"/>
        </w:rPr>
        <w:tab/>
        <w:t>Vatsakipua ja ruoansulatuskanavan verenvuotoa esiintyi yleisimmin GIST-potilailla.</w:t>
      </w:r>
    </w:p>
    <w:p w14:paraId="586FC131" w14:textId="77777777" w:rsidR="00076725" w:rsidRPr="00912A5D" w:rsidRDefault="00C44DFF" w:rsidP="00345374">
      <w:pPr>
        <w:keepNext/>
        <w:keepLines/>
        <w:widowControl w:val="0"/>
        <w:ind w:left="567" w:hanging="567"/>
        <w:rPr>
          <w:rFonts w:ascii="Times New Roman" w:hAnsi="Times New Roman"/>
          <w:sz w:val="22"/>
          <w:szCs w:val="22"/>
        </w:rPr>
      </w:pPr>
      <w:r>
        <w:rPr>
          <w:rFonts w:ascii="Times New Roman" w:hAnsi="Times New Roman"/>
          <w:sz w:val="22"/>
          <w:szCs w:val="22"/>
        </w:rPr>
        <w:t>8</w:t>
      </w:r>
      <w:r w:rsidRPr="00912A5D">
        <w:rPr>
          <w:rFonts w:ascii="Times New Roman" w:hAnsi="Times New Roman"/>
          <w:sz w:val="22"/>
          <w:szCs w:val="22"/>
        </w:rPr>
        <w:tab/>
        <w:t>Joitakin kuolemaan johtaneita maksan vajaatoimintatapauksia ja maksanekroositapauksia on ilmoitettu.</w:t>
      </w:r>
    </w:p>
    <w:p w14:paraId="586FC132" w14:textId="77777777" w:rsidR="00076725" w:rsidRPr="00CD6D99" w:rsidRDefault="00C44DFF" w:rsidP="00345374">
      <w:pPr>
        <w:keepNext/>
        <w:keepLines/>
        <w:widowControl w:val="0"/>
        <w:ind w:left="567" w:hanging="567"/>
        <w:rPr>
          <w:rFonts w:ascii="Times New Roman" w:hAnsi="Times New Roman"/>
          <w:sz w:val="22"/>
          <w:szCs w:val="22"/>
        </w:rPr>
      </w:pPr>
      <w:r>
        <w:rPr>
          <w:rFonts w:ascii="Times New Roman" w:hAnsi="Times New Roman"/>
          <w:sz w:val="22"/>
          <w:szCs w:val="22"/>
        </w:rPr>
        <w:t>9</w:t>
      </w:r>
      <w:r w:rsidR="00AE3698" w:rsidRPr="00912A5D">
        <w:rPr>
          <w:rFonts w:ascii="Times New Roman" w:hAnsi="Times New Roman"/>
          <w:sz w:val="22"/>
          <w:szCs w:val="22"/>
        </w:rPr>
        <w:tab/>
      </w:r>
      <w:r w:rsidR="00076725" w:rsidRPr="00CD6D99">
        <w:rPr>
          <w:rFonts w:ascii="Times New Roman" w:hAnsi="Times New Roman"/>
          <w:sz w:val="22"/>
          <w:szCs w:val="22"/>
        </w:rPr>
        <w:t>Imatinib</w:t>
      </w:r>
      <w:r w:rsidR="00434F16" w:rsidRPr="00CD6D99">
        <w:rPr>
          <w:rFonts w:ascii="Times New Roman" w:hAnsi="Times New Roman"/>
          <w:sz w:val="22"/>
          <w:szCs w:val="22"/>
        </w:rPr>
        <w:t xml:space="preserve">in markkinoille tulon jälkeen on todettu </w:t>
      </w:r>
      <w:r w:rsidR="008361A7" w:rsidRPr="00CD6D99">
        <w:rPr>
          <w:rFonts w:ascii="Times New Roman" w:hAnsi="Times New Roman"/>
          <w:sz w:val="22"/>
          <w:szCs w:val="22"/>
        </w:rPr>
        <w:t xml:space="preserve">luusto- ja lihaskipua </w:t>
      </w:r>
      <w:r w:rsidR="00237C68" w:rsidRPr="00CD6D99">
        <w:rPr>
          <w:rFonts w:ascii="Times New Roman" w:hAnsi="Times New Roman"/>
          <w:sz w:val="22"/>
          <w:szCs w:val="22"/>
        </w:rPr>
        <w:t>imatinibi</w:t>
      </w:r>
      <w:r w:rsidR="00076725" w:rsidRPr="00CD6D99">
        <w:rPr>
          <w:rFonts w:ascii="Times New Roman" w:hAnsi="Times New Roman"/>
          <w:sz w:val="22"/>
          <w:szCs w:val="22"/>
        </w:rPr>
        <w:t>hoidon aikana tai sen päättymisen jälkeen.</w:t>
      </w:r>
    </w:p>
    <w:p w14:paraId="586FC133" w14:textId="77777777" w:rsidR="00AE3698" w:rsidRPr="00912A5D" w:rsidRDefault="00076725" w:rsidP="00345374">
      <w:pPr>
        <w:keepNext/>
        <w:keepLines/>
        <w:widowControl w:val="0"/>
        <w:ind w:left="567" w:hanging="567"/>
        <w:rPr>
          <w:rFonts w:ascii="Times New Roman" w:hAnsi="Times New Roman"/>
          <w:sz w:val="22"/>
          <w:szCs w:val="22"/>
        </w:rPr>
      </w:pPr>
      <w:r>
        <w:rPr>
          <w:rFonts w:ascii="Times New Roman" w:hAnsi="Times New Roman"/>
          <w:sz w:val="22"/>
          <w:szCs w:val="22"/>
        </w:rPr>
        <w:t>10</w:t>
      </w:r>
      <w:r>
        <w:rPr>
          <w:rFonts w:ascii="Times New Roman" w:hAnsi="Times New Roman"/>
          <w:sz w:val="22"/>
          <w:szCs w:val="22"/>
        </w:rPr>
        <w:tab/>
      </w:r>
      <w:r w:rsidR="00AE3698" w:rsidRPr="00912A5D">
        <w:rPr>
          <w:rFonts w:ascii="Times New Roman" w:hAnsi="Times New Roman"/>
          <w:sz w:val="22"/>
          <w:szCs w:val="22"/>
        </w:rPr>
        <w:t xml:space="preserve">Luusto- ja lihaskipua ja siihen liittyviä tapahtumia todettiin yleisemmin </w:t>
      </w:r>
      <w:smartTag w:uri="urn:schemas-microsoft-com:office:smarttags" w:element="State">
        <w:r w:rsidR="00AE3698" w:rsidRPr="00912A5D">
          <w:rPr>
            <w:rFonts w:ascii="Times New Roman" w:hAnsi="Times New Roman"/>
            <w:sz w:val="22"/>
            <w:szCs w:val="22"/>
          </w:rPr>
          <w:t>KML</w:t>
        </w:r>
      </w:smartTag>
      <w:r w:rsidR="00AE3698" w:rsidRPr="00912A5D">
        <w:rPr>
          <w:rFonts w:ascii="Times New Roman" w:hAnsi="Times New Roman"/>
          <w:sz w:val="22"/>
          <w:szCs w:val="22"/>
        </w:rPr>
        <w:t>-potilailla kuin GIST-potilailla.</w:t>
      </w:r>
    </w:p>
    <w:p w14:paraId="586FC134" w14:textId="77777777" w:rsidR="00AE3698" w:rsidRPr="00912A5D" w:rsidRDefault="008171CB" w:rsidP="00345374">
      <w:pPr>
        <w:keepNext/>
        <w:ind w:left="567" w:hanging="567"/>
        <w:rPr>
          <w:rFonts w:ascii="Times New Roman" w:hAnsi="Times New Roman"/>
          <w:sz w:val="22"/>
          <w:szCs w:val="22"/>
        </w:rPr>
      </w:pPr>
      <w:r w:rsidRPr="00912A5D">
        <w:rPr>
          <w:rFonts w:ascii="Times New Roman" w:hAnsi="Times New Roman"/>
          <w:sz w:val="22"/>
          <w:szCs w:val="22"/>
        </w:rPr>
        <w:t>1</w:t>
      </w:r>
      <w:r w:rsidR="00076725">
        <w:rPr>
          <w:rFonts w:ascii="Times New Roman" w:hAnsi="Times New Roman"/>
          <w:sz w:val="22"/>
          <w:szCs w:val="22"/>
        </w:rPr>
        <w:t>1</w:t>
      </w:r>
      <w:r w:rsidRPr="00912A5D">
        <w:rPr>
          <w:rFonts w:ascii="Times New Roman" w:hAnsi="Times New Roman"/>
          <w:sz w:val="22"/>
          <w:szCs w:val="22"/>
        </w:rPr>
        <w:tab/>
        <w:t>Kuolemaan johtaneita tapauksia on raportoitu potilailla, joilla on ollut pitkälle edennyt tauti, vaikeita infektioita, vaikea neutropenia ja muita vakavia samanaikaisia kliinisiä tiloja.</w:t>
      </w:r>
    </w:p>
    <w:p w14:paraId="586FC135" w14:textId="77777777" w:rsidR="00AE3698" w:rsidRPr="00912A5D" w:rsidRDefault="00AE3698">
      <w:pPr>
        <w:pStyle w:val="Heading4"/>
        <w:keepNext w:val="0"/>
        <w:widowControl w:val="0"/>
        <w:tabs>
          <w:tab w:val="clear" w:pos="567"/>
        </w:tabs>
        <w:spacing w:line="240" w:lineRule="auto"/>
        <w:jc w:val="left"/>
        <w:rPr>
          <w:b w:val="0"/>
          <w:noProof w:val="0"/>
          <w:color w:val="000000"/>
          <w:szCs w:val="22"/>
          <w:u w:val="single"/>
        </w:rPr>
      </w:pPr>
    </w:p>
    <w:p w14:paraId="586FC136" w14:textId="77777777" w:rsidR="00AE3698" w:rsidRPr="00912A5D" w:rsidRDefault="00AE3698" w:rsidP="00345374">
      <w:pPr>
        <w:pStyle w:val="Heading4"/>
        <w:widowControl w:val="0"/>
        <w:tabs>
          <w:tab w:val="clear" w:pos="567"/>
        </w:tabs>
        <w:spacing w:line="240" w:lineRule="auto"/>
        <w:jc w:val="left"/>
        <w:rPr>
          <w:b w:val="0"/>
          <w:noProof w:val="0"/>
          <w:color w:val="000000"/>
          <w:szCs w:val="22"/>
          <w:u w:val="single"/>
        </w:rPr>
      </w:pPr>
      <w:r w:rsidRPr="00912A5D">
        <w:rPr>
          <w:b w:val="0"/>
          <w:noProof w:val="0"/>
          <w:color w:val="000000"/>
          <w:szCs w:val="22"/>
          <w:u w:val="single"/>
        </w:rPr>
        <w:t>Laboratoriokoearvojen poikkeavuudet:</w:t>
      </w:r>
    </w:p>
    <w:p w14:paraId="586FC137" w14:textId="77777777" w:rsidR="00AE3698" w:rsidRPr="00912A5D" w:rsidRDefault="00AE3698" w:rsidP="00345374">
      <w:pPr>
        <w:keepNext/>
        <w:rPr>
          <w:rFonts w:ascii="Times New Roman" w:hAnsi="Times New Roman"/>
          <w:i/>
          <w:sz w:val="22"/>
          <w:szCs w:val="22"/>
        </w:rPr>
      </w:pPr>
      <w:r w:rsidRPr="00912A5D">
        <w:rPr>
          <w:rFonts w:ascii="Times New Roman" w:hAnsi="Times New Roman"/>
          <w:i/>
          <w:sz w:val="22"/>
          <w:szCs w:val="22"/>
        </w:rPr>
        <w:t>Hematologia</w:t>
      </w:r>
    </w:p>
    <w:p w14:paraId="586FC138" w14:textId="77777777" w:rsidR="00AE3698" w:rsidRPr="00912A5D" w:rsidRDefault="00AE3698">
      <w:pPr>
        <w:pStyle w:val="Text"/>
        <w:widowControl w:val="0"/>
        <w:spacing w:before="0"/>
        <w:jc w:val="left"/>
        <w:rPr>
          <w:color w:val="000000"/>
          <w:sz w:val="22"/>
          <w:szCs w:val="22"/>
          <w:lang w:val="fi-FI"/>
        </w:rPr>
      </w:pPr>
      <w:smartTag w:uri="urn:schemas-microsoft-com:office:smarttags" w:element="State">
        <w:r w:rsidRPr="00912A5D">
          <w:rPr>
            <w:color w:val="000000"/>
            <w:sz w:val="22"/>
            <w:szCs w:val="22"/>
            <w:lang w:val="fi-FI"/>
          </w:rPr>
          <w:t>KML</w:t>
        </w:r>
      </w:smartTag>
      <w:r w:rsidRPr="00912A5D">
        <w:rPr>
          <w:color w:val="000000"/>
          <w:sz w:val="22"/>
          <w:szCs w:val="22"/>
          <w:lang w:val="fi-FI"/>
        </w:rPr>
        <w:t xml:space="preserve">-potilailla sytopeniat, etenkin neutropenia ja trombosytopenia, ovat olleet yhdenmukainen löydös kaikissa tutkimuksissa, ja tiedot viittaavat siihen, että esiintymistiheys on suurempi suuria </w:t>
      </w:r>
      <w:r w:rsidRPr="00912A5D">
        <w:rPr>
          <w:color w:val="000000"/>
          <w:sz w:val="22"/>
          <w:szCs w:val="22"/>
          <w:lang w:val="fi-FI"/>
        </w:rPr>
        <w:sym w:font="Symbol" w:char="F0B3"/>
      </w:r>
      <w:r w:rsidRPr="00912A5D">
        <w:rPr>
          <w:color w:val="000000"/>
          <w:sz w:val="22"/>
          <w:szCs w:val="22"/>
          <w:lang w:val="fi-FI"/>
        </w:rPr>
        <w:t> 750 mg:n annoksia käytettäessä (I vaiheen tutkimus). Sytopenioiden esiintyminen riippui kuitenkin selvästi myös taudin vaiheesta. Kolmannen ja neljännen asteen neutropenioiden (ANC &lt; 1,0 x 10</w:t>
      </w:r>
      <w:r w:rsidRPr="00912A5D">
        <w:rPr>
          <w:color w:val="000000"/>
          <w:sz w:val="22"/>
          <w:szCs w:val="22"/>
          <w:vertAlign w:val="superscript"/>
          <w:lang w:val="fi-FI"/>
        </w:rPr>
        <w:t>9</w:t>
      </w:r>
      <w:r w:rsidRPr="00912A5D">
        <w:rPr>
          <w:color w:val="000000"/>
          <w:sz w:val="22"/>
          <w:szCs w:val="22"/>
          <w:lang w:val="fi-FI"/>
        </w:rPr>
        <w:t>/l) ja trombosytopenioiden (trombosyyttiarvo &lt; 50 x 10</w:t>
      </w:r>
      <w:r w:rsidRPr="00912A5D">
        <w:rPr>
          <w:color w:val="000000"/>
          <w:sz w:val="22"/>
          <w:szCs w:val="22"/>
          <w:vertAlign w:val="superscript"/>
          <w:lang w:val="fi-FI"/>
        </w:rPr>
        <w:t>9</w:t>
      </w:r>
      <w:r w:rsidRPr="00912A5D">
        <w:rPr>
          <w:color w:val="000000"/>
          <w:sz w:val="22"/>
          <w:szCs w:val="22"/>
          <w:lang w:val="fi-FI"/>
        </w:rPr>
        <w:t>/l) esiintymistiheys oli 4–6 kertaa suurempi blastikriisissä ja akseleraatiovaiheessa olevilla potilailla (neutropenia 59–64 % ja trombosytopenia 44–63 %) verrattuna kroonisen myelooisen leukemian kroonisessa vaiheessa oleviin potilaisiin, joiden sairaus oli vasta diagnosoitu (neutropenia 16,7 % ja trombosytopenia 8,9 %). Vasta diagnosoidussa kroonisen myelooisen leukemian kroonisessa vaiheessa 4. asteen neutropeniaa (ANC &lt; 0,5 x 10</w:t>
      </w:r>
      <w:r w:rsidRPr="00912A5D">
        <w:rPr>
          <w:color w:val="000000"/>
          <w:sz w:val="22"/>
          <w:szCs w:val="22"/>
          <w:vertAlign w:val="superscript"/>
          <w:lang w:val="fi-FI"/>
        </w:rPr>
        <w:t>9</w:t>
      </w:r>
      <w:r w:rsidRPr="00912A5D">
        <w:rPr>
          <w:color w:val="000000"/>
          <w:sz w:val="22"/>
          <w:szCs w:val="22"/>
          <w:lang w:val="fi-FI"/>
        </w:rPr>
        <w:t>/l) havaittiin 3,6 %:lla potilaista ja trombosytopeniaa (trombosyyttiarvo &lt; 10 x 10</w:t>
      </w:r>
      <w:r w:rsidRPr="00912A5D">
        <w:rPr>
          <w:color w:val="000000"/>
          <w:sz w:val="22"/>
          <w:szCs w:val="22"/>
          <w:vertAlign w:val="superscript"/>
          <w:lang w:val="fi-FI"/>
        </w:rPr>
        <w:t>9</w:t>
      </w:r>
      <w:r w:rsidRPr="00912A5D">
        <w:rPr>
          <w:color w:val="000000"/>
          <w:sz w:val="22"/>
          <w:szCs w:val="22"/>
          <w:lang w:val="fi-FI"/>
        </w:rPr>
        <w:t>/l) &lt; 1 %:lla potilaista. Neutropeniajaksojen mediaanikesto oli yleensä 2–3 viikkoa ja trombosytopeniajaksojen yleensä 3–4 viikkoa. Nämä tapahtumat voidaan yleensä hoitaa joko pienentämällä Glivec-annosta tai keskeyttämällä hoito, mutta ne voivat harvoissa tapauksissa johtaa hoidon pysyvään keskeyttämiseen. KML:aa sairastavilla lapsipotilailla yleisimmin todettuja toksisia vaikutuksia olivat 3. ja 4. asteen sytopeniat, kuten neutropenia, trombosytopenia ja anemia. Niitä esiintyy yleensä ensimmäisten hoitokuukausien aikana.</w:t>
      </w:r>
    </w:p>
    <w:p w14:paraId="586FC139" w14:textId="77777777" w:rsidR="00AE3698" w:rsidRPr="00912A5D" w:rsidRDefault="00AE3698">
      <w:pPr>
        <w:pStyle w:val="Text"/>
        <w:widowControl w:val="0"/>
        <w:spacing w:before="0"/>
        <w:jc w:val="left"/>
        <w:rPr>
          <w:color w:val="000000"/>
          <w:sz w:val="22"/>
          <w:szCs w:val="22"/>
          <w:lang w:val="fi-FI"/>
        </w:rPr>
      </w:pPr>
    </w:p>
    <w:p w14:paraId="586FC13A" w14:textId="77777777" w:rsidR="00AE3698" w:rsidRPr="00912A5D" w:rsidRDefault="00A627D5">
      <w:pPr>
        <w:pStyle w:val="Text"/>
        <w:widowControl w:val="0"/>
        <w:spacing w:before="0"/>
        <w:jc w:val="left"/>
        <w:rPr>
          <w:color w:val="000000"/>
          <w:sz w:val="22"/>
          <w:szCs w:val="22"/>
          <w:lang w:val="fi-FI"/>
        </w:rPr>
      </w:pPr>
      <w:r w:rsidRPr="00912A5D">
        <w:rPr>
          <w:color w:val="000000"/>
          <w:sz w:val="22"/>
          <w:szCs w:val="22"/>
          <w:lang w:val="fi-FI"/>
        </w:rPr>
        <w:t>GIST-</w:t>
      </w:r>
      <w:r w:rsidRPr="00821CC4">
        <w:rPr>
          <w:sz w:val="22"/>
          <w:szCs w:val="22"/>
          <w:lang w:val="fi-FI"/>
        </w:rPr>
        <w:t>tutkimuksessa, kun potilaiden kasvainta ei voida leikata ja/tai kun kasvain on metastasoitunut</w:t>
      </w:r>
      <w:r>
        <w:rPr>
          <w:sz w:val="22"/>
          <w:szCs w:val="22"/>
          <w:lang w:val="fi-FI"/>
        </w:rPr>
        <w:t>,</w:t>
      </w:r>
      <w:r w:rsidRPr="00821CC4">
        <w:rPr>
          <w:sz w:val="22"/>
          <w:szCs w:val="22"/>
          <w:lang w:val="fi-FI"/>
        </w:rPr>
        <w:t xml:space="preserve"> </w:t>
      </w:r>
      <w:r w:rsidRPr="00912A5D">
        <w:rPr>
          <w:color w:val="000000"/>
          <w:sz w:val="22"/>
          <w:szCs w:val="22"/>
          <w:lang w:val="fi-FI"/>
        </w:rPr>
        <w:t>3. asteen</w:t>
      </w:r>
      <w:r w:rsidR="00AE3698" w:rsidRPr="00912A5D">
        <w:rPr>
          <w:color w:val="000000"/>
          <w:sz w:val="22"/>
          <w:szCs w:val="22"/>
          <w:lang w:val="fi-FI"/>
        </w:rPr>
        <w:t xml:space="preserve"> anemiaa raportoitiin 5,4 %:lla ja 4. asteen anemiaa 0,7 %:lla potilaista. Tähän ovat, ainakin joillain potilaista, voineet vaikuttaa ruuansulatuskanavan tai kasvaimensisäiset verenvuodot. </w:t>
      </w:r>
      <w:r w:rsidR="00AE3698" w:rsidRPr="00912A5D">
        <w:rPr>
          <w:color w:val="000000"/>
          <w:sz w:val="22"/>
          <w:szCs w:val="22"/>
          <w:lang w:val="fi-FI"/>
        </w:rPr>
        <w:lastRenderedPageBreak/>
        <w:t>Kolmannen asteen neutropeniaa havaittiin 7,5 %:lla; 4. asteen neutropeniaa 2,7 %:lla ja 3. asteen trombosytopeniaa 0,7 %:lla potilaista. Yhdelläkään potilaalla ei havaittu 4. asteen trombosytopeniaa. Valkosolujen ja neutrofiilien määrät laskivat pääasiassa hoidon ensimmäisten kuuden viikon aikana, minkä jälkeen arvot pysyivät suhteellisen vakiona.</w:t>
      </w:r>
    </w:p>
    <w:p w14:paraId="586FC13B" w14:textId="77777777" w:rsidR="00AE3698" w:rsidRPr="00912A5D" w:rsidRDefault="00AE3698">
      <w:pPr>
        <w:pStyle w:val="Text"/>
        <w:widowControl w:val="0"/>
        <w:spacing w:before="0"/>
        <w:jc w:val="left"/>
        <w:rPr>
          <w:color w:val="000000"/>
          <w:sz w:val="22"/>
          <w:szCs w:val="22"/>
          <w:lang w:val="fi-FI"/>
        </w:rPr>
      </w:pPr>
    </w:p>
    <w:p w14:paraId="586FC13C" w14:textId="77777777" w:rsidR="00AE3698" w:rsidRPr="00912A5D" w:rsidRDefault="00AE3698" w:rsidP="00345374">
      <w:pPr>
        <w:pStyle w:val="Text"/>
        <w:keepNext/>
        <w:widowControl w:val="0"/>
        <w:spacing w:before="0"/>
        <w:jc w:val="left"/>
        <w:rPr>
          <w:i/>
          <w:color w:val="000000"/>
          <w:sz w:val="22"/>
          <w:szCs w:val="22"/>
          <w:lang w:val="fi-FI"/>
        </w:rPr>
      </w:pPr>
      <w:r w:rsidRPr="00912A5D">
        <w:rPr>
          <w:i/>
          <w:color w:val="000000"/>
          <w:sz w:val="22"/>
          <w:szCs w:val="22"/>
          <w:lang w:val="fi-FI"/>
        </w:rPr>
        <w:t>Biokemia</w:t>
      </w:r>
    </w:p>
    <w:p w14:paraId="586FC13D" w14:textId="77777777" w:rsidR="00AE3698" w:rsidRPr="00912A5D" w:rsidRDefault="00AE3698">
      <w:pPr>
        <w:pStyle w:val="Text"/>
        <w:widowControl w:val="0"/>
        <w:spacing w:before="0"/>
        <w:jc w:val="left"/>
        <w:rPr>
          <w:color w:val="000000"/>
          <w:sz w:val="22"/>
          <w:szCs w:val="22"/>
          <w:lang w:val="fi-FI"/>
        </w:rPr>
      </w:pPr>
      <w:smartTag w:uri="urn:schemas-microsoft-com:office:smarttags" w:element="State">
        <w:r w:rsidRPr="00912A5D">
          <w:rPr>
            <w:color w:val="000000"/>
            <w:sz w:val="22"/>
            <w:szCs w:val="22"/>
            <w:lang w:val="fi-FI"/>
          </w:rPr>
          <w:t>KML</w:t>
        </w:r>
      </w:smartTag>
      <w:r w:rsidRPr="00912A5D">
        <w:rPr>
          <w:color w:val="000000"/>
          <w:sz w:val="22"/>
          <w:szCs w:val="22"/>
          <w:lang w:val="fi-FI"/>
        </w:rPr>
        <w:t xml:space="preserve">-potilailla havaittiin huomattavaa transaminaasi- (&lt; 5 %) tai bilirubiiniarvojen (&lt; 1 %) nousua ja se saatiin yleensä hoidettua pienentämällä annosta tai keskeyttämällä hoito (näiden jaksojen mediaanikesto oli noin yksi viikko). Hoito lopetettiin pysyvästi poikkeavien maksa-arvojen vuoksi alle 1 %:lla </w:t>
      </w:r>
      <w:smartTag w:uri="urn:schemas-microsoft-com:office:smarttags" w:element="State">
        <w:r w:rsidRPr="00912A5D">
          <w:rPr>
            <w:color w:val="000000"/>
            <w:sz w:val="22"/>
            <w:szCs w:val="22"/>
            <w:lang w:val="fi-FI"/>
          </w:rPr>
          <w:t>KML</w:t>
        </w:r>
      </w:smartTag>
      <w:r w:rsidRPr="00912A5D">
        <w:rPr>
          <w:color w:val="000000"/>
          <w:sz w:val="22"/>
          <w:szCs w:val="22"/>
          <w:lang w:val="fi-FI"/>
        </w:rPr>
        <w:t>-potilaista. GIST-potilaista (tutkimus B2222) 6,8 %:lla havaittiin kolmannen tai neljännen asteen ALAT:in (alaniiniaminotransferaasin) pitoisuuden nousu ja 4,8 %:lla kolmannen tai neljännen asteen ASAT:in (aspartaattiaminotransferaasin) nousu. Bilirubiinin nousua havaittiin alle 3 %:lla.</w:t>
      </w:r>
    </w:p>
    <w:p w14:paraId="586FC13E" w14:textId="77777777" w:rsidR="00AE3698" w:rsidRPr="00912A5D" w:rsidRDefault="00AE3698">
      <w:pPr>
        <w:pStyle w:val="Text"/>
        <w:widowControl w:val="0"/>
        <w:spacing w:before="0"/>
        <w:jc w:val="left"/>
        <w:rPr>
          <w:color w:val="000000"/>
          <w:sz w:val="22"/>
          <w:szCs w:val="22"/>
          <w:lang w:val="fi-FI"/>
        </w:rPr>
      </w:pPr>
    </w:p>
    <w:p w14:paraId="586FC13F" w14:textId="77777777" w:rsidR="00AE3698" w:rsidRDefault="00AE3698">
      <w:pPr>
        <w:pStyle w:val="Text"/>
        <w:widowControl w:val="0"/>
        <w:spacing w:before="0"/>
        <w:jc w:val="left"/>
        <w:rPr>
          <w:color w:val="000000"/>
          <w:sz w:val="22"/>
          <w:szCs w:val="22"/>
          <w:lang w:val="fi-FI"/>
        </w:rPr>
      </w:pPr>
      <w:r w:rsidRPr="00912A5D">
        <w:rPr>
          <w:color w:val="000000"/>
          <w:sz w:val="22"/>
          <w:szCs w:val="22"/>
          <w:lang w:val="fi-FI"/>
        </w:rPr>
        <w:t>Sytolyyttistä ja kolestaattista maksatulehdusta ja vaikeaa maksan vajaatoimintaa on havaittu, jotka joissain tapauksissa ovat johtaneet kuolemaan, kuten yhdellä suuren parasetamoliannoksen saaneella potilaalla.</w:t>
      </w:r>
    </w:p>
    <w:p w14:paraId="586FC140" w14:textId="77777777" w:rsidR="00937FA3" w:rsidRPr="00912A5D" w:rsidRDefault="00937FA3">
      <w:pPr>
        <w:pStyle w:val="Text"/>
        <w:widowControl w:val="0"/>
        <w:spacing w:before="0"/>
        <w:jc w:val="left"/>
        <w:rPr>
          <w:color w:val="000000"/>
          <w:sz w:val="22"/>
          <w:szCs w:val="22"/>
          <w:lang w:val="fi-FI"/>
        </w:rPr>
      </w:pPr>
    </w:p>
    <w:p w14:paraId="586FC141" w14:textId="77777777" w:rsidR="00AA682A" w:rsidRDefault="00AA682A" w:rsidP="00F820AB">
      <w:pPr>
        <w:pStyle w:val="Text"/>
        <w:keepNext/>
        <w:widowControl w:val="0"/>
        <w:spacing w:before="0"/>
        <w:jc w:val="left"/>
        <w:rPr>
          <w:color w:val="000000"/>
          <w:sz w:val="22"/>
          <w:szCs w:val="22"/>
          <w:u w:val="single"/>
          <w:lang w:val="fi-FI"/>
        </w:rPr>
      </w:pPr>
      <w:r w:rsidRPr="00AA682A">
        <w:rPr>
          <w:color w:val="000000"/>
          <w:sz w:val="22"/>
          <w:szCs w:val="22"/>
          <w:u w:val="single"/>
          <w:lang w:val="fi-FI"/>
        </w:rPr>
        <w:t>Valikoitujen haittavaikutusten kuvaus</w:t>
      </w:r>
    </w:p>
    <w:p w14:paraId="586FC142" w14:textId="77777777" w:rsidR="00AA682A" w:rsidRPr="00A64BF0" w:rsidRDefault="00A64BF0" w:rsidP="00F820AB">
      <w:pPr>
        <w:pStyle w:val="Text"/>
        <w:keepNext/>
        <w:widowControl w:val="0"/>
        <w:spacing w:before="0"/>
        <w:jc w:val="left"/>
        <w:rPr>
          <w:i/>
          <w:color w:val="000000"/>
          <w:sz w:val="22"/>
          <w:szCs w:val="22"/>
          <w:u w:val="single"/>
          <w:lang w:val="fi-FI"/>
        </w:rPr>
      </w:pPr>
      <w:r w:rsidRPr="00A64BF0">
        <w:rPr>
          <w:i/>
          <w:color w:val="000000"/>
          <w:sz w:val="22"/>
          <w:szCs w:val="22"/>
          <w:u w:val="single"/>
          <w:lang w:val="fi-FI"/>
        </w:rPr>
        <w:t>Hepatiitti B:n uudelleen aktivoituminen</w:t>
      </w:r>
    </w:p>
    <w:p w14:paraId="586FC143" w14:textId="77777777" w:rsidR="00AA682A" w:rsidRPr="00AA682A" w:rsidRDefault="00AA682A" w:rsidP="00937FA3">
      <w:pPr>
        <w:pStyle w:val="Text"/>
        <w:widowControl w:val="0"/>
        <w:spacing w:before="0"/>
        <w:jc w:val="left"/>
        <w:rPr>
          <w:color w:val="000000"/>
          <w:sz w:val="22"/>
          <w:szCs w:val="22"/>
          <w:lang w:val="fi-FI"/>
        </w:rPr>
      </w:pPr>
      <w:r w:rsidRPr="00AA682A">
        <w:rPr>
          <w:color w:val="000000"/>
          <w:sz w:val="22"/>
          <w:szCs w:val="22"/>
          <w:lang w:val="fi-FI"/>
        </w:rPr>
        <w:t>Hepatiitti B:n uudelleen aktivoitumista on ilmoitettu BCR-ABL-tyrosiinikinaasin estäjien käytön yhteydessä. Tämä aiheutti joissakin tapauksissa maksan vajaatoimintaa tai fulminanttia hepatiittia, joka johti maksansiirtoon tai kuolemaan (ks. kohta</w:t>
      </w:r>
      <w:r w:rsidR="00C92473">
        <w:rPr>
          <w:color w:val="000000"/>
          <w:sz w:val="22"/>
          <w:szCs w:val="22"/>
          <w:lang w:val="fi-FI"/>
        </w:rPr>
        <w:t> </w:t>
      </w:r>
      <w:r w:rsidRPr="00AA682A">
        <w:rPr>
          <w:color w:val="000000"/>
          <w:sz w:val="22"/>
          <w:szCs w:val="22"/>
          <w:lang w:val="fi-FI"/>
        </w:rPr>
        <w:t>4.4).</w:t>
      </w:r>
    </w:p>
    <w:p w14:paraId="586FC144" w14:textId="77777777" w:rsidR="00AA682A" w:rsidRDefault="00AA682A" w:rsidP="00937FA3">
      <w:pPr>
        <w:pStyle w:val="Text"/>
        <w:widowControl w:val="0"/>
        <w:spacing w:before="0"/>
        <w:jc w:val="left"/>
        <w:rPr>
          <w:color w:val="000000"/>
          <w:sz w:val="22"/>
          <w:szCs w:val="22"/>
          <w:u w:val="single"/>
          <w:lang w:val="fi-FI"/>
        </w:rPr>
      </w:pPr>
    </w:p>
    <w:p w14:paraId="586FC145" w14:textId="77777777" w:rsidR="00F00548" w:rsidRPr="00937FA3" w:rsidRDefault="00F00548" w:rsidP="00345374">
      <w:pPr>
        <w:pStyle w:val="Text"/>
        <w:keepNext/>
        <w:widowControl w:val="0"/>
        <w:spacing w:before="0"/>
        <w:jc w:val="left"/>
        <w:rPr>
          <w:color w:val="000000"/>
          <w:sz w:val="22"/>
          <w:szCs w:val="22"/>
          <w:u w:val="single"/>
          <w:lang w:val="fi-FI"/>
        </w:rPr>
      </w:pPr>
      <w:r w:rsidRPr="00937FA3">
        <w:rPr>
          <w:color w:val="000000"/>
          <w:sz w:val="22"/>
          <w:szCs w:val="22"/>
          <w:u w:val="single"/>
          <w:lang w:val="fi-FI"/>
        </w:rPr>
        <w:t>Epäillyistä haittavaikutuksista ilmoittaminen</w:t>
      </w:r>
    </w:p>
    <w:p w14:paraId="586FC146" w14:textId="77777777" w:rsidR="00AE3698" w:rsidRDefault="00F00548" w:rsidP="00F00548">
      <w:pPr>
        <w:pStyle w:val="Text"/>
        <w:widowControl w:val="0"/>
        <w:spacing w:before="0"/>
        <w:jc w:val="left"/>
        <w:rPr>
          <w:sz w:val="22"/>
          <w:szCs w:val="22"/>
          <w:lang w:val="fi-FI"/>
        </w:rPr>
      </w:pPr>
      <w:r>
        <w:rPr>
          <w:sz w:val="22"/>
          <w:szCs w:val="22"/>
          <w:lang w:val="fi-FI"/>
        </w:rPr>
        <w:t>On tärkeää ilmoittaa myyntiluvan myöntämisen jälkeisistä lääkevalmisteen epäillyistä haittavaikutuksista. Se mahdollistaa lääkevalmisteen</w:t>
      </w:r>
      <w:r w:rsidR="00C45B53">
        <w:rPr>
          <w:sz w:val="22"/>
          <w:szCs w:val="22"/>
          <w:lang w:val="fi-FI"/>
        </w:rPr>
        <w:t xml:space="preserve"> </w:t>
      </w:r>
      <w:r>
        <w:rPr>
          <w:sz w:val="22"/>
          <w:szCs w:val="22"/>
          <w:lang w:val="fi-FI"/>
        </w:rPr>
        <w:t>hyöty</w:t>
      </w:r>
      <w:r w:rsidR="0079155D">
        <w:rPr>
          <w:sz w:val="22"/>
          <w:szCs w:val="22"/>
          <w:lang w:val="fi-FI"/>
        </w:rPr>
        <w:t>–</w:t>
      </w:r>
      <w:r>
        <w:rPr>
          <w:sz w:val="22"/>
          <w:szCs w:val="22"/>
          <w:lang w:val="fi-FI"/>
        </w:rPr>
        <w:t>haitta</w:t>
      </w:r>
      <w:r w:rsidR="0079155D">
        <w:rPr>
          <w:sz w:val="22"/>
          <w:szCs w:val="22"/>
          <w:lang w:val="fi-FI"/>
        </w:rPr>
        <w:t>-</w:t>
      </w:r>
      <w:r>
        <w:rPr>
          <w:sz w:val="22"/>
          <w:szCs w:val="22"/>
          <w:lang w:val="fi-FI"/>
        </w:rPr>
        <w:t xml:space="preserve">tasapainon jatkuvan arvioinnin. Terveydenhuollon ammattilaisia pyydetään ilmoittamaan kaikista epäillyistä haittavaikutuksista </w:t>
      </w:r>
      <w:hyperlink r:id="rId12" w:history="1">
        <w:r w:rsidRPr="00F82497">
          <w:rPr>
            <w:rStyle w:val="Hyperlink"/>
            <w:sz w:val="22"/>
            <w:szCs w:val="22"/>
            <w:shd w:val="clear" w:color="auto" w:fill="D9D9D9"/>
            <w:lang w:val="fi-FI"/>
          </w:rPr>
          <w:t>liitteessä V</w:t>
        </w:r>
      </w:hyperlink>
      <w:r w:rsidRPr="00F82497">
        <w:rPr>
          <w:rStyle w:val="Hyperlink"/>
          <w:sz w:val="22"/>
          <w:szCs w:val="22"/>
          <w:shd w:val="clear" w:color="auto" w:fill="D9D9D9"/>
          <w:lang w:val="fi-FI"/>
        </w:rPr>
        <w:t xml:space="preserve"> </w:t>
      </w:r>
      <w:r w:rsidRPr="00F82497">
        <w:rPr>
          <w:sz w:val="22"/>
          <w:szCs w:val="22"/>
          <w:shd w:val="clear" w:color="auto" w:fill="D9D9D9"/>
          <w:lang w:val="fi-FI"/>
        </w:rPr>
        <w:t>luetellun kansallisen ilmoitusjärjestelmän kautta</w:t>
      </w:r>
      <w:r w:rsidRPr="00F82497">
        <w:rPr>
          <w:sz w:val="22"/>
          <w:szCs w:val="22"/>
          <w:lang w:val="fi-FI"/>
        </w:rPr>
        <w:t>.</w:t>
      </w:r>
    </w:p>
    <w:p w14:paraId="586FC147" w14:textId="77777777" w:rsidR="00F00548" w:rsidRPr="00912A5D" w:rsidRDefault="00F00548" w:rsidP="00F00548">
      <w:pPr>
        <w:pStyle w:val="Text"/>
        <w:widowControl w:val="0"/>
        <w:spacing w:before="0"/>
        <w:jc w:val="left"/>
        <w:rPr>
          <w:color w:val="000000"/>
          <w:sz w:val="22"/>
          <w:szCs w:val="22"/>
          <w:lang w:val="fi-FI"/>
        </w:rPr>
      </w:pPr>
    </w:p>
    <w:p w14:paraId="586FC148"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4.9</w:t>
      </w:r>
      <w:r w:rsidRPr="00912A5D">
        <w:rPr>
          <w:rFonts w:ascii="Times New Roman" w:hAnsi="Times New Roman"/>
          <w:b/>
          <w:sz w:val="22"/>
          <w:szCs w:val="22"/>
        </w:rPr>
        <w:tab/>
        <w:t>Yliannostus</w:t>
      </w:r>
    </w:p>
    <w:p w14:paraId="586FC149" w14:textId="77777777" w:rsidR="00AE3698" w:rsidRPr="00912A5D" w:rsidRDefault="00AE3698" w:rsidP="00345374">
      <w:pPr>
        <w:keepNext/>
        <w:widowControl w:val="0"/>
        <w:rPr>
          <w:rFonts w:ascii="Times New Roman" w:hAnsi="Times New Roman"/>
          <w:sz w:val="22"/>
          <w:szCs w:val="22"/>
        </w:rPr>
      </w:pPr>
    </w:p>
    <w:p w14:paraId="586FC14A" w14:textId="77777777" w:rsidR="00AB135E" w:rsidRDefault="00D505A8">
      <w:pPr>
        <w:pStyle w:val="EndnoteText"/>
        <w:widowControl w:val="0"/>
        <w:tabs>
          <w:tab w:val="clear" w:pos="567"/>
        </w:tabs>
        <w:rPr>
          <w:color w:val="000000"/>
          <w:szCs w:val="22"/>
          <w:lang w:val="fi-FI"/>
        </w:rPr>
      </w:pPr>
      <w:r>
        <w:rPr>
          <w:color w:val="000000"/>
          <w:szCs w:val="22"/>
          <w:lang w:val="fi-FI"/>
        </w:rPr>
        <w:t xml:space="preserve">Kokemusta </w:t>
      </w:r>
      <w:r w:rsidR="00E62A59">
        <w:rPr>
          <w:color w:val="000000"/>
          <w:szCs w:val="22"/>
          <w:lang w:val="fi-FI"/>
        </w:rPr>
        <w:t>suositellun terapeuttisen annostuksen</w:t>
      </w:r>
      <w:r>
        <w:rPr>
          <w:color w:val="000000"/>
          <w:szCs w:val="22"/>
          <w:lang w:val="fi-FI"/>
        </w:rPr>
        <w:t xml:space="preserve"> ylittämisestä on vain rajoitetusti. Yksittäisiä Glivec-yliannostu</w:t>
      </w:r>
      <w:r w:rsidR="00E62A59">
        <w:rPr>
          <w:color w:val="000000"/>
          <w:szCs w:val="22"/>
          <w:lang w:val="fi-FI"/>
        </w:rPr>
        <w:t>stapauksia</w:t>
      </w:r>
      <w:r>
        <w:rPr>
          <w:color w:val="000000"/>
          <w:szCs w:val="22"/>
          <w:lang w:val="fi-FI"/>
        </w:rPr>
        <w:t xml:space="preserve"> on raportoitu spontaanisti ja kirjallisuudessa.Yliannostustapauksissa potilasta tulee seurata ja asianmukainen </w:t>
      </w:r>
      <w:r w:rsidR="00982416">
        <w:rPr>
          <w:color w:val="000000"/>
          <w:szCs w:val="22"/>
          <w:lang w:val="fi-FI"/>
        </w:rPr>
        <w:t>oireellinen</w:t>
      </w:r>
      <w:r>
        <w:rPr>
          <w:color w:val="000000"/>
          <w:szCs w:val="22"/>
          <w:lang w:val="fi-FI"/>
        </w:rPr>
        <w:t xml:space="preserve"> hoito antaa.</w:t>
      </w:r>
      <w:r w:rsidR="00982416">
        <w:rPr>
          <w:color w:val="000000"/>
          <w:szCs w:val="22"/>
          <w:lang w:val="fi-FI"/>
        </w:rPr>
        <w:t xml:space="preserve"> Useimmiten raportoitu tulos näissä tapauksissa oli ”kohentunut” tai ”toipunut”. Tapauksia jotka on raportoitu muissa annosväleissä</w:t>
      </w:r>
      <w:r w:rsidR="00AB135E">
        <w:rPr>
          <w:color w:val="000000"/>
          <w:szCs w:val="22"/>
          <w:lang w:val="fi-FI"/>
        </w:rPr>
        <w:t>:</w:t>
      </w:r>
    </w:p>
    <w:p w14:paraId="586FC14B" w14:textId="77777777" w:rsidR="00AB135E" w:rsidRDefault="00AB135E">
      <w:pPr>
        <w:pStyle w:val="EndnoteText"/>
        <w:widowControl w:val="0"/>
        <w:tabs>
          <w:tab w:val="clear" w:pos="567"/>
        </w:tabs>
        <w:rPr>
          <w:color w:val="000000"/>
          <w:szCs w:val="22"/>
          <w:lang w:val="fi-FI"/>
        </w:rPr>
      </w:pPr>
    </w:p>
    <w:p w14:paraId="586FC14C" w14:textId="77777777" w:rsidR="00AB135E" w:rsidRPr="00A74A4B" w:rsidRDefault="00D96BC6" w:rsidP="00345374">
      <w:pPr>
        <w:pStyle w:val="EndnoteText"/>
        <w:keepNext/>
        <w:widowControl w:val="0"/>
        <w:tabs>
          <w:tab w:val="clear" w:pos="567"/>
        </w:tabs>
        <w:rPr>
          <w:i/>
          <w:iCs/>
          <w:color w:val="000000"/>
          <w:szCs w:val="22"/>
          <w:lang w:val="fi-FI"/>
        </w:rPr>
      </w:pPr>
      <w:r w:rsidRPr="00D96BC6">
        <w:rPr>
          <w:i/>
          <w:iCs/>
          <w:color w:val="000000"/>
          <w:szCs w:val="22"/>
          <w:lang w:val="fi-FI"/>
        </w:rPr>
        <w:t>Aikuiset</w:t>
      </w:r>
    </w:p>
    <w:p w14:paraId="586FC14D" w14:textId="77777777" w:rsidR="00AB135E" w:rsidRDefault="00AB135E">
      <w:pPr>
        <w:pStyle w:val="EndnoteText"/>
        <w:widowControl w:val="0"/>
        <w:tabs>
          <w:tab w:val="clear" w:pos="567"/>
        </w:tabs>
        <w:rPr>
          <w:color w:val="000000"/>
          <w:szCs w:val="22"/>
          <w:lang w:val="fi-FI"/>
        </w:rPr>
      </w:pPr>
      <w:r>
        <w:rPr>
          <w:color w:val="000000"/>
          <w:szCs w:val="22"/>
          <w:lang w:val="fi-FI"/>
        </w:rPr>
        <w:t>1200</w:t>
      </w:r>
      <w:r w:rsidR="0048216F">
        <w:rPr>
          <w:color w:val="000000"/>
          <w:szCs w:val="22"/>
          <w:lang w:val="fi-FI"/>
        </w:rPr>
        <w:noBreakHyphen/>
      </w:r>
      <w:r>
        <w:rPr>
          <w:color w:val="000000"/>
          <w:szCs w:val="22"/>
          <w:lang w:val="fi-FI"/>
        </w:rPr>
        <w:t>1600 mg (</w:t>
      </w:r>
      <w:r w:rsidR="00A740AB">
        <w:rPr>
          <w:color w:val="000000"/>
          <w:szCs w:val="22"/>
          <w:lang w:val="fi-FI"/>
        </w:rPr>
        <w:t xml:space="preserve">kestäen </w:t>
      </w:r>
      <w:r>
        <w:rPr>
          <w:color w:val="000000"/>
          <w:szCs w:val="22"/>
          <w:lang w:val="fi-FI"/>
        </w:rPr>
        <w:t xml:space="preserve">vaihtelevasti </w:t>
      </w:r>
      <w:r w:rsidR="00A740AB">
        <w:rPr>
          <w:color w:val="000000"/>
          <w:szCs w:val="22"/>
          <w:lang w:val="fi-FI"/>
        </w:rPr>
        <w:t>1</w:t>
      </w:r>
      <w:r w:rsidR="00CB241C">
        <w:rPr>
          <w:color w:val="000000"/>
          <w:szCs w:val="22"/>
          <w:lang w:val="fi-FI"/>
        </w:rPr>
        <w:noBreakHyphen/>
      </w:r>
      <w:r w:rsidR="00A740AB">
        <w:rPr>
          <w:color w:val="000000"/>
          <w:szCs w:val="22"/>
          <w:lang w:val="fi-FI"/>
        </w:rPr>
        <w:t>10</w:t>
      </w:r>
      <w:r w:rsidR="0048216F">
        <w:rPr>
          <w:color w:val="000000"/>
          <w:szCs w:val="22"/>
          <w:lang w:val="fi-FI"/>
        </w:rPr>
        <w:t> </w:t>
      </w:r>
      <w:r>
        <w:rPr>
          <w:color w:val="000000"/>
          <w:szCs w:val="22"/>
          <w:lang w:val="fi-FI"/>
        </w:rPr>
        <w:t xml:space="preserve">päivän </w:t>
      </w:r>
      <w:r w:rsidR="00E62A59">
        <w:rPr>
          <w:color w:val="000000"/>
          <w:szCs w:val="22"/>
          <w:lang w:val="fi-FI"/>
        </w:rPr>
        <w:t>välillä</w:t>
      </w:r>
      <w:r>
        <w:rPr>
          <w:color w:val="000000"/>
          <w:szCs w:val="22"/>
          <w:lang w:val="fi-FI"/>
        </w:rPr>
        <w:t>)</w:t>
      </w:r>
      <w:r w:rsidR="00F95461">
        <w:rPr>
          <w:color w:val="000000"/>
          <w:szCs w:val="22"/>
          <w:lang w:val="fi-FI"/>
        </w:rPr>
        <w:t>:</w:t>
      </w:r>
      <w:r w:rsidR="00585038">
        <w:rPr>
          <w:color w:val="000000"/>
          <w:szCs w:val="22"/>
          <w:lang w:val="fi-FI"/>
        </w:rPr>
        <w:t xml:space="preserve"> Pahoinvointia, oksentelua, ripulia, ihottuma, eryteema, edeema, turvotus, </w:t>
      </w:r>
      <w:r w:rsidR="00495E0D">
        <w:rPr>
          <w:color w:val="000000"/>
          <w:szCs w:val="22"/>
          <w:lang w:val="fi-FI"/>
        </w:rPr>
        <w:t xml:space="preserve">heikotus, lihasnykäyksiä, trombosytopenia, pansytopenia, vatsakipua, päänsärkyä, </w:t>
      </w:r>
      <w:r w:rsidR="00D94B28">
        <w:rPr>
          <w:color w:val="000000"/>
          <w:szCs w:val="22"/>
          <w:lang w:val="fi-FI"/>
        </w:rPr>
        <w:t>vähentynyt</w:t>
      </w:r>
      <w:r w:rsidR="00495E0D">
        <w:rPr>
          <w:color w:val="000000"/>
          <w:szCs w:val="22"/>
          <w:lang w:val="fi-FI"/>
        </w:rPr>
        <w:t xml:space="preserve"> ruokahalu.</w:t>
      </w:r>
    </w:p>
    <w:p w14:paraId="586FC14E" w14:textId="77777777" w:rsidR="00495E0D" w:rsidRDefault="00495E0D">
      <w:pPr>
        <w:pStyle w:val="EndnoteText"/>
        <w:widowControl w:val="0"/>
        <w:tabs>
          <w:tab w:val="clear" w:pos="567"/>
        </w:tabs>
        <w:rPr>
          <w:color w:val="000000"/>
          <w:szCs w:val="22"/>
          <w:lang w:val="fi-FI"/>
        </w:rPr>
      </w:pPr>
      <w:r>
        <w:rPr>
          <w:color w:val="000000"/>
          <w:szCs w:val="22"/>
          <w:lang w:val="fi-FI"/>
        </w:rPr>
        <w:t>1800</w:t>
      </w:r>
      <w:r w:rsidR="0048216F">
        <w:rPr>
          <w:color w:val="000000"/>
          <w:szCs w:val="22"/>
          <w:lang w:val="fi-FI"/>
        </w:rPr>
        <w:noBreakHyphen/>
      </w:r>
      <w:r>
        <w:rPr>
          <w:color w:val="000000"/>
          <w:szCs w:val="22"/>
          <w:lang w:val="fi-FI"/>
        </w:rPr>
        <w:t>3200 mg (jopa 3200 mg päivässä 6 päivän ajan): Voimattomuus, myalgia, suurentunut kreatiniini fosfokinaasi, suurentunut bilirubiini, ruuansulatuskanavan kipu</w:t>
      </w:r>
      <w:r w:rsidR="0048216F">
        <w:rPr>
          <w:color w:val="000000"/>
          <w:szCs w:val="22"/>
          <w:lang w:val="fi-FI"/>
        </w:rPr>
        <w:t>.</w:t>
      </w:r>
    </w:p>
    <w:p w14:paraId="586FC14F" w14:textId="77777777" w:rsidR="00495E0D" w:rsidRDefault="00495E0D">
      <w:pPr>
        <w:pStyle w:val="EndnoteText"/>
        <w:widowControl w:val="0"/>
        <w:tabs>
          <w:tab w:val="clear" w:pos="567"/>
        </w:tabs>
        <w:rPr>
          <w:color w:val="000000"/>
          <w:szCs w:val="22"/>
          <w:lang w:val="fi-FI"/>
        </w:rPr>
      </w:pPr>
      <w:r>
        <w:rPr>
          <w:color w:val="000000"/>
          <w:szCs w:val="22"/>
          <w:lang w:val="fi-FI"/>
        </w:rPr>
        <w:t xml:space="preserve">6400 mg (kerta-annos): Yksi kirjallisuusraportti yhdestä potilaasta joka koki pahoinvointia, oksentelua, vatsakipua, kuumetta, kasvojen turvotusta, </w:t>
      </w:r>
      <w:r w:rsidR="00CB241C">
        <w:rPr>
          <w:color w:val="000000"/>
          <w:szCs w:val="22"/>
          <w:lang w:val="fi-FI"/>
        </w:rPr>
        <w:t>alentunut</w:t>
      </w:r>
      <w:r>
        <w:rPr>
          <w:color w:val="000000"/>
          <w:szCs w:val="22"/>
          <w:lang w:val="fi-FI"/>
        </w:rPr>
        <w:t xml:space="preserve"> neutrofiililuku, kohonneita transaminaasilukuja.</w:t>
      </w:r>
    </w:p>
    <w:p w14:paraId="586FC150" w14:textId="77777777" w:rsidR="00495E0D" w:rsidRDefault="00495E0D">
      <w:pPr>
        <w:pStyle w:val="EndnoteText"/>
        <w:widowControl w:val="0"/>
        <w:tabs>
          <w:tab w:val="clear" w:pos="567"/>
        </w:tabs>
        <w:rPr>
          <w:color w:val="000000"/>
          <w:szCs w:val="22"/>
          <w:lang w:val="fi-FI"/>
        </w:rPr>
      </w:pPr>
      <w:r>
        <w:rPr>
          <w:color w:val="000000"/>
          <w:szCs w:val="22"/>
          <w:lang w:val="fi-FI"/>
        </w:rPr>
        <w:t>8</w:t>
      </w:r>
      <w:r w:rsidR="0048216F">
        <w:rPr>
          <w:color w:val="000000"/>
          <w:szCs w:val="22"/>
          <w:lang w:val="fi-FI"/>
        </w:rPr>
        <w:noBreakHyphen/>
      </w:r>
      <w:r>
        <w:rPr>
          <w:color w:val="000000"/>
          <w:szCs w:val="22"/>
          <w:lang w:val="fi-FI"/>
        </w:rPr>
        <w:t>10 g (kerta-annos): Oksentelua ja ruuansulatuskanavan kipua on raportoitu.</w:t>
      </w:r>
    </w:p>
    <w:p w14:paraId="586FC151" w14:textId="77777777" w:rsidR="00495E0D" w:rsidRDefault="00495E0D">
      <w:pPr>
        <w:pStyle w:val="EndnoteText"/>
        <w:widowControl w:val="0"/>
        <w:tabs>
          <w:tab w:val="clear" w:pos="567"/>
        </w:tabs>
        <w:rPr>
          <w:color w:val="000000"/>
          <w:szCs w:val="22"/>
          <w:lang w:val="fi-FI"/>
        </w:rPr>
      </w:pPr>
    </w:p>
    <w:p w14:paraId="586FC152" w14:textId="77777777" w:rsidR="00495E0D" w:rsidRPr="00A74A4B" w:rsidRDefault="00D96BC6" w:rsidP="00345374">
      <w:pPr>
        <w:pStyle w:val="EndnoteText"/>
        <w:keepNext/>
        <w:widowControl w:val="0"/>
        <w:tabs>
          <w:tab w:val="clear" w:pos="567"/>
        </w:tabs>
        <w:rPr>
          <w:i/>
          <w:iCs/>
          <w:color w:val="000000"/>
          <w:szCs w:val="22"/>
          <w:lang w:val="fi-FI"/>
        </w:rPr>
      </w:pPr>
      <w:r w:rsidRPr="00D96BC6">
        <w:rPr>
          <w:i/>
          <w:iCs/>
          <w:color w:val="000000"/>
          <w:szCs w:val="22"/>
          <w:lang w:val="fi-FI"/>
        </w:rPr>
        <w:t>Pediatriset potilaat</w:t>
      </w:r>
    </w:p>
    <w:p w14:paraId="586FC153" w14:textId="77777777" w:rsidR="00F95461" w:rsidRDefault="00476F1B">
      <w:pPr>
        <w:pStyle w:val="EndnoteText"/>
        <w:widowControl w:val="0"/>
        <w:tabs>
          <w:tab w:val="clear" w:pos="567"/>
        </w:tabs>
        <w:rPr>
          <w:color w:val="000000"/>
          <w:szCs w:val="22"/>
          <w:lang w:val="fi-FI"/>
        </w:rPr>
      </w:pPr>
      <w:r>
        <w:rPr>
          <w:color w:val="000000"/>
          <w:szCs w:val="22"/>
          <w:lang w:val="fi-FI"/>
        </w:rPr>
        <w:t>Yksi 3-vuotias poika</w:t>
      </w:r>
      <w:r w:rsidR="00E62A59">
        <w:rPr>
          <w:color w:val="000000"/>
          <w:szCs w:val="22"/>
          <w:lang w:val="fi-FI"/>
        </w:rPr>
        <w:t>,</w:t>
      </w:r>
      <w:r>
        <w:rPr>
          <w:color w:val="000000"/>
          <w:szCs w:val="22"/>
          <w:lang w:val="fi-FI"/>
        </w:rPr>
        <w:t xml:space="preserve"> joka altistui 400 mg kerta-annokselle</w:t>
      </w:r>
      <w:r w:rsidR="00E62A59">
        <w:rPr>
          <w:color w:val="000000"/>
          <w:szCs w:val="22"/>
          <w:lang w:val="fi-FI"/>
        </w:rPr>
        <w:t>,</w:t>
      </w:r>
      <w:r>
        <w:rPr>
          <w:color w:val="000000"/>
          <w:szCs w:val="22"/>
          <w:lang w:val="fi-FI"/>
        </w:rPr>
        <w:t xml:space="preserve"> koki oksentelua, ripulia </w:t>
      </w:r>
      <w:r w:rsidR="00E62A59">
        <w:rPr>
          <w:color w:val="000000"/>
          <w:szCs w:val="22"/>
          <w:lang w:val="fi-FI"/>
        </w:rPr>
        <w:t>sekä</w:t>
      </w:r>
      <w:r>
        <w:rPr>
          <w:color w:val="000000"/>
          <w:szCs w:val="22"/>
          <w:lang w:val="fi-FI"/>
        </w:rPr>
        <w:t xml:space="preserve"> anoreksiaa</w:t>
      </w:r>
      <w:r w:rsidR="00E62A59">
        <w:rPr>
          <w:color w:val="000000"/>
          <w:szCs w:val="22"/>
          <w:lang w:val="fi-FI"/>
        </w:rPr>
        <w:t>,</w:t>
      </w:r>
      <w:r>
        <w:rPr>
          <w:color w:val="000000"/>
          <w:szCs w:val="22"/>
          <w:lang w:val="fi-FI"/>
        </w:rPr>
        <w:t xml:space="preserve"> ja toinen 3-vuotias poika</w:t>
      </w:r>
      <w:r w:rsidR="00E62A59">
        <w:rPr>
          <w:color w:val="000000"/>
          <w:szCs w:val="22"/>
          <w:lang w:val="fi-FI"/>
        </w:rPr>
        <w:t>,</w:t>
      </w:r>
      <w:r>
        <w:rPr>
          <w:color w:val="000000"/>
          <w:szCs w:val="22"/>
          <w:lang w:val="fi-FI"/>
        </w:rPr>
        <w:t xml:space="preserve"> joka altistui 980 mg kerta-annokselle</w:t>
      </w:r>
      <w:r w:rsidR="00E62A59">
        <w:rPr>
          <w:color w:val="000000"/>
          <w:szCs w:val="22"/>
          <w:lang w:val="fi-FI"/>
        </w:rPr>
        <w:t>,</w:t>
      </w:r>
      <w:r>
        <w:rPr>
          <w:color w:val="000000"/>
          <w:szCs w:val="22"/>
          <w:lang w:val="fi-FI"/>
        </w:rPr>
        <w:t xml:space="preserve"> koki veren valkosolumäärän alenemista sekä ripulia.</w:t>
      </w:r>
    </w:p>
    <w:p w14:paraId="586FC154" w14:textId="77777777" w:rsidR="00AE3698" w:rsidRPr="00912A5D" w:rsidRDefault="00AE3698">
      <w:pPr>
        <w:widowControl w:val="0"/>
        <w:rPr>
          <w:rFonts w:ascii="Times New Roman" w:hAnsi="Times New Roman"/>
          <w:sz w:val="22"/>
          <w:szCs w:val="22"/>
        </w:rPr>
      </w:pPr>
    </w:p>
    <w:p w14:paraId="586FC155"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Yliannostustapauksissa potilasta tulee tarkkailla ja antaa asiaankuuluvaa tukihoitoa.</w:t>
      </w:r>
    </w:p>
    <w:p w14:paraId="586FC156" w14:textId="77777777" w:rsidR="00AE3698" w:rsidRPr="00912A5D" w:rsidRDefault="00AE3698">
      <w:pPr>
        <w:widowControl w:val="0"/>
        <w:rPr>
          <w:rFonts w:ascii="Times New Roman" w:hAnsi="Times New Roman"/>
          <w:sz w:val="22"/>
          <w:szCs w:val="22"/>
        </w:rPr>
      </w:pPr>
    </w:p>
    <w:p w14:paraId="586FC157" w14:textId="77777777" w:rsidR="00AE3698" w:rsidRPr="00912A5D" w:rsidRDefault="00AE3698">
      <w:pPr>
        <w:widowControl w:val="0"/>
        <w:rPr>
          <w:rFonts w:ascii="Times New Roman" w:hAnsi="Times New Roman"/>
          <w:sz w:val="22"/>
          <w:szCs w:val="22"/>
        </w:rPr>
      </w:pPr>
    </w:p>
    <w:p w14:paraId="586FC158"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lastRenderedPageBreak/>
        <w:t>5.</w:t>
      </w:r>
      <w:r w:rsidRPr="00912A5D">
        <w:rPr>
          <w:rFonts w:ascii="Times New Roman" w:hAnsi="Times New Roman"/>
          <w:b/>
          <w:sz w:val="22"/>
          <w:szCs w:val="22"/>
        </w:rPr>
        <w:tab/>
        <w:t>FARMAKOLOGISET OMINAISUUDET</w:t>
      </w:r>
    </w:p>
    <w:p w14:paraId="586FC159" w14:textId="77777777" w:rsidR="00AE3698" w:rsidRPr="00912A5D" w:rsidRDefault="00AE3698" w:rsidP="00345374">
      <w:pPr>
        <w:keepNext/>
        <w:widowControl w:val="0"/>
        <w:suppressAutoHyphens/>
        <w:rPr>
          <w:rFonts w:ascii="Times New Roman" w:hAnsi="Times New Roman"/>
          <w:sz w:val="22"/>
          <w:szCs w:val="22"/>
        </w:rPr>
      </w:pPr>
    </w:p>
    <w:p w14:paraId="586FC15A" w14:textId="77777777" w:rsidR="00AE3698" w:rsidRPr="00912A5D" w:rsidRDefault="00AE3698" w:rsidP="00345374">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5.1</w:t>
      </w:r>
      <w:r w:rsidRPr="00912A5D">
        <w:rPr>
          <w:rFonts w:ascii="Times New Roman" w:hAnsi="Times New Roman"/>
          <w:b/>
          <w:sz w:val="22"/>
          <w:szCs w:val="22"/>
        </w:rPr>
        <w:tab/>
        <w:t>Farmakodynamiikka</w:t>
      </w:r>
    </w:p>
    <w:p w14:paraId="586FC15B" w14:textId="77777777" w:rsidR="00AE3698" w:rsidRPr="00912A5D" w:rsidRDefault="00AE3698" w:rsidP="00345374">
      <w:pPr>
        <w:pStyle w:val="EndnoteText"/>
        <w:keepNext/>
        <w:widowControl w:val="0"/>
        <w:tabs>
          <w:tab w:val="clear" w:pos="567"/>
        </w:tabs>
        <w:rPr>
          <w:color w:val="000000"/>
          <w:szCs w:val="22"/>
          <w:lang w:val="fi-FI"/>
        </w:rPr>
      </w:pPr>
    </w:p>
    <w:p w14:paraId="586FC15C"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Farmakoterapeuttinen ryhmä: proteiinityrosiinikinaasin estäjä, ATC-koodi: L01X</w:t>
      </w:r>
      <w:r w:rsidR="00EE3529" w:rsidRPr="00912A5D">
        <w:rPr>
          <w:rFonts w:ascii="Times New Roman" w:hAnsi="Times New Roman"/>
          <w:sz w:val="22"/>
          <w:szCs w:val="22"/>
        </w:rPr>
        <w:t>E01</w:t>
      </w:r>
    </w:p>
    <w:p w14:paraId="586FC15D" w14:textId="77777777" w:rsidR="00AE3698" w:rsidRPr="00912A5D" w:rsidRDefault="00AE3698">
      <w:pPr>
        <w:pStyle w:val="EndnoteText"/>
        <w:widowControl w:val="0"/>
        <w:tabs>
          <w:tab w:val="clear" w:pos="567"/>
        </w:tabs>
        <w:rPr>
          <w:color w:val="000000"/>
          <w:szCs w:val="22"/>
          <w:lang w:val="fi-FI"/>
        </w:rPr>
      </w:pPr>
    </w:p>
    <w:p w14:paraId="586FC15E" w14:textId="77777777" w:rsidR="00F46E0D" w:rsidRDefault="00F46E0D" w:rsidP="00345374">
      <w:pPr>
        <w:pStyle w:val="EndnoteText"/>
        <w:keepNext/>
        <w:widowControl w:val="0"/>
        <w:tabs>
          <w:tab w:val="clear" w:pos="567"/>
        </w:tabs>
        <w:rPr>
          <w:color w:val="000000"/>
          <w:szCs w:val="22"/>
          <w:u w:val="single"/>
          <w:lang w:val="fi-FI"/>
        </w:rPr>
      </w:pPr>
      <w:r w:rsidRPr="006E44D6">
        <w:rPr>
          <w:color w:val="000000"/>
          <w:szCs w:val="22"/>
          <w:u w:val="single"/>
          <w:lang w:val="fi-FI"/>
        </w:rPr>
        <w:t>Vaikutusmekanismi</w:t>
      </w:r>
    </w:p>
    <w:p w14:paraId="586FC15F" w14:textId="77777777" w:rsidR="00F46E0D" w:rsidRDefault="00F46E0D" w:rsidP="00F46E0D">
      <w:pPr>
        <w:pStyle w:val="EndnoteText"/>
        <w:widowControl w:val="0"/>
        <w:tabs>
          <w:tab w:val="clear" w:pos="567"/>
        </w:tabs>
        <w:rPr>
          <w:color w:val="000000"/>
          <w:szCs w:val="22"/>
          <w:u w:val="single"/>
          <w:lang w:val="fi-FI"/>
        </w:rPr>
      </w:pPr>
      <w:r>
        <w:rPr>
          <w:lang w:val="fi-FI"/>
        </w:rPr>
        <w:t>Imatinibi on pienimolekyylinen tyrosiinikinaasin estäjä, joka estää voimakkaasti Bcr-Abl-tyrosiinikinaasin toimintaa ja useita reseptorityrosiinikinaaseja (c-Kit-proto-onkogeenin koodaama kantasolutekijän [SCF] Kit-reseptori, DDR1- ja DDR2-reseptorit, kasvutekijäreseptori CSF-1R ja verihiutalekasvutekijäreseptorit alfa ja beeta [PDGFR-alfa ja PDGFR-beeta]). Imatinibi voi myös estää näiden reseptorikinaasien aktivaation välittämiä solutason tapahtumia.</w:t>
      </w:r>
    </w:p>
    <w:p w14:paraId="586FC160" w14:textId="77777777" w:rsidR="00F46E0D" w:rsidRDefault="00F46E0D" w:rsidP="00F46E0D">
      <w:pPr>
        <w:pStyle w:val="EndnoteText"/>
        <w:widowControl w:val="0"/>
        <w:tabs>
          <w:tab w:val="clear" w:pos="567"/>
        </w:tabs>
        <w:rPr>
          <w:color w:val="000000"/>
          <w:szCs w:val="22"/>
          <w:u w:val="single"/>
          <w:lang w:val="fi-FI"/>
        </w:rPr>
      </w:pPr>
    </w:p>
    <w:p w14:paraId="586FC161" w14:textId="77777777" w:rsidR="00F46E0D" w:rsidRDefault="00F46E0D" w:rsidP="00345374">
      <w:pPr>
        <w:pStyle w:val="EndnoteText"/>
        <w:keepNext/>
        <w:widowControl w:val="0"/>
        <w:tabs>
          <w:tab w:val="clear" w:pos="567"/>
        </w:tabs>
        <w:rPr>
          <w:color w:val="000000"/>
          <w:szCs w:val="22"/>
          <w:u w:val="single"/>
          <w:lang w:val="fi-FI"/>
        </w:rPr>
      </w:pPr>
      <w:r w:rsidRPr="006E44D6">
        <w:rPr>
          <w:color w:val="000000"/>
          <w:szCs w:val="22"/>
          <w:u w:val="single"/>
          <w:lang w:val="fi-FI"/>
        </w:rPr>
        <w:t>Farmakodynaamiset vaikutukset</w:t>
      </w:r>
    </w:p>
    <w:p w14:paraId="586FC162" w14:textId="77777777" w:rsidR="00AE3698" w:rsidRPr="00912A5D" w:rsidRDefault="00AE3698" w:rsidP="00F46E0D">
      <w:pPr>
        <w:pStyle w:val="EndnoteText"/>
        <w:widowControl w:val="0"/>
        <w:tabs>
          <w:tab w:val="clear" w:pos="567"/>
        </w:tabs>
        <w:rPr>
          <w:color w:val="000000"/>
          <w:szCs w:val="22"/>
          <w:lang w:val="fi-FI"/>
        </w:rPr>
      </w:pPr>
      <w:r w:rsidRPr="00912A5D">
        <w:rPr>
          <w:color w:val="000000"/>
          <w:szCs w:val="22"/>
          <w:lang w:val="fi-FI"/>
        </w:rPr>
        <w:t xml:space="preserve">Imatinibi on proteiinityrosiinikinaasin estäjä, joka estää voimakkaasti Bcr-Abl-tyrosiinikinaasia </w:t>
      </w:r>
      <w:r w:rsidRPr="00912A5D">
        <w:rPr>
          <w:i/>
          <w:color w:val="000000"/>
          <w:szCs w:val="22"/>
          <w:lang w:val="fi-FI"/>
        </w:rPr>
        <w:t>in vitro-,</w:t>
      </w:r>
      <w:r w:rsidRPr="00912A5D">
        <w:rPr>
          <w:color w:val="000000"/>
          <w:szCs w:val="22"/>
          <w:lang w:val="fi-FI"/>
        </w:rPr>
        <w:t xml:space="preserve"> solu- ja </w:t>
      </w:r>
      <w:r w:rsidRPr="00912A5D">
        <w:rPr>
          <w:i/>
          <w:color w:val="000000"/>
          <w:szCs w:val="22"/>
          <w:lang w:val="fi-FI"/>
        </w:rPr>
        <w:t>in vivo</w:t>
      </w:r>
      <w:r w:rsidRPr="00912A5D">
        <w:rPr>
          <w:color w:val="000000"/>
          <w:szCs w:val="22"/>
          <w:lang w:val="fi-FI"/>
        </w:rPr>
        <w:t xml:space="preserve"> -pitoisuuksina. Aine estää selektiivisesti proliferaatiota ja indusoi apoptoosia Bcr-Abl-positiivisissa solulinjoissa sekä tuoreissa leukemiasoluissa, jotka ovat peräisin Philadelphia-kromosomin suhteen positiivisilta kroonista myelooista leukemiaa sairastavilta potilailta sekä akuuttia lymfoblastista leukemiaa sairastavilta potilailta.</w:t>
      </w:r>
    </w:p>
    <w:p w14:paraId="586FC163" w14:textId="77777777" w:rsidR="00AE3698" w:rsidRPr="00912A5D" w:rsidRDefault="00AE3698">
      <w:pPr>
        <w:pStyle w:val="EndnoteText"/>
        <w:widowControl w:val="0"/>
        <w:tabs>
          <w:tab w:val="clear" w:pos="567"/>
        </w:tabs>
        <w:rPr>
          <w:color w:val="000000"/>
          <w:szCs w:val="22"/>
          <w:lang w:val="fi-FI"/>
        </w:rPr>
      </w:pPr>
    </w:p>
    <w:p w14:paraId="586FC164"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Aineella on kasvaimia estävä vaikutus </w:t>
      </w:r>
      <w:r w:rsidRPr="00912A5D">
        <w:rPr>
          <w:i/>
          <w:color w:val="000000"/>
          <w:szCs w:val="22"/>
          <w:lang w:val="fi-FI"/>
        </w:rPr>
        <w:t>in vivo,</w:t>
      </w:r>
      <w:r w:rsidRPr="00912A5D">
        <w:rPr>
          <w:color w:val="000000"/>
          <w:szCs w:val="22"/>
          <w:lang w:val="fi-FI"/>
        </w:rPr>
        <w:t xml:space="preserve"> kun sitä annetaan ainoana aineena eläinmalleissa, joissa käytetään Bcr-Abl-positiivisia kasvainsoluja.</w:t>
      </w:r>
    </w:p>
    <w:p w14:paraId="586FC165" w14:textId="77777777" w:rsidR="00AE3698" w:rsidRPr="00912A5D" w:rsidRDefault="00AE3698">
      <w:pPr>
        <w:pStyle w:val="EndnoteText"/>
        <w:widowControl w:val="0"/>
        <w:tabs>
          <w:tab w:val="clear" w:pos="567"/>
        </w:tabs>
        <w:rPr>
          <w:color w:val="000000"/>
          <w:szCs w:val="22"/>
          <w:lang w:val="fi-FI"/>
        </w:rPr>
      </w:pPr>
    </w:p>
    <w:p w14:paraId="586FC166"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Imatinibi on myös verihiutalekasvutekijän (PDGF) reseptorityrosiinikinaasin, PDGF-R, ja kantasolutekijän (SCF) reseptorityrosiinikinaasin, c-Kit, estäjä ja se estää PDGF- ja SCF-välitteisiä solutapahtumia. </w:t>
      </w:r>
      <w:r w:rsidRPr="00912A5D">
        <w:rPr>
          <w:i/>
          <w:color w:val="000000"/>
          <w:szCs w:val="22"/>
          <w:lang w:val="fi-FI"/>
        </w:rPr>
        <w:t>In vitro</w:t>
      </w:r>
      <w:r w:rsidRPr="00912A5D">
        <w:rPr>
          <w:color w:val="000000"/>
          <w:szCs w:val="22"/>
          <w:lang w:val="fi-FI"/>
        </w:rPr>
        <w:t xml:space="preserve">, ruuansulatuskanavan stroomakasvainsoluissa, joissa aktivaattorina toimii </w:t>
      </w:r>
      <w:r w:rsidRPr="00912A5D">
        <w:rPr>
          <w:i/>
          <w:color w:val="000000"/>
          <w:szCs w:val="22"/>
          <w:lang w:val="fi-FI"/>
        </w:rPr>
        <w:t>kit-</w:t>
      </w:r>
      <w:r w:rsidRPr="00912A5D">
        <w:rPr>
          <w:color w:val="000000"/>
          <w:szCs w:val="22"/>
          <w:lang w:val="fi-FI"/>
        </w:rPr>
        <w:t xml:space="preserve">mutaatio, imatinibi estää soluproliferaatiota ja aiheuttaa apoptoosia. PDGF:n konstitutiivisen tuotannon tai PDGF-reseptorin tai Abl-proteiinityrosiinikinaasien konstitutiivisen aktivaation (jonka syynä on niiden yhdistyminen eri proteiineihin) on arveltu osallistuvan </w:t>
      </w:r>
      <w:smartTag w:uri="urn:schemas-microsoft-com:office:smarttags" w:element="State">
        <w:r w:rsidRPr="00912A5D">
          <w:rPr>
            <w:color w:val="000000"/>
            <w:szCs w:val="22"/>
            <w:lang w:val="fi-FI"/>
          </w:rPr>
          <w:t>MDS</w:t>
        </w:r>
      </w:smartTag>
      <w:r w:rsidRPr="00912A5D">
        <w:rPr>
          <w:color w:val="000000"/>
          <w:szCs w:val="22"/>
          <w:lang w:val="fi-FI"/>
        </w:rPr>
        <w:t xml:space="preserve">:n, </w:t>
      </w:r>
      <w:smartTag w:uri="urn:schemas-microsoft-com:office:smarttags" w:element="State">
        <w:r w:rsidRPr="00912A5D">
          <w:rPr>
            <w:color w:val="000000"/>
            <w:szCs w:val="22"/>
            <w:lang w:val="fi-FI"/>
          </w:rPr>
          <w:t>MDP</w:t>
        </w:r>
      </w:smartTag>
      <w:r w:rsidRPr="00912A5D">
        <w:rPr>
          <w:color w:val="000000"/>
          <w:szCs w:val="22"/>
          <w:lang w:val="fi-FI"/>
        </w:rPr>
        <w:t>:n, HES:n/</w:t>
      </w:r>
      <w:smartTag w:uri="urn:schemas-microsoft-com:office:smarttags" w:element="State">
        <w:r w:rsidRPr="00912A5D">
          <w:rPr>
            <w:color w:val="000000"/>
            <w:szCs w:val="22"/>
            <w:lang w:val="fi-FI"/>
          </w:rPr>
          <w:t>CEL</w:t>
        </w:r>
      </w:smartTag>
      <w:r w:rsidRPr="00912A5D">
        <w:rPr>
          <w:color w:val="000000"/>
          <w:szCs w:val="22"/>
          <w:lang w:val="fi-FI"/>
        </w:rPr>
        <w:t>:n ja DFSP:n patogeneesiin. Imatinibi estää viestinkulkua ja proliferaatiota soluissa, joiden PDGFR- ja Abl-kinaasitoiminta on häiriintynyt.</w:t>
      </w:r>
    </w:p>
    <w:p w14:paraId="586FC167" w14:textId="77777777" w:rsidR="00AE3698" w:rsidRPr="00912A5D" w:rsidRDefault="00AE3698">
      <w:pPr>
        <w:pStyle w:val="EndnoteText"/>
        <w:widowControl w:val="0"/>
        <w:tabs>
          <w:tab w:val="clear" w:pos="567"/>
        </w:tabs>
        <w:rPr>
          <w:color w:val="000000"/>
          <w:szCs w:val="22"/>
          <w:lang w:val="fi-FI"/>
        </w:rPr>
      </w:pPr>
    </w:p>
    <w:p w14:paraId="586FC168" w14:textId="77777777" w:rsidR="00AE3698" w:rsidRPr="00912A5D" w:rsidRDefault="00AE3698" w:rsidP="00345374">
      <w:pPr>
        <w:pStyle w:val="EndnoteText"/>
        <w:keepNext/>
        <w:widowControl w:val="0"/>
        <w:tabs>
          <w:tab w:val="clear" w:pos="567"/>
        </w:tabs>
        <w:rPr>
          <w:color w:val="000000"/>
          <w:szCs w:val="22"/>
          <w:u w:val="single"/>
          <w:lang w:val="fi-FI"/>
        </w:rPr>
      </w:pPr>
      <w:r w:rsidRPr="00912A5D">
        <w:rPr>
          <w:color w:val="000000"/>
          <w:szCs w:val="22"/>
          <w:u w:val="single"/>
          <w:lang w:val="fi-FI"/>
        </w:rPr>
        <w:t>Kliiniset tutkimukset kroonisessa myelooisessa leukemiassa (</w:t>
      </w:r>
      <w:smartTag w:uri="urn:schemas-microsoft-com:office:smarttags" w:element="State">
        <w:r w:rsidRPr="00912A5D">
          <w:rPr>
            <w:color w:val="000000"/>
            <w:szCs w:val="22"/>
            <w:u w:val="single"/>
            <w:lang w:val="fi-FI"/>
          </w:rPr>
          <w:t>KML</w:t>
        </w:r>
      </w:smartTag>
      <w:r w:rsidRPr="00912A5D">
        <w:rPr>
          <w:color w:val="000000"/>
          <w:szCs w:val="22"/>
          <w:u w:val="single"/>
          <w:lang w:val="fi-FI"/>
        </w:rPr>
        <w:t>)</w:t>
      </w:r>
    </w:p>
    <w:p w14:paraId="586FC169"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Näyttö Glivecin tehosta perustuu hematologisten ja sytogeneettisten vasteiden määrään ja aikaan ilman taudin etenemistä. Juuri diagnosoitua kroonisessa vaiheessa olevaa KML:aa lukuun ottamatta kontrolloituja tutkimuksia, jotka osoittaisivat kliinistä tehoa, kuten sairauteen kuuluvien oireiden vähenemistä tai elonjäämisetua, ei ole.</w:t>
      </w:r>
    </w:p>
    <w:p w14:paraId="586FC16A" w14:textId="77777777" w:rsidR="00AE3698" w:rsidRPr="00912A5D" w:rsidRDefault="00AE3698">
      <w:pPr>
        <w:pStyle w:val="EndnoteText"/>
        <w:widowControl w:val="0"/>
        <w:tabs>
          <w:tab w:val="clear" w:pos="567"/>
        </w:tabs>
        <w:rPr>
          <w:color w:val="000000"/>
          <w:szCs w:val="22"/>
          <w:lang w:val="fi-FI"/>
        </w:rPr>
      </w:pPr>
    </w:p>
    <w:p w14:paraId="586FC16B"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Kolme suurta kansainvälistä avointa kontrolloimatonta II vaiheen tutkimusta tehtiin potilaille, jotka sairastivat kroonisen myelooisen leukemian Philadelphia-kromosomin suhteen positiivista (Ph+) pitkälle edennyttä vaihetta, blasti- tai akseleraatiovaihetta tai muita Ph+-leukemiatyyppejä tai kroonisen myelooisen leukemian kroonista vaihetta, johon aiempi alfainterferonihoito ei ollut tehonnut. Potilaille, joilla on vasta diagnosoitu Philadelphia-kromosomin suhteen positiivinen krooninen myelooinen leukemia, on tehty yksi suuri, avoin, kansainvälinen, satunnaistettu </w:t>
      </w:r>
      <w:smartTag w:uri="urn:schemas-microsoft-com:office:smarttags" w:element="State">
        <w:r w:rsidRPr="00912A5D">
          <w:rPr>
            <w:color w:val="000000"/>
            <w:szCs w:val="22"/>
            <w:lang w:val="fi-FI"/>
          </w:rPr>
          <w:t>III</w:t>
        </w:r>
      </w:smartTag>
      <w:r w:rsidRPr="00912A5D">
        <w:rPr>
          <w:color w:val="000000"/>
          <w:szCs w:val="22"/>
          <w:lang w:val="fi-FI"/>
        </w:rPr>
        <w:t xml:space="preserve"> vaiheen monikeskustutkimus. Lisäksi pieni määrä lapsia on hoidettu kahdessa I vaiheen tutkimuksessa ja yhdessä II vaiheen tutkimuksessa.</w:t>
      </w:r>
    </w:p>
    <w:p w14:paraId="586FC16C" w14:textId="77777777" w:rsidR="00AE3698" w:rsidRPr="00912A5D" w:rsidRDefault="00AE3698">
      <w:pPr>
        <w:pStyle w:val="EndnoteText"/>
        <w:widowControl w:val="0"/>
        <w:tabs>
          <w:tab w:val="clear" w:pos="567"/>
        </w:tabs>
        <w:rPr>
          <w:color w:val="000000"/>
          <w:szCs w:val="22"/>
          <w:lang w:val="fi-FI"/>
        </w:rPr>
      </w:pPr>
    </w:p>
    <w:p w14:paraId="586FC16D"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Kaikissa kliinisissä tutkimuksissa 38–40 % potilaista oli </w:t>
      </w:r>
      <w:r w:rsidRPr="00912A5D">
        <w:rPr>
          <w:color w:val="000000"/>
          <w:szCs w:val="22"/>
          <w:lang w:val="fi-FI"/>
        </w:rPr>
        <w:sym w:font="Symbol" w:char="F0B3"/>
      </w:r>
      <w:r w:rsidRPr="00912A5D">
        <w:rPr>
          <w:color w:val="000000"/>
          <w:szCs w:val="22"/>
          <w:lang w:val="fi-FI"/>
        </w:rPr>
        <w:t xml:space="preserve"> 60-vuotiaita ja 10–12 % </w:t>
      </w:r>
      <w:r w:rsidRPr="00912A5D">
        <w:rPr>
          <w:color w:val="000000"/>
          <w:szCs w:val="22"/>
          <w:lang w:val="fi-FI"/>
        </w:rPr>
        <w:sym w:font="Symbol" w:char="F0B3"/>
      </w:r>
      <w:r w:rsidRPr="00912A5D">
        <w:rPr>
          <w:color w:val="000000"/>
          <w:szCs w:val="22"/>
          <w:lang w:val="fi-FI"/>
        </w:rPr>
        <w:t> 70-vuotiaita.</w:t>
      </w:r>
    </w:p>
    <w:p w14:paraId="586FC16E" w14:textId="77777777" w:rsidR="00AE3698" w:rsidRPr="00912A5D" w:rsidRDefault="00AE3698">
      <w:pPr>
        <w:pStyle w:val="EndnoteText"/>
        <w:widowControl w:val="0"/>
        <w:tabs>
          <w:tab w:val="clear" w:pos="567"/>
        </w:tabs>
        <w:rPr>
          <w:color w:val="000000"/>
          <w:szCs w:val="22"/>
          <w:lang w:val="fi-FI"/>
        </w:rPr>
      </w:pPr>
    </w:p>
    <w:p w14:paraId="586FC16F" w14:textId="77777777" w:rsidR="00AE3698" w:rsidRPr="00912A5D" w:rsidRDefault="00AE3698">
      <w:pPr>
        <w:pStyle w:val="EndnoteText"/>
        <w:widowControl w:val="0"/>
        <w:tabs>
          <w:tab w:val="clear" w:pos="567"/>
        </w:tabs>
        <w:rPr>
          <w:color w:val="000000"/>
          <w:szCs w:val="22"/>
          <w:lang w:val="fi-FI"/>
        </w:rPr>
      </w:pPr>
      <w:r w:rsidRPr="00912A5D">
        <w:rPr>
          <w:i/>
          <w:color w:val="000000"/>
          <w:szCs w:val="22"/>
          <w:lang w:val="fi-FI"/>
        </w:rPr>
        <w:t xml:space="preserve">Krooninen vaihe, vasta diagnosoidut potilaat: </w:t>
      </w:r>
      <w:smartTag w:uri="urn:schemas-microsoft-com:office:smarttags" w:element="State">
        <w:r w:rsidRPr="00912A5D">
          <w:rPr>
            <w:color w:val="000000"/>
            <w:szCs w:val="22"/>
            <w:lang w:val="fi-FI"/>
          </w:rPr>
          <w:t>III</w:t>
        </w:r>
      </w:smartTag>
      <w:r w:rsidRPr="00912A5D">
        <w:rPr>
          <w:color w:val="000000"/>
          <w:szCs w:val="22"/>
          <w:lang w:val="fi-FI"/>
        </w:rPr>
        <w:t> vaiheen tutkimuksessa aikuispotilailla verrattiin pelkkää Glivec-hoitoa yhdistelmähoitoon, jossa potilaat saivat alfa-interferonia ja sytarabiinia. Potilailla oli mahdollisuus vaihtaa toiseen hoitoryhmään, jos heillä ei saavutettu lainkaan hoitovastetta (täydellisen hematologisen vasteen puuttuminen kuuden kuukauden kohdalla, valkosolujen määrän kasvu, huomattavan sytogeneettisen vasteen puuttuminen 24 kuukauden kohdalla), jos hoitovaste hävisi (täydellisen hematologisen tai huomattavan sytogeneettisen vasteen häviäminen) tai jos he sietivät hoidon huonosti. Glivec-ryhmässä potilaita hoidettiin 400 mg:n vuorokausiannoksella. Alfa-interferoniryhmässä potilaat saivat alfa-interferonia subkutaanisesti tavoiteannoksen 5 MIU/m</w:t>
      </w:r>
      <w:r w:rsidRPr="00912A5D">
        <w:rPr>
          <w:color w:val="000000"/>
          <w:szCs w:val="22"/>
          <w:vertAlign w:val="superscript"/>
          <w:lang w:val="fi-FI"/>
        </w:rPr>
        <w:t>2</w:t>
      </w:r>
      <w:r w:rsidRPr="00912A5D">
        <w:rPr>
          <w:color w:val="000000"/>
          <w:szCs w:val="22"/>
          <w:lang w:val="fi-FI"/>
        </w:rPr>
        <w:t xml:space="preserve">/vrk, </w:t>
      </w:r>
      <w:r w:rsidRPr="00912A5D">
        <w:rPr>
          <w:color w:val="000000"/>
          <w:szCs w:val="22"/>
          <w:lang w:val="fi-FI"/>
        </w:rPr>
        <w:lastRenderedPageBreak/>
        <w:t>sekä subkutaanisesti sytarabiinia 20 mg/m</w:t>
      </w:r>
      <w:r w:rsidRPr="00912A5D">
        <w:rPr>
          <w:color w:val="000000"/>
          <w:szCs w:val="22"/>
          <w:vertAlign w:val="superscript"/>
          <w:lang w:val="fi-FI"/>
        </w:rPr>
        <w:t>2</w:t>
      </w:r>
      <w:r w:rsidRPr="00912A5D">
        <w:rPr>
          <w:color w:val="000000"/>
          <w:szCs w:val="22"/>
          <w:lang w:val="fi-FI"/>
        </w:rPr>
        <w:t>/vrk 10 päivän ajan kuukaudessa.</w:t>
      </w:r>
    </w:p>
    <w:p w14:paraId="586FC170" w14:textId="77777777" w:rsidR="00AE3698" w:rsidRPr="00912A5D" w:rsidRDefault="00AE3698">
      <w:pPr>
        <w:pStyle w:val="EndnoteText"/>
        <w:widowControl w:val="0"/>
        <w:tabs>
          <w:tab w:val="clear" w:pos="567"/>
        </w:tabs>
        <w:rPr>
          <w:color w:val="000000"/>
          <w:szCs w:val="22"/>
          <w:lang w:val="fi-FI"/>
        </w:rPr>
      </w:pPr>
    </w:p>
    <w:p w14:paraId="586FC171"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Kaikkiaan 1 106 potilasta satunnaistettiin, 553 potilasta, molempiin hoitoryhmiin. Potilaiden ominaisuudet lähtötilanteessa olivat hyvin samankaltaiset molemmissa hoitoryhmissä. Potilaiden iän mediaani oli 51 vuotta (vaihteluväli 18–70 vuotta) ja 21,9 % potilaista oli ≥ 60 vuotiaita. Potilaista 59 % oli miehiä ja 41 % naisia; 89,9 % valkoihoisia ja 4,7 % tummaihoisia. </w:t>
      </w:r>
      <w:r w:rsidR="00534896">
        <w:rPr>
          <w:color w:val="000000"/>
          <w:szCs w:val="22"/>
          <w:lang w:val="fi-FI"/>
        </w:rPr>
        <w:t>Seitsemän</w:t>
      </w:r>
      <w:r w:rsidR="00534896" w:rsidRPr="00912A5D">
        <w:rPr>
          <w:color w:val="000000"/>
          <w:szCs w:val="22"/>
          <w:lang w:val="fi-FI"/>
        </w:rPr>
        <w:t xml:space="preserve"> </w:t>
      </w:r>
      <w:r w:rsidRPr="00912A5D">
        <w:rPr>
          <w:color w:val="000000"/>
          <w:szCs w:val="22"/>
          <w:lang w:val="fi-FI"/>
        </w:rPr>
        <w:t xml:space="preserve">vuotta viimeisen potilaan rekrytoinnin jälkeen ensisijaishoidon mediaanikesto Glivec-ryhmässä oli </w:t>
      </w:r>
      <w:r w:rsidR="00534896">
        <w:rPr>
          <w:color w:val="000000"/>
          <w:szCs w:val="22"/>
          <w:lang w:val="fi-FI"/>
        </w:rPr>
        <w:t>82</w:t>
      </w:r>
      <w:r w:rsidR="00534896" w:rsidRPr="00912A5D">
        <w:rPr>
          <w:color w:val="000000"/>
          <w:szCs w:val="22"/>
          <w:lang w:val="fi-FI"/>
        </w:rPr>
        <w:t> </w:t>
      </w:r>
      <w:r w:rsidRPr="00912A5D">
        <w:rPr>
          <w:color w:val="000000"/>
          <w:szCs w:val="22"/>
          <w:lang w:val="fi-FI"/>
        </w:rPr>
        <w:t xml:space="preserve">kk ja alfainterferoniryhmässä 8 kk. Toissijaisen Glivec-hoidon mediaanikesto oli </w:t>
      </w:r>
      <w:r w:rsidR="00534896">
        <w:rPr>
          <w:color w:val="000000"/>
          <w:szCs w:val="22"/>
          <w:lang w:val="fi-FI"/>
        </w:rPr>
        <w:t>64</w:t>
      </w:r>
      <w:r w:rsidR="00534896" w:rsidRPr="00912A5D">
        <w:rPr>
          <w:color w:val="000000"/>
          <w:szCs w:val="22"/>
          <w:lang w:val="fi-FI"/>
        </w:rPr>
        <w:t> </w:t>
      </w:r>
      <w:r w:rsidRPr="00912A5D">
        <w:rPr>
          <w:color w:val="000000"/>
          <w:szCs w:val="22"/>
          <w:lang w:val="fi-FI"/>
        </w:rPr>
        <w:t xml:space="preserve">kk. Gliveciä ensisijaishoitona saaneiden potilaiden saama keskimääräinen vuorokausiannos oli </w:t>
      </w:r>
      <w:r w:rsidR="00534896">
        <w:rPr>
          <w:color w:val="000000"/>
          <w:szCs w:val="22"/>
          <w:lang w:val="fi-FI"/>
        </w:rPr>
        <w:t>406</w:t>
      </w:r>
      <w:r w:rsidR="00534896" w:rsidRPr="00912A5D">
        <w:rPr>
          <w:color w:val="000000"/>
          <w:szCs w:val="22"/>
          <w:lang w:val="fi-FI"/>
        </w:rPr>
        <w:t> </w:t>
      </w:r>
      <w:r w:rsidRPr="00912A5D">
        <w:rPr>
          <w:color w:val="000000"/>
          <w:lang w:val="fi-FI"/>
        </w:rPr>
        <w:t>±</w:t>
      </w:r>
      <w:r w:rsidRPr="00912A5D">
        <w:rPr>
          <w:color w:val="000000"/>
          <w:szCs w:val="22"/>
          <w:lang w:val="fi-FI"/>
        </w:rPr>
        <w:t> </w:t>
      </w:r>
      <w:r w:rsidR="00534896">
        <w:rPr>
          <w:color w:val="000000"/>
          <w:szCs w:val="22"/>
          <w:lang w:val="fi-FI"/>
        </w:rPr>
        <w:t>76</w:t>
      </w:r>
      <w:r w:rsidR="00534896" w:rsidRPr="00912A5D">
        <w:rPr>
          <w:color w:val="000000"/>
          <w:szCs w:val="22"/>
          <w:lang w:val="fi-FI"/>
        </w:rPr>
        <w:t> </w:t>
      </w:r>
      <w:r w:rsidRPr="00912A5D">
        <w:rPr>
          <w:color w:val="000000"/>
          <w:szCs w:val="22"/>
          <w:lang w:val="fi-FI"/>
        </w:rPr>
        <w:t>mg. Tutkimuksen ensisijainen tehokkuuspäätemuuttuja oli havaittu aika ilman merkkejä taudin etenemisestä. Taudin etenemisellä tarkoitettiin mitä tahansa seuraavista tapahtumista: taudin eteneminen akseleraatiovaiheeseen tai blastikriisiin; kuolema; täydellisen hematologisen vasteen tai huomattavan sytogeneettisen vasteen häviäminen; tai valkosolujen lukumäärän kasvu asianmukaisesta hoidosta huolimatta potilailla, joilla ei ole saavutettu täydellistä hematologista vastetta. Pääasiallisia toissijaisia päätemuuttujia olivat huomattava sytogeneettinen vaste, hematologinen vaste, molekulaarinen vaste (arvioitu minimaalinen jäljellä oleva tauti), taudin etenemiseen akseleraatiovaiheeseen tai blastikriisiin kulunut aika, sekä eloonjääminen. Vastetta koskevat tiedot on esitetty Taulukossa </w:t>
      </w:r>
      <w:r w:rsidR="00170AC1">
        <w:rPr>
          <w:color w:val="000000"/>
          <w:szCs w:val="22"/>
          <w:lang w:val="fi-FI"/>
        </w:rPr>
        <w:t>2</w:t>
      </w:r>
      <w:r w:rsidRPr="00912A5D">
        <w:rPr>
          <w:color w:val="000000"/>
          <w:szCs w:val="22"/>
          <w:lang w:val="fi-FI"/>
        </w:rPr>
        <w:t>.</w:t>
      </w:r>
    </w:p>
    <w:p w14:paraId="586FC172" w14:textId="77777777" w:rsidR="00AE3698" w:rsidRPr="00912A5D" w:rsidRDefault="00AE3698">
      <w:pPr>
        <w:pStyle w:val="EndnoteText"/>
        <w:widowControl w:val="0"/>
        <w:tabs>
          <w:tab w:val="clear" w:pos="567"/>
        </w:tabs>
        <w:rPr>
          <w:color w:val="000000"/>
          <w:szCs w:val="22"/>
          <w:lang w:val="fi-FI"/>
        </w:rPr>
      </w:pPr>
    </w:p>
    <w:p w14:paraId="586FC173" w14:textId="77777777" w:rsidR="00AE3698" w:rsidRPr="00912A5D" w:rsidRDefault="00AE3698" w:rsidP="00345374">
      <w:pPr>
        <w:pStyle w:val="EndnoteText"/>
        <w:keepNext/>
        <w:keepLines/>
        <w:widowControl w:val="0"/>
        <w:tabs>
          <w:tab w:val="clear" w:pos="567"/>
          <w:tab w:val="left" w:pos="1418"/>
        </w:tabs>
        <w:ind w:left="1418" w:hanging="1418"/>
        <w:rPr>
          <w:b/>
          <w:color w:val="000000"/>
          <w:szCs w:val="22"/>
          <w:lang w:val="fi-FI"/>
        </w:rPr>
      </w:pPr>
      <w:r w:rsidRPr="00912A5D">
        <w:rPr>
          <w:b/>
          <w:color w:val="000000"/>
          <w:szCs w:val="22"/>
          <w:lang w:val="fi-FI"/>
        </w:rPr>
        <w:t>Taulukko </w:t>
      </w:r>
      <w:r w:rsidR="00170AC1">
        <w:rPr>
          <w:b/>
          <w:color w:val="000000"/>
          <w:szCs w:val="22"/>
          <w:lang w:val="fi-FI"/>
        </w:rPr>
        <w:t>2</w:t>
      </w:r>
      <w:r w:rsidRPr="00912A5D">
        <w:rPr>
          <w:b/>
          <w:color w:val="000000"/>
          <w:szCs w:val="22"/>
          <w:lang w:val="fi-FI"/>
        </w:rPr>
        <w:tab/>
        <w:t>Vasteet kliinisessä tutkimuksessa koskien vasta diagnosoitua kroonista myelooista leukemiaa (</w:t>
      </w:r>
      <w:r w:rsidR="00534896">
        <w:rPr>
          <w:b/>
          <w:color w:val="000000"/>
          <w:szCs w:val="22"/>
          <w:lang w:val="fi-FI"/>
        </w:rPr>
        <w:t>84</w:t>
      </w:r>
      <w:r w:rsidR="00534896" w:rsidRPr="00912A5D">
        <w:rPr>
          <w:b/>
          <w:color w:val="000000"/>
          <w:szCs w:val="22"/>
          <w:lang w:val="fi-FI"/>
        </w:rPr>
        <w:t> </w:t>
      </w:r>
      <w:r w:rsidRPr="00912A5D">
        <w:rPr>
          <w:b/>
          <w:color w:val="000000"/>
          <w:szCs w:val="22"/>
          <w:lang w:val="fi-FI"/>
        </w:rPr>
        <w:t>kuukauden tiedot)</w:t>
      </w:r>
    </w:p>
    <w:p w14:paraId="586FC174" w14:textId="77777777" w:rsidR="00AE3698" w:rsidRPr="00912A5D" w:rsidRDefault="00AE3698" w:rsidP="00345374">
      <w:pPr>
        <w:pStyle w:val="EndnoteText"/>
        <w:keepNext/>
        <w:widowControl w:val="0"/>
        <w:rPr>
          <w:color w:val="000000"/>
          <w:szCs w:val="22"/>
          <w:lang w:val="fi-FI"/>
        </w:rPr>
      </w:pPr>
    </w:p>
    <w:tbl>
      <w:tblPr>
        <w:tblW w:w="9322" w:type="dxa"/>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4428"/>
        <w:gridCol w:w="2484"/>
        <w:gridCol w:w="2410"/>
      </w:tblGrid>
      <w:tr w:rsidR="00AE3698" w:rsidRPr="00912A5D" w14:paraId="586FC178" w14:textId="77777777" w:rsidTr="00345374">
        <w:trPr>
          <w:cantSplit/>
        </w:trPr>
        <w:tc>
          <w:tcPr>
            <w:tcW w:w="4428" w:type="dxa"/>
            <w:tcBorders>
              <w:top w:val="single" w:sz="4" w:space="0" w:color="auto"/>
              <w:left w:val="single" w:sz="4" w:space="0" w:color="auto"/>
              <w:bottom w:val="nil"/>
              <w:right w:val="nil"/>
            </w:tcBorders>
          </w:tcPr>
          <w:p w14:paraId="586FC175"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c>
          <w:tcPr>
            <w:tcW w:w="2484" w:type="dxa"/>
            <w:tcBorders>
              <w:top w:val="single" w:sz="4" w:space="0" w:color="auto"/>
              <w:left w:val="nil"/>
              <w:bottom w:val="nil"/>
              <w:right w:val="nil"/>
            </w:tcBorders>
          </w:tcPr>
          <w:p w14:paraId="586FC176" w14:textId="77777777" w:rsidR="00AE3698" w:rsidRPr="00912A5D" w:rsidRDefault="00AE3698" w:rsidP="00345374">
            <w:pPr>
              <w:pStyle w:val="Table"/>
              <w:keepLines w:val="0"/>
              <w:widowControl w:val="0"/>
              <w:spacing w:before="0" w:after="0"/>
              <w:jc w:val="center"/>
              <w:rPr>
                <w:rFonts w:ascii="Times New Roman" w:hAnsi="Times New Roman"/>
                <w:b/>
                <w:color w:val="000000"/>
                <w:sz w:val="22"/>
                <w:szCs w:val="22"/>
                <w:lang w:val="fi-FI"/>
              </w:rPr>
            </w:pPr>
            <w:r w:rsidRPr="00912A5D">
              <w:rPr>
                <w:rFonts w:ascii="Times New Roman" w:hAnsi="Times New Roman"/>
                <w:b/>
                <w:color w:val="000000"/>
                <w:sz w:val="22"/>
                <w:szCs w:val="22"/>
                <w:lang w:val="fi-FI"/>
              </w:rPr>
              <w:t>Glivec</w:t>
            </w:r>
          </w:p>
        </w:tc>
        <w:tc>
          <w:tcPr>
            <w:tcW w:w="2410" w:type="dxa"/>
            <w:tcBorders>
              <w:top w:val="single" w:sz="4" w:space="0" w:color="auto"/>
              <w:left w:val="nil"/>
              <w:bottom w:val="nil"/>
              <w:right w:val="single" w:sz="4" w:space="0" w:color="auto"/>
            </w:tcBorders>
          </w:tcPr>
          <w:p w14:paraId="586FC177" w14:textId="77777777" w:rsidR="00AE3698" w:rsidRPr="00912A5D" w:rsidRDefault="00AE3698" w:rsidP="00345374">
            <w:pPr>
              <w:pStyle w:val="Table"/>
              <w:keepLines w:val="0"/>
              <w:widowControl w:val="0"/>
              <w:spacing w:before="0" w:after="0"/>
              <w:jc w:val="center"/>
              <w:rPr>
                <w:rFonts w:ascii="Times New Roman" w:hAnsi="Times New Roman"/>
                <w:b/>
                <w:color w:val="000000"/>
                <w:sz w:val="22"/>
                <w:szCs w:val="22"/>
                <w:lang w:val="fi-FI"/>
              </w:rPr>
            </w:pPr>
            <w:r w:rsidRPr="00912A5D">
              <w:rPr>
                <w:rFonts w:ascii="Times New Roman" w:hAnsi="Times New Roman"/>
                <w:b/>
                <w:color w:val="000000"/>
                <w:sz w:val="22"/>
                <w:szCs w:val="22"/>
                <w:lang w:val="fi-FI"/>
              </w:rPr>
              <w:t>Alfainterferoni + sytarabiini</w:t>
            </w:r>
          </w:p>
        </w:tc>
      </w:tr>
      <w:tr w:rsidR="00AE3698" w:rsidRPr="00912A5D" w14:paraId="586FC17C" w14:textId="77777777" w:rsidTr="00345374">
        <w:trPr>
          <w:cantSplit/>
        </w:trPr>
        <w:tc>
          <w:tcPr>
            <w:tcW w:w="4428" w:type="dxa"/>
            <w:tcBorders>
              <w:top w:val="nil"/>
              <w:left w:val="single" w:sz="4" w:space="0" w:color="auto"/>
              <w:bottom w:val="single" w:sz="4" w:space="0" w:color="auto"/>
              <w:right w:val="nil"/>
            </w:tcBorders>
          </w:tcPr>
          <w:p w14:paraId="586FC179" w14:textId="77777777" w:rsidR="00AE3698" w:rsidRPr="00912A5D" w:rsidRDefault="00AE3698" w:rsidP="00345374">
            <w:pPr>
              <w:pStyle w:val="Table"/>
              <w:keepLines w:val="0"/>
              <w:widowControl w:val="0"/>
              <w:spacing w:before="0" w:after="0"/>
              <w:rPr>
                <w:rFonts w:ascii="Times New Roman" w:hAnsi="Times New Roman"/>
                <w:b/>
                <w:color w:val="000000"/>
                <w:sz w:val="22"/>
                <w:szCs w:val="22"/>
                <w:lang w:val="fi-FI"/>
              </w:rPr>
            </w:pPr>
            <w:r w:rsidRPr="00912A5D">
              <w:rPr>
                <w:rFonts w:ascii="Times New Roman" w:hAnsi="Times New Roman"/>
                <w:b/>
                <w:color w:val="000000"/>
                <w:sz w:val="22"/>
                <w:szCs w:val="22"/>
                <w:lang w:val="fi-FI"/>
              </w:rPr>
              <w:t>(Parhaat vasteet)</w:t>
            </w:r>
          </w:p>
        </w:tc>
        <w:tc>
          <w:tcPr>
            <w:tcW w:w="2484" w:type="dxa"/>
            <w:tcBorders>
              <w:top w:val="nil"/>
              <w:left w:val="nil"/>
              <w:bottom w:val="single" w:sz="4" w:space="0" w:color="auto"/>
              <w:right w:val="nil"/>
            </w:tcBorders>
          </w:tcPr>
          <w:p w14:paraId="586FC17A"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n=553</w:t>
            </w:r>
          </w:p>
        </w:tc>
        <w:tc>
          <w:tcPr>
            <w:tcW w:w="2410" w:type="dxa"/>
            <w:tcBorders>
              <w:top w:val="nil"/>
              <w:left w:val="nil"/>
              <w:bottom w:val="single" w:sz="4" w:space="0" w:color="auto"/>
              <w:right w:val="single" w:sz="4" w:space="0" w:color="auto"/>
            </w:tcBorders>
          </w:tcPr>
          <w:p w14:paraId="586FC17B"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n=553</w:t>
            </w:r>
          </w:p>
        </w:tc>
      </w:tr>
      <w:tr w:rsidR="00AE3698" w:rsidRPr="00912A5D" w14:paraId="586FC180" w14:textId="77777777" w:rsidTr="00345374">
        <w:trPr>
          <w:cantSplit/>
        </w:trPr>
        <w:tc>
          <w:tcPr>
            <w:tcW w:w="4428" w:type="dxa"/>
            <w:tcBorders>
              <w:top w:val="nil"/>
              <w:left w:val="single" w:sz="4" w:space="0" w:color="auto"/>
              <w:bottom w:val="nil"/>
              <w:right w:val="nil"/>
            </w:tcBorders>
          </w:tcPr>
          <w:p w14:paraId="586FC17D" w14:textId="77777777" w:rsidR="00AE3698" w:rsidRPr="00912A5D" w:rsidRDefault="00AE3698" w:rsidP="00345374">
            <w:pPr>
              <w:pStyle w:val="Table"/>
              <w:keepLines w:val="0"/>
              <w:widowControl w:val="0"/>
              <w:spacing w:before="0" w:after="0"/>
              <w:rPr>
                <w:rFonts w:ascii="Times New Roman" w:hAnsi="Times New Roman"/>
                <w:b/>
                <w:color w:val="000000"/>
                <w:sz w:val="22"/>
                <w:szCs w:val="22"/>
                <w:lang w:val="fi-FI"/>
              </w:rPr>
            </w:pPr>
            <w:r w:rsidRPr="00912A5D">
              <w:rPr>
                <w:rFonts w:ascii="Times New Roman" w:hAnsi="Times New Roman"/>
                <w:b/>
                <w:color w:val="000000"/>
                <w:sz w:val="22"/>
                <w:szCs w:val="22"/>
                <w:lang w:val="fi-FI"/>
              </w:rPr>
              <w:t>Hematologinen vaste</w:t>
            </w:r>
          </w:p>
        </w:tc>
        <w:tc>
          <w:tcPr>
            <w:tcW w:w="2484" w:type="dxa"/>
            <w:tcBorders>
              <w:top w:val="nil"/>
              <w:left w:val="nil"/>
              <w:bottom w:val="nil"/>
              <w:right w:val="nil"/>
            </w:tcBorders>
          </w:tcPr>
          <w:p w14:paraId="586FC17E" w14:textId="77777777" w:rsidR="00AE3698" w:rsidRPr="00912A5D" w:rsidRDefault="00AE3698" w:rsidP="00345374">
            <w:pPr>
              <w:pStyle w:val="Table"/>
              <w:keepLines w:val="0"/>
              <w:widowControl w:val="0"/>
              <w:spacing w:before="0" w:after="0"/>
              <w:jc w:val="center"/>
              <w:rPr>
                <w:rFonts w:ascii="Times New Roman" w:hAnsi="Times New Roman"/>
                <w:b/>
                <w:color w:val="000000"/>
                <w:sz w:val="22"/>
                <w:szCs w:val="22"/>
                <w:lang w:val="fi-FI"/>
              </w:rPr>
            </w:pPr>
          </w:p>
        </w:tc>
        <w:tc>
          <w:tcPr>
            <w:tcW w:w="2410" w:type="dxa"/>
            <w:tcBorders>
              <w:top w:val="nil"/>
              <w:left w:val="nil"/>
              <w:bottom w:val="nil"/>
              <w:right w:val="single" w:sz="4" w:space="0" w:color="auto"/>
            </w:tcBorders>
          </w:tcPr>
          <w:p w14:paraId="586FC17F" w14:textId="77777777" w:rsidR="00AE3698" w:rsidRPr="00912A5D" w:rsidRDefault="00AE3698" w:rsidP="00345374">
            <w:pPr>
              <w:pStyle w:val="Table"/>
              <w:keepLines w:val="0"/>
              <w:widowControl w:val="0"/>
              <w:spacing w:before="0" w:after="0"/>
              <w:jc w:val="center"/>
              <w:rPr>
                <w:rFonts w:ascii="Times New Roman" w:hAnsi="Times New Roman"/>
                <w:b/>
                <w:color w:val="000000"/>
                <w:sz w:val="22"/>
                <w:szCs w:val="22"/>
                <w:lang w:val="fi-FI"/>
              </w:rPr>
            </w:pPr>
          </w:p>
        </w:tc>
      </w:tr>
      <w:tr w:rsidR="00AE3698" w:rsidRPr="00912A5D" w14:paraId="586FC184" w14:textId="77777777" w:rsidTr="00345374">
        <w:trPr>
          <w:cantSplit/>
        </w:trPr>
        <w:tc>
          <w:tcPr>
            <w:tcW w:w="4428" w:type="dxa"/>
            <w:tcBorders>
              <w:top w:val="nil"/>
              <w:left w:val="single" w:sz="4" w:space="0" w:color="auto"/>
              <w:bottom w:val="nil"/>
              <w:right w:val="nil"/>
            </w:tcBorders>
          </w:tcPr>
          <w:p w14:paraId="586FC181"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Täydellisten hematologisten vasteiden määrä n (%)</w:t>
            </w:r>
          </w:p>
        </w:tc>
        <w:tc>
          <w:tcPr>
            <w:tcW w:w="2484" w:type="dxa"/>
            <w:tcBorders>
              <w:top w:val="nil"/>
              <w:left w:val="nil"/>
              <w:bottom w:val="nil"/>
              <w:right w:val="nil"/>
            </w:tcBorders>
          </w:tcPr>
          <w:p w14:paraId="586FC182"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534 (96,6 %)*</w:t>
            </w:r>
          </w:p>
        </w:tc>
        <w:tc>
          <w:tcPr>
            <w:tcW w:w="2410" w:type="dxa"/>
            <w:tcBorders>
              <w:top w:val="nil"/>
              <w:left w:val="nil"/>
              <w:bottom w:val="nil"/>
              <w:right w:val="single" w:sz="4" w:space="0" w:color="auto"/>
            </w:tcBorders>
          </w:tcPr>
          <w:p w14:paraId="586FC183"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313 (56,6 %)*</w:t>
            </w:r>
          </w:p>
        </w:tc>
      </w:tr>
      <w:tr w:rsidR="00AE3698" w:rsidRPr="00912A5D" w14:paraId="586FC188" w14:textId="77777777" w:rsidTr="00345374">
        <w:trPr>
          <w:cantSplit/>
        </w:trPr>
        <w:tc>
          <w:tcPr>
            <w:tcW w:w="4428" w:type="dxa"/>
            <w:tcBorders>
              <w:top w:val="nil"/>
              <w:left w:val="single" w:sz="4" w:space="0" w:color="auto"/>
              <w:bottom w:val="nil"/>
              <w:right w:val="nil"/>
            </w:tcBorders>
          </w:tcPr>
          <w:p w14:paraId="586FC185"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b/>
              <w:t>[95 %:n luottamusväli]</w:t>
            </w:r>
          </w:p>
        </w:tc>
        <w:tc>
          <w:tcPr>
            <w:tcW w:w="2484" w:type="dxa"/>
            <w:tcBorders>
              <w:top w:val="nil"/>
              <w:left w:val="nil"/>
              <w:bottom w:val="nil"/>
              <w:right w:val="nil"/>
            </w:tcBorders>
          </w:tcPr>
          <w:p w14:paraId="586FC186"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[94,7 %; 97,9 %]</w:t>
            </w:r>
          </w:p>
        </w:tc>
        <w:tc>
          <w:tcPr>
            <w:tcW w:w="2410" w:type="dxa"/>
            <w:tcBorders>
              <w:top w:val="nil"/>
              <w:left w:val="nil"/>
              <w:bottom w:val="nil"/>
              <w:right w:val="single" w:sz="4" w:space="0" w:color="auto"/>
            </w:tcBorders>
          </w:tcPr>
          <w:p w14:paraId="586FC187"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[52,4 %; 60,8 %]</w:t>
            </w:r>
          </w:p>
        </w:tc>
      </w:tr>
      <w:tr w:rsidR="00AE3698" w:rsidRPr="00912A5D" w14:paraId="586FC18C" w14:textId="77777777" w:rsidTr="00345374">
        <w:trPr>
          <w:cantSplit/>
        </w:trPr>
        <w:tc>
          <w:tcPr>
            <w:tcW w:w="4428" w:type="dxa"/>
            <w:tcBorders>
              <w:top w:val="nil"/>
              <w:left w:val="single" w:sz="4" w:space="0" w:color="auto"/>
              <w:bottom w:val="nil"/>
              <w:right w:val="nil"/>
            </w:tcBorders>
          </w:tcPr>
          <w:p w14:paraId="586FC189"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c>
          <w:tcPr>
            <w:tcW w:w="2484" w:type="dxa"/>
            <w:tcBorders>
              <w:top w:val="nil"/>
              <w:left w:val="nil"/>
              <w:bottom w:val="nil"/>
              <w:right w:val="nil"/>
            </w:tcBorders>
          </w:tcPr>
          <w:p w14:paraId="586FC18A"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c>
          <w:tcPr>
            <w:tcW w:w="2410" w:type="dxa"/>
            <w:tcBorders>
              <w:top w:val="nil"/>
              <w:left w:val="nil"/>
              <w:bottom w:val="nil"/>
              <w:right w:val="single" w:sz="4" w:space="0" w:color="auto"/>
            </w:tcBorders>
          </w:tcPr>
          <w:p w14:paraId="586FC18B"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r>
      <w:tr w:rsidR="00AE3698" w:rsidRPr="00912A5D" w14:paraId="586FC190" w14:textId="77777777" w:rsidTr="00345374">
        <w:trPr>
          <w:cantSplit/>
        </w:trPr>
        <w:tc>
          <w:tcPr>
            <w:tcW w:w="4428" w:type="dxa"/>
            <w:tcBorders>
              <w:top w:val="nil"/>
              <w:left w:val="single" w:sz="4" w:space="0" w:color="auto"/>
              <w:bottom w:val="nil"/>
              <w:right w:val="nil"/>
            </w:tcBorders>
          </w:tcPr>
          <w:p w14:paraId="586FC18D" w14:textId="77777777" w:rsidR="00AE3698" w:rsidRPr="00912A5D" w:rsidRDefault="00AE3698" w:rsidP="00345374">
            <w:pPr>
              <w:pStyle w:val="Table"/>
              <w:keepLines w:val="0"/>
              <w:widowControl w:val="0"/>
              <w:spacing w:before="0" w:after="0"/>
              <w:rPr>
                <w:rFonts w:ascii="Times New Roman" w:hAnsi="Times New Roman"/>
                <w:b/>
                <w:color w:val="000000"/>
                <w:sz w:val="22"/>
                <w:szCs w:val="22"/>
                <w:lang w:val="fi-FI"/>
              </w:rPr>
            </w:pPr>
            <w:r w:rsidRPr="00912A5D">
              <w:rPr>
                <w:rFonts w:ascii="Times New Roman" w:hAnsi="Times New Roman"/>
                <w:b/>
                <w:color w:val="000000"/>
                <w:sz w:val="22"/>
                <w:szCs w:val="22"/>
                <w:lang w:val="fi-FI"/>
              </w:rPr>
              <w:t>Sytogeneettinen vaste</w:t>
            </w:r>
          </w:p>
        </w:tc>
        <w:tc>
          <w:tcPr>
            <w:tcW w:w="2484" w:type="dxa"/>
            <w:tcBorders>
              <w:top w:val="nil"/>
              <w:left w:val="nil"/>
              <w:bottom w:val="nil"/>
              <w:right w:val="nil"/>
            </w:tcBorders>
          </w:tcPr>
          <w:p w14:paraId="586FC18E" w14:textId="77777777" w:rsidR="00AE3698" w:rsidRPr="00912A5D" w:rsidRDefault="00AE3698" w:rsidP="00345374">
            <w:pPr>
              <w:pStyle w:val="Table"/>
              <w:keepLines w:val="0"/>
              <w:widowControl w:val="0"/>
              <w:spacing w:before="0" w:after="0"/>
              <w:rPr>
                <w:rFonts w:ascii="Times New Roman" w:hAnsi="Times New Roman"/>
                <w:b/>
                <w:color w:val="000000"/>
                <w:sz w:val="22"/>
                <w:szCs w:val="22"/>
                <w:lang w:val="fi-FI"/>
              </w:rPr>
            </w:pPr>
          </w:p>
        </w:tc>
        <w:tc>
          <w:tcPr>
            <w:tcW w:w="2410" w:type="dxa"/>
            <w:tcBorders>
              <w:top w:val="nil"/>
              <w:left w:val="nil"/>
              <w:bottom w:val="nil"/>
              <w:right w:val="single" w:sz="4" w:space="0" w:color="auto"/>
            </w:tcBorders>
          </w:tcPr>
          <w:p w14:paraId="586FC18F" w14:textId="77777777" w:rsidR="00AE3698" w:rsidRPr="00912A5D" w:rsidRDefault="00AE3698" w:rsidP="00345374">
            <w:pPr>
              <w:pStyle w:val="Table"/>
              <w:keepLines w:val="0"/>
              <w:widowControl w:val="0"/>
              <w:spacing w:before="0" w:after="0"/>
              <w:rPr>
                <w:rFonts w:ascii="Times New Roman" w:hAnsi="Times New Roman"/>
                <w:b/>
                <w:color w:val="000000"/>
                <w:sz w:val="22"/>
                <w:szCs w:val="22"/>
                <w:lang w:val="fi-FI"/>
              </w:rPr>
            </w:pPr>
          </w:p>
        </w:tc>
      </w:tr>
      <w:tr w:rsidR="00AE3698" w:rsidRPr="00912A5D" w14:paraId="586FC194" w14:textId="77777777" w:rsidTr="00345374">
        <w:trPr>
          <w:cantSplit/>
        </w:trPr>
        <w:tc>
          <w:tcPr>
            <w:tcW w:w="4428" w:type="dxa"/>
            <w:tcBorders>
              <w:top w:val="nil"/>
              <w:left w:val="single" w:sz="4" w:space="0" w:color="auto"/>
              <w:bottom w:val="nil"/>
              <w:right w:val="nil"/>
            </w:tcBorders>
          </w:tcPr>
          <w:p w14:paraId="586FC191"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Huomattava vaste n (%)</w:t>
            </w:r>
          </w:p>
        </w:tc>
        <w:tc>
          <w:tcPr>
            <w:tcW w:w="2484" w:type="dxa"/>
            <w:tcBorders>
              <w:top w:val="nil"/>
              <w:left w:val="nil"/>
              <w:bottom w:val="nil"/>
              <w:right w:val="nil"/>
            </w:tcBorders>
          </w:tcPr>
          <w:p w14:paraId="586FC192"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490 (88,6 %)*</w:t>
            </w:r>
          </w:p>
        </w:tc>
        <w:tc>
          <w:tcPr>
            <w:tcW w:w="2410" w:type="dxa"/>
            <w:tcBorders>
              <w:top w:val="nil"/>
              <w:left w:val="nil"/>
              <w:bottom w:val="nil"/>
              <w:right w:val="single" w:sz="4" w:space="0" w:color="auto"/>
            </w:tcBorders>
          </w:tcPr>
          <w:p w14:paraId="586FC193"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129 (23,3 %)*</w:t>
            </w:r>
          </w:p>
        </w:tc>
      </w:tr>
      <w:tr w:rsidR="00AE3698" w:rsidRPr="00912A5D" w14:paraId="586FC198" w14:textId="77777777" w:rsidTr="00345374">
        <w:trPr>
          <w:cantSplit/>
        </w:trPr>
        <w:tc>
          <w:tcPr>
            <w:tcW w:w="4428" w:type="dxa"/>
            <w:tcBorders>
              <w:top w:val="nil"/>
              <w:left w:val="single" w:sz="4" w:space="0" w:color="auto"/>
              <w:bottom w:val="nil"/>
              <w:right w:val="nil"/>
            </w:tcBorders>
          </w:tcPr>
          <w:p w14:paraId="586FC195"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b/>
              <w:t>[95 %:n luottamusväli]</w:t>
            </w:r>
          </w:p>
        </w:tc>
        <w:tc>
          <w:tcPr>
            <w:tcW w:w="2484" w:type="dxa"/>
            <w:tcBorders>
              <w:top w:val="nil"/>
              <w:left w:val="nil"/>
              <w:bottom w:val="nil"/>
              <w:right w:val="nil"/>
            </w:tcBorders>
          </w:tcPr>
          <w:p w14:paraId="586FC196"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[85,7 %; 91,1 %]</w:t>
            </w:r>
          </w:p>
        </w:tc>
        <w:tc>
          <w:tcPr>
            <w:tcW w:w="2410" w:type="dxa"/>
            <w:tcBorders>
              <w:top w:val="nil"/>
              <w:left w:val="nil"/>
              <w:bottom w:val="nil"/>
              <w:right w:val="single" w:sz="4" w:space="0" w:color="auto"/>
            </w:tcBorders>
          </w:tcPr>
          <w:p w14:paraId="586FC197"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[19,9 %; 27,1 %]</w:t>
            </w:r>
          </w:p>
        </w:tc>
      </w:tr>
      <w:tr w:rsidR="00AE3698" w:rsidRPr="00912A5D" w14:paraId="586FC19C" w14:textId="77777777" w:rsidTr="00345374">
        <w:trPr>
          <w:cantSplit/>
        </w:trPr>
        <w:tc>
          <w:tcPr>
            <w:tcW w:w="4428" w:type="dxa"/>
            <w:tcBorders>
              <w:top w:val="nil"/>
              <w:left w:val="single" w:sz="4" w:space="0" w:color="auto"/>
              <w:bottom w:val="nil"/>
              <w:right w:val="nil"/>
            </w:tcBorders>
          </w:tcPr>
          <w:p w14:paraId="586FC199"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b/>
              <w:t>Täydellinen sytogeneettinen vaste n (%)</w:t>
            </w:r>
          </w:p>
        </w:tc>
        <w:tc>
          <w:tcPr>
            <w:tcW w:w="2484" w:type="dxa"/>
            <w:tcBorders>
              <w:top w:val="nil"/>
              <w:left w:val="nil"/>
              <w:bottom w:val="nil"/>
              <w:right w:val="nil"/>
            </w:tcBorders>
          </w:tcPr>
          <w:p w14:paraId="586FC19A" w14:textId="77777777" w:rsidR="00AE3698" w:rsidRPr="00912A5D" w:rsidRDefault="00534896" w:rsidP="00345374">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456</w:t>
            </w:r>
            <w:r w:rsidRPr="00912A5D">
              <w:rPr>
                <w:rFonts w:ascii="Times New Roman" w:hAnsi="Times New Roman"/>
                <w:color w:val="000000"/>
                <w:sz w:val="22"/>
                <w:szCs w:val="22"/>
                <w:lang w:val="fi-FI"/>
              </w:rPr>
              <w:t> </w:t>
            </w:r>
            <w:r w:rsidR="00AE3698" w:rsidRPr="00912A5D">
              <w:rPr>
                <w:rFonts w:ascii="Times New Roman" w:hAnsi="Times New Roman"/>
                <w:color w:val="000000"/>
                <w:sz w:val="22"/>
                <w:szCs w:val="22"/>
                <w:lang w:val="fi-FI"/>
              </w:rPr>
              <w:t>(82,</w:t>
            </w:r>
            <w:r>
              <w:rPr>
                <w:rFonts w:ascii="Times New Roman" w:hAnsi="Times New Roman"/>
                <w:color w:val="000000"/>
                <w:sz w:val="22"/>
                <w:szCs w:val="22"/>
                <w:lang w:val="fi-FI"/>
              </w:rPr>
              <w:t>5</w:t>
            </w:r>
            <w:r w:rsidR="00AE3698" w:rsidRPr="00912A5D">
              <w:rPr>
                <w:rFonts w:ascii="Times New Roman" w:hAnsi="Times New Roman"/>
                <w:color w:val="000000"/>
                <w:sz w:val="22"/>
                <w:szCs w:val="22"/>
                <w:lang w:val="fi-FI"/>
              </w:rPr>
              <w:t> %)*</w:t>
            </w:r>
          </w:p>
        </w:tc>
        <w:tc>
          <w:tcPr>
            <w:tcW w:w="2410" w:type="dxa"/>
            <w:tcBorders>
              <w:top w:val="nil"/>
              <w:left w:val="nil"/>
              <w:bottom w:val="nil"/>
              <w:right w:val="single" w:sz="4" w:space="0" w:color="auto"/>
            </w:tcBorders>
          </w:tcPr>
          <w:p w14:paraId="586FC19B"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64 (11,6 %)*</w:t>
            </w:r>
          </w:p>
        </w:tc>
      </w:tr>
      <w:tr w:rsidR="00AE3698" w:rsidRPr="00912A5D" w14:paraId="586FC1A0" w14:textId="77777777" w:rsidTr="00345374">
        <w:trPr>
          <w:cantSplit/>
        </w:trPr>
        <w:tc>
          <w:tcPr>
            <w:tcW w:w="4428" w:type="dxa"/>
            <w:tcBorders>
              <w:top w:val="nil"/>
              <w:left w:val="single" w:sz="4" w:space="0" w:color="auto"/>
              <w:bottom w:val="nil"/>
              <w:right w:val="nil"/>
            </w:tcBorders>
          </w:tcPr>
          <w:p w14:paraId="586FC19D"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b/>
              <w:t>Osittainen sytogeneettinen vaste n (%)</w:t>
            </w:r>
          </w:p>
        </w:tc>
        <w:tc>
          <w:tcPr>
            <w:tcW w:w="2484" w:type="dxa"/>
            <w:tcBorders>
              <w:top w:val="nil"/>
              <w:left w:val="nil"/>
              <w:bottom w:val="nil"/>
              <w:right w:val="nil"/>
            </w:tcBorders>
          </w:tcPr>
          <w:p w14:paraId="586FC19E" w14:textId="77777777" w:rsidR="00AE3698" w:rsidRPr="00912A5D" w:rsidRDefault="00534896" w:rsidP="00345374">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34</w:t>
            </w:r>
            <w:r w:rsidRPr="00912A5D">
              <w:rPr>
                <w:rFonts w:ascii="Times New Roman" w:hAnsi="Times New Roman"/>
                <w:color w:val="000000"/>
                <w:sz w:val="22"/>
                <w:szCs w:val="22"/>
                <w:lang w:val="fi-FI"/>
              </w:rPr>
              <w:t> </w:t>
            </w:r>
            <w:r w:rsidR="00AE3698" w:rsidRPr="00912A5D">
              <w:rPr>
                <w:rFonts w:ascii="Times New Roman" w:hAnsi="Times New Roman"/>
                <w:color w:val="000000"/>
                <w:sz w:val="22"/>
                <w:szCs w:val="22"/>
                <w:lang w:val="fi-FI"/>
              </w:rPr>
              <w:t>(6,</w:t>
            </w:r>
            <w:r>
              <w:rPr>
                <w:rFonts w:ascii="Times New Roman" w:hAnsi="Times New Roman"/>
                <w:color w:val="000000"/>
                <w:sz w:val="22"/>
                <w:szCs w:val="22"/>
                <w:lang w:val="fi-FI"/>
              </w:rPr>
              <w:t>1</w:t>
            </w:r>
            <w:r w:rsidR="00AE3698" w:rsidRPr="00912A5D">
              <w:rPr>
                <w:rFonts w:ascii="Times New Roman" w:hAnsi="Times New Roman"/>
                <w:color w:val="000000"/>
                <w:sz w:val="22"/>
                <w:szCs w:val="22"/>
                <w:lang w:val="fi-FI"/>
              </w:rPr>
              <w:t> %)</w:t>
            </w:r>
          </w:p>
        </w:tc>
        <w:tc>
          <w:tcPr>
            <w:tcW w:w="2410" w:type="dxa"/>
            <w:tcBorders>
              <w:top w:val="nil"/>
              <w:left w:val="nil"/>
              <w:bottom w:val="nil"/>
              <w:right w:val="single" w:sz="4" w:space="0" w:color="auto"/>
            </w:tcBorders>
          </w:tcPr>
          <w:p w14:paraId="586FC19F" w14:textId="77777777" w:rsidR="00AE3698" w:rsidRPr="00912A5D" w:rsidRDefault="00AE3698" w:rsidP="00345374">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65 (11,8 %)</w:t>
            </w:r>
          </w:p>
        </w:tc>
      </w:tr>
      <w:tr w:rsidR="00AE3698" w:rsidRPr="00912A5D" w14:paraId="586FC1A4" w14:textId="77777777" w:rsidTr="00345374">
        <w:trPr>
          <w:cantSplit/>
        </w:trPr>
        <w:tc>
          <w:tcPr>
            <w:tcW w:w="4428" w:type="dxa"/>
            <w:tcBorders>
              <w:top w:val="nil"/>
              <w:left w:val="single" w:sz="4" w:space="0" w:color="auto"/>
              <w:bottom w:val="nil"/>
              <w:right w:val="nil"/>
            </w:tcBorders>
          </w:tcPr>
          <w:p w14:paraId="586FC1A1"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c>
          <w:tcPr>
            <w:tcW w:w="2484" w:type="dxa"/>
            <w:tcBorders>
              <w:top w:val="nil"/>
              <w:left w:val="nil"/>
              <w:bottom w:val="nil"/>
              <w:right w:val="nil"/>
            </w:tcBorders>
          </w:tcPr>
          <w:p w14:paraId="586FC1A2"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c>
          <w:tcPr>
            <w:tcW w:w="2410" w:type="dxa"/>
            <w:tcBorders>
              <w:top w:val="nil"/>
              <w:left w:val="nil"/>
              <w:bottom w:val="nil"/>
              <w:right w:val="single" w:sz="4" w:space="0" w:color="auto"/>
            </w:tcBorders>
          </w:tcPr>
          <w:p w14:paraId="586FC1A3"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r>
      <w:tr w:rsidR="00AE3698" w:rsidRPr="00912A5D" w14:paraId="586FC1A8" w14:textId="77777777" w:rsidTr="00345374">
        <w:trPr>
          <w:cantSplit/>
        </w:trPr>
        <w:tc>
          <w:tcPr>
            <w:tcW w:w="4428" w:type="dxa"/>
            <w:tcBorders>
              <w:top w:val="nil"/>
              <w:left w:val="single" w:sz="4" w:space="0" w:color="auto"/>
              <w:bottom w:val="nil"/>
              <w:right w:val="nil"/>
            </w:tcBorders>
          </w:tcPr>
          <w:p w14:paraId="586FC1A5"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b/>
                <w:color w:val="000000"/>
                <w:sz w:val="22"/>
                <w:szCs w:val="22"/>
                <w:lang w:val="fi-FI"/>
              </w:rPr>
              <w:t>Molekulaarinen vaste</w:t>
            </w:r>
            <w:r w:rsidR="00F90AC8" w:rsidRPr="0012589E">
              <w:rPr>
                <w:rFonts w:ascii="Times New Roman" w:hAnsi="Times New Roman"/>
                <w:color w:val="000000"/>
                <w:sz w:val="22"/>
                <w:szCs w:val="22"/>
                <w:lang w:val="fi-FI"/>
              </w:rPr>
              <w:t>**</w:t>
            </w:r>
          </w:p>
        </w:tc>
        <w:tc>
          <w:tcPr>
            <w:tcW w:w="2484" w:type="dxa"/>
            <w:tcBorders>
              <w:top w:val="nil"/>
              <w:left w:val="nil"/>
              <w:bottom w:val="nil"/>
              <w:right w:val="nil"/>
            </w:tcBorders>
          </w:tcPr>
          <w:p w14:paraId="586FC1A6"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c>
          <w:tcPr>
            <w:tcW w:w="2410" w:type="dxa"/>
            <w:tcBorders>
              <w:top w:val="nil"/>
              <w:left w:val="nil"/>
              <w:bottom w:val="nil"/>
              <w:right w:val="single" w:sz="4" w:space="0" w:color="auto"/>
            </w:tcBorders>
          </w:tcPr>
          <w:p w14:paraId="586FC1A7"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p>
        </w:tc>
      </w:tr>
      <w:tr w:rsidR="00AE3698" w:rsidRPr="00912A5D" w14:paraId="586FC1AC" w14:textId="77777777" w:rsidTr="00345374">
        <w:trPr>
          <w:cantSplit/>
        </w:trPr>
        <w:tc>
          <w:tcPr>
            <w:tcW w:w="4428" w:type="dxa"/>
            <w:tcBorders>
              <w:top w:val="nil"/>
              <w:left w:val="single" w:sz="4" w:space="0" w:color="auto"/>
              <w:bottom w:val="nil"/>
              <w:right w:val="nil"/>
            </w:tcBorders>
          </w:tcPr>
          <w:p w14:paraId="586FC1A9"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Huomattava vaste 12 kuukauden kohdalla (%)</w:t>
            </w:r>
          </w:p>
        </w:tc>
        <w:tc>
          <w:tcPr>
            <w:tcW w:w="2484" w:type="dxa"/>
            <w:tcBorders>
              <w:top w:val="nil"/>
              <w:left w:val="nil"/>
              <w:bottom w:val="nil"/>
              <w:right w:val="nil"/>
            </w:tcBorders>
          </w:tcPr>
          <w:p w14:paraId="586FC1AA" w14:textId="77777777" w:rsidR="00AE3698" w:rsidRPr="00912A5D" w:rsidRDefault="00534896" w:rsidP="00345374">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153/305=50,2 %</w:t>
            </w:r>
          </w:p>
        </w:tc>
        <w:tc>
          <w:tcPr>
            <w:tcW w:w="2410" w:type="dxa"/>
            <w:tcBorders>
              <w:top w:val="nil"/>
              <w:left w:val="nil"/>
              <w:bottom w:val="nil"/>
              <w:right w:val="single" w:sz="4" w:space="0" w:color="auto"/>
            </w:tcBorders>
          </w:tcPr>
          <w:p w14:paraId="586FC1AB" w14:textId="77777777" w:rsidR="00AE3698" w:rsidRPr="00912A5D" w:rsidRDefault="00534896" w:rsidP="00345374">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8/83=9,6 %</w:t>
            </w:r>
          </w:p>
        </w:tc>
      </w:tr>
      <w:tr w:rsidR="00AE3698" w:rsidRPr="00912A5D" w14:paraId="586FC1B0" w14:textId="77777777" w:rsidTr="00345374">
        <w:trPr>
          <w:cantSplit/>
        </w:trPr>
        <w:tc>
          <w:tcPr>
            <w:tcW w:w="4428" w:type="dxa"/>
            <w:tcBorders>
              <w:top w:val="nil"/>
              <w:left w:val="single" w:sz="4" w:space="0" w:color="auto"/>
              <w:bottom w:val="nil"/>
              <w:right w:val="nil"/>
            </w:tcBorders>
          </w:tcPr>
          <w:p w14:paraId="586FC1AD" w14:textId="77777777" w:rsidR="00AE3698" w:rsidRPr="00912A5D" w:rsidRDefault="00AE3698"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Huomattava vaste 24 kuukauden kohdalla (%)</w:t>
            </w:r>
          </w:p>
        </w:tc>
        <w:tc>
          <w:tcPr>
            <w:tcW w:w="2484" w:type="dxa"/>
            <w:tcBorders>
              <w:top w:val="nil"/>
              <w:left w:val="nil"/>
              <w:bottom w:val="nil"/>
              <w:right w:val="nil"/>
            </w:tcBorders>
          </w:tcPr>
          <w:p w14:paraId="586FC1AE" w14:textId="77777777" w:rsidR="00AE3698" w:rsidRPr="00912A5D" w:rsidRDefault="00534896" w:rsidP="00345374">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73/107=70,2 %</w:t>
            </w:r>
          </w:p>
        </w:tc>
        <w:tc>
          <w:tcPr>
            <w:tcW w:w="2410" w:type="dxa"/>
            <w:tcBorders>
              <w:top w:val="nil"/>
              <w:left w:val="nil"/>
              <w:bottom w:val="nil"/>
              <w:right w:val="single" w:sz="4" w:space="0" w:color="auto"/>
            </w:tcBorders>
          </w:tcPr>
          <w:p w14:paraId="586FC1AF" w14:textId="77777777" w:rsidR="00AE3698" w:rsidRPr="00912A5D" w:rsidRDefault="00534896" w:rsidP="00345374">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3/12=25 %</w:t>
            </w:r>
          </w:p>
        </w:tc>
      </w:tr>
      <w:tr w:rsidR="00534896" w:rsidRPr="00912A5D" w14:paraId="586FC1B4" w14:textId="77777777" w:rsidTr="00345374">
        <w:trPr>
          <w:cantSplit/>
        </w:trPr>
        <w:tc>
          <w:tcPr>
            <w:tcW w:w="4428" w:type="dxa"/>
            <w:tcBorders>
              <w:top w:val="nil"/>
              <w:left w:val="single" w:sz="4" w:space="0" w:color="auto"/>
              <w:bottom w:val="nil"/>
              <w:right w:val="nil"/>
            </w:tcBorders>
          </w:tcPr>
          <w:p w14:paraId="586FC1B1" w14:textId="77777777" w:rsidR="00534896" w:rsidRPr="00912A5D" w:rsidRDefault="00534896" w:rsidP="00345374">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Huomattava vaste </w:t>
            </w:r>
            <w:r>
              <w:rPr>
                <w:rFonts w:ascii="Times New Roman" w:hAnsi="Times New Roman"/>
                <w:color w:val="000000"/>
                <w:sz w:val="22"/>
                <w:szCs w:val="22"/>
                <w:lang w:val="fi-FI"/>
              </w:rPr>
              <w:t>84</w:t>
            </w:r>
            <w:r w:rsidRPr="00912A5D">
              <w:rPr>
                <w:rFonts w:ascii="Times New Roman" w:hAnsi="Times New Roman"/>
                <w:color w:val="000000"/>
                <w:sz w:val="22"/>
                <w:szCs w:val="22"/>
                <w:lang w:val="fi-FI"/>
              </w:rPr>
              <w:t> kuukauden kohdalla (%)</w:t>
            </w:r>
          </w:p>
        </w:tc>
        <w:tc>
          <w:tcPr>
            <w:tcW w:w="2484" w:type="dxa"/>
            <w:tcBorders>
              <w:top w:val="nil"/>
              <w:left w:val="nil"/>
              <w:bottom w:val="nil"/>
              <w:right w:val="nil"/>
            </w:tcBorders>
          </w:tcPr>
          <w:p w14:paraId="586FC1B2" w14:textId="77777777" w:rsidR="00534896" w:rsidRPr="00912A5D" w:rsidDel="00534896" w:rsidRDefault="00534896" w:rsidP="00345374">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102/116=87,9 %</w:t>
            </w:r>
          </w:p>
        </w:tc>
        <w:tc>
          <w:tcPr>
            <w:tcW w:w="2410" w:type="dxa"/>
            <w:tcBorders>
              <w:top w:val="nil"/>
              <w:left w:val="nil"/>
              <w:bottom w:val="nil"/>
              <w:right w:val="single" w:sz="4" w:space="0" w:color="auto"/>
            </w:tcBorders>
          </w:tcPr>
          <w:p w14:paraId="586FC1B3" w14:textId="77777777" w:rsidR="00534896" w:rsidRPr="00912A5D" w:rsidDel="00534896" w:rsidRDefault="00534896" w:rsidP="00345374">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3/4=75 %</w:t>
            </w:r>
          </w:p>
        </w:tc>
      </w:tr>
      <w:tr w:rsidR="00AE3698" w:rsidRPr="00912A5D" w14:paraId="586FC1BB" w14:textId="77777777" w:rsidTr="00345374">
        <w:trPr>
          <w:cantSplit/>
        </w:trPr>
        <w:tc>
          <w:tcPr>
            <w:tcW w:w="9322" w:type="dxa"/>
            <w:gridSpan w:val="3"/>
            <w:tcBorders>
              <w:top w:val="single" w:sz="4" w:space="0" w:color="auto"/>
              <w:left w:val="single" w:sz="4" w:space="0" w:color="auto"/>
              <w:bottom w:val="single" w:sz="4" w:space="0" w:color="auto"/>
              <w:right w:val="single" w:sz="4" w:space="0" w:color="auto"/>
            </w:tcBorders>
          </w:tcPr>
          <w:p w14:paraId="586FC1B5" w14:textId="77777777" w:rsidR="00AE3698" w:rsidRPr="00912A5D" w:rsidRDefault="00AE3698">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 p&lt;0,001, Fisherin eksakti testi</w:t>
            </w:r>
          </w:p>
          <w:p w14:paraId="586FC1B6" w14:textId="77777777" w:rsidR="00AE3698" w:rsidRPr="00912A5D" w:rsidRDefault="00AE3698">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 </w:t>
            </w:r>
            <w:r w:rsidR="00555111">
              <w:rPr>
                <w:rFonts w:ascii="Times New Roman" w:hAnsi="Times New Roman"/>
                <w:color w:val="000000"/>
                <w:sz w:val="22"/>
                <w:szCs w:val="22"/>
                <w:lang w:val="fi-FI"/>
              </w:rPr>
              <w:t>mole</w:t>
            </w:r>
            <w:r w:rsidR="00CB241C">
              <w:rPr>
                <w:rFonts w:ascii="Times New Roman" w:hAnsi="Times New Roman"/>
                <w:color w:val="000000"/>
                <w:sz w:val="22"/>
                <w:szCs w:val="22"/>
                <w:lang w:val="fi-FI"/>
              </w:rPr>
              <w:t>kulaarinen vaste prosentteina</w:t>
            </w:r>
            <w:r w:rsidR="00555111">
              <w:rPr>
                <w:rFonts w:ascii="Times New Roman" w:hAnsi="Times New Roman"/>
                <w:color w:val="000000"/>
                <w:sz w:val="22"/>
                <w:szCs w:val="22"/>
                <w:lang w:val="fi-FI"/>
              </w:rPr>
              <w:t xml:space="preserve"> perustuvat saatavilla olev</w:t>
            </w:r>
            <w:r w:rsidR="00CB241C">
              <w:rPr>
                <w:rFonts w:ascii="Times New Roman" w:hAnsi="Times New Roman"/>
                <w:color w:val="000000"/>
                <w:sz w:val="22"/>
                <w:szCs w:val="22"/>
                <w:lang w:val="fi-FI"/>
              </w:rPr>
              <w:t>iin</w:t>
            </w:r>
            <w:r w:rsidR="00555111">
              <w:rPr>
                <w:rFonts w:ascii="Times New Roman" w:hAnsi="Times New Roman"/>
                <w:color w:val="000000"/>
                <w:sz w:val="22"/>
                <w:szCs w:val="22"/>
                <w:lang w:val="fi-FI"/>
              </w:rPr>
              <w:t xml:space="preserve"> </w:t>
            </w:r>
            <w:r w:rsidR="00CB241C">
              <w:rPr>
                <w:rFonts w:ascii="Times New Roman" w:hAnsi="Times New Roman"/>
                <w:color w:val="000000"/>
                <w:sz w:val="22"/>
                <w:szCs w:val="22"/>
                <w:lang w:val="fi-FI"/>
              </w:rPr>
              <w:t>näytteisiin</w:t>
            </w:r>
          </w:p>
          <w:p w14:paraId="586FC1B7" w14:textId="77777777" w:rsidR="00AE3698" w:rsidRPr="00912A5D" w:rsidRDefault="00AE3698">
            <w:pPr>
              <w:pStyle w:val="Table"/>
              <w:keepNext w:val="0"/>
              <w:keepLines w:val="0"/>
              <w:widowControl w:val="0"/>
              <w:spacing w:before="0" w:after="0"/>
              <w:rPr>
                <w:rFonts w:ascii="Times New Roman" w:hAnsi="Times New Roman"/>
                <w:b/>
                <w:color w:val="000000"/>
                <w:sz w:val="22"/>
                <w:szCs w:val="22"/>
                <w:lang w:val="fi-FI"/>
              </w:rPr>
            </w:pPr>
            <w:r w:rsidRPr="00912A5D">
              <w:rPr>
                <w:rFonts w:ascii="Times New Roman" w:hAnsi="Times New Roman"/>
                <w:b/>
                <w:color w:val="000000"/>
                <w:sz w:val="22"/>
                <w:szCs w:val="22"/>
                <w:lang w:val="fi-FI"/>
              </w:rPr>
              <w:t>Hematologisen vasteen kriteerit (kaikki vasteet varmistetaan </w:t>
            </w:r>
            <w:r w:rsidRPr="00912A5D">
              <w:rPr>
                <w:rFonts w:ascii="Times New Roman" w:hAnsi="Times New Roman"/>
                <w:b/>
                <w:color w:val="000000"/>
                <w:sz w:val="22"/>
                <w:szCs w:val="22"/>
                <w:lang w:val="fi-FI"/>
              </w:rPr>
              <w:sym w:font="Symbol" w:char="00B3"/>
            </w:r>
            <w:r w:rsidRPr="00912A5D">
              <w:rPr>
                <w:rFonts w:ascii="Times New Roman" w:hAnsi="Times New Roman"/>
                <w:b/>
                <w:color w:val="000000"/>
                <w:sz w:val="22"/>
                <w:szCs w:val="22"/>
                <w:lang w:val="fi-FI"/>
              </w:rPr>
              <w:t> 4 viikon jälkeen):</w:t>
            </w:r>
          </w:p>
          <w:p w14:paraId="586FC1B8" w14:textId="77777777" w:rsidR="00AE3698" w:rsidRPr="00912A5D" w:rsidRDefault="00AE3698">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Valkosolumäärä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verihiutaleiden määrä &lt; 450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myelosyyttejä + metamyelosyyttejä &lt; 5 % veressä, ei blasteja eikä promyelosyyttejä veressä, basofiileja &lt; 20 %, ei luuytimenulkoista sairautta.</w:t>
            </w:r>
          </w:p>
          <w:p w14:paraId="586FC1B9" w14:textId="77777777" w:rsidR="00AE3698" w:rsidRPr="00912A5D" w:rsidRDefault="00AE3698">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b/>
                <w:color w:val="000000"/>
                <w:sz w:val="22"/>
                <w:szCs w:val="22"/>
                <w:lang w:val="fi-FI"/>
              </w:rPr>
              <w:t xml:space="preserve">Sytogeneettisen vasteen kriteerit: </w:t>
            </w:r>
            <w:r w:rsidRPr="00912A5D">
              <w:rPr>
                <w:rFonts w:ascii="Times New Roman" w:hAnsi="Times New Roman"/>
                <w:color w:val="000000"/>
                <w:sz w:val="22"/>
                <w:szCs w:val="22"/>
                <w:lang w:val="fi-FI"/>
              </w:rPr>
              <w:t>täydellinen (0 % Ph+ -metafaaseja), osittainen (1–35 %), vähäinen (36–65 %) tai minimaalinen (66–95 %). Huomattava vaste (0–35 %) kattaa sekä täydellisen että osittaisen vasteen.</w:t>
            </w:r>
          </w:p>
          <w:p w14:paraId="586FC1BA" w14:textId="77777777" w:rsidR="00AE3698" w:rsidRPr="00912A5D" w:rsidRDefault="00AE3698">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b/>
                <w:color w:val="000000"/>
                <w:sz w:val="22"/>
                <w:szCs w:val="22"/>
                <w:lang w:val="fi-FI"/>
              </w:rPr>
              <w:t>Huomattavan molekulaarisen vasteen kriteerit</w:t>
            </w:r>
            <w:r w:rsidRPr="00912A5D">
              <w:rPr>
                <w:rFonts w:ascii="Times New Roman" w:hAnsi="Times New Roman"/>
                <w:color w:val="000000"/>
                <w:sz w:val="22"/>
                <w:szCs w:val="22"/>
                <w:lang w:val="fi-FI"/>
              </w:rPr>
              <w:t>: perifeerisessä veressä ≥ 3 logaritmin väheneminen Bcr-Abl transkriptien määrässä (mitattuna reaaliaikaisella kvantitatiivisella käänteiskopioijaentsyymi-</w:t>
            </w:r>
            <w:smartTag w:uri="urn:schemas-microsoft-com:office:smarttags" w:element="State">
              <w:r w:rsidRPr="00912A5D">
                <w:rPr>
                  <w:rFonts w:ascii="Times New Roman" w:hAnsi="Times New Roman"/>
                  <w:color w:val="000000"/>
                  <w:sz w:val="22"/>
                  <w:szCs w:val="22"/>
                  <w:lang w:val="fi-FI"/>
                </w:rPr>
                <w:t>PCR</w:t>
              </w:r>
            </w:smartTag>
            <w:r w:rsidRPr="00912A5D">
              <w:rPr>
                <w:rFonts w:ascii="Times New Roman" w:hAnsi="Times New Roman"/>
                <w:color w:val="000000"/>
                <w:sz w:val="22"/>
                <w:szCs w:val="22"/>
                <w:lang w:val="fi-FI"/>
              </w:rPr>
              <w:t>-menetelmällä) standardoituun lähtötilanteeseen verrattuna.</w:t>
            </w:r>
          </w:p>
        </w:tc>
      </w:tr>
    </w:tbl>
    <w:p w14:paraId="586FC1BC" w14:textId="77777777" w:rsidR="00AE3698" w:rsidRPr="00912A5D" w:rsidRDefault="00AE3698">
      <w:pPr>
        <w:pStyle w:val="EndnoteText"/>
        <w:widowControl w:val="0"/>
        <w:rPr>
          <w:color w:val="000000"/>
          <w:szCs w:val="22"/>
          <w:lang w:val="fi-FI"/>
        </w:rPr>
      </w:pPr>
    </w:p>
    <w:p w14:paraId="586FC1BD" w14:textId="77777777" w:rsidR="00AE3698" w:rsidRPr="00912A5D" w:rsidRDefault="00AE3698">
      <w:pPr>
        <w:pStyle w:val="EndnoteText"/>
        <w:rPr>
          <w:color w:val="000000"/>
          <w:lang w:val="fi-FI"/>
        </w:rPr>
      </w:pPr>
      <w:r w:rsidRPr="00912A5D">
        <w:rPr>
          <w:color w:val="000000"/>
          <w:lang w:val="fi-FI"/>
        </w:rPr>
        <w:t xml:space="preserve">Ensisijaishoidon aikaansaamat täydelliset hematologiset vasteet, huomattavat sytogeneettiset vasteet ja täydelliset sytogeneettiset vasteet arvioitiin Kaplan-Meierin menetelmällä, jossa hoitoon vastaamattomat potilaat jätettiin pois laskuista viimeisenä tutkimuspäivänä. Tällä menetelmällä saadut arviot ensisijaishoitona käytetyn Glivecin aikaansaamista kumulatiivisista vasteista </w:t>
      </w:r>
      <w:r w:rsidRPr="00912A5D">
        <w:rPr>
          <w:color w:val="000000"/>
          <w:szCs w:val="22"/>
          <w:lang w:val="fi-FI"/>
        </w:rPr>
        <w:t xml:space="preserve">paranivat 12 ja </w:t>
      </w:r>
      <w:r w:rsidR="00667AB8">
        <w:rPr>
          <w:color w:val="000000"/>
          <w:szCs w:val="22"/>
          <w:lang w:val="fi-FI"/>
        </w:rPr>
        <w:lastRenderedPageBreak/>
        <w:t>84</w:t>
      </w:r>
      <w:r w:rsidR="00667AB8" w:rsidRPr="00912A5D">
        <w:rPr>
          <w:color w:val="000000"/>
          <w:szCs w:val="22"/>
          <w:lang w:val="fi-FI"/>
        </w:rPr>
        <w:t> </w:t>
      </w:r>
      <w:r w:rsidRPr="00912A5D">
        <w:rPr>
          <w:color w:val="000000"/>
          <w:szCs w:val="22"/>
          <w:lang w:val="fi-FI"/>
        </w:rPr>
        <w:t xml:space="preserve">hoitokuukauden välisenä aikana seuraavasti: täydelliset hematologiset vasteet 96,4 %:sta 98,4 %:iin ja täydelliset sytogeneettiset vasteet 69,5 %:sta </w:t>
      </w:r>
      <w:r w:rsidR="00667AB8">
        <w:rPr>
          <w:color w:val="000000"/>
          <w:szCs w:val="22"/>
          <w:lang w:val="fi-FI"/>
        </w:rPr>
        <w:t>87,2</w:t>
      </w:r>
      <w:r w:rsidRPr="00912A5D">
        <w:rPr>
          <w:color w:val="000000"/>
          <w:szCs w:val="22"/>
          <w:lang w:val="fi-FI"/>
        </w:rPr>
        <w:t> %:iin</w:t>
      </w:r>
      <w:r w:rsidRPr="00912A5D">
        <w:rPr>
          <w:color w:val="000000"/>
          <w:lang w:val="fi-FI"/>
        </w:rPr>
        <w:t>.</w:t>
      </w:r>
    </w:p>
    <w:p w14:paraId="586FC1BE" w14:textId="77777777" w:rsidR="00AE3698" w:rsidRPr="00912A5D" w:rsidRDefault="00AE3698">
      <w:pPr>
        <w:pStyle w:val="EndnoteText"/>
        <w:rPr>
          <w:color w:val="000000"/>
          <w:lang w:val="fi-FI"/>
        </w:rPr>
      </w:pPr>
    </w:p>
    <w:p w14:paraId="586FC1BF" w14:textId="77777777" w:rsidR="00AE3698" w:rsidRPr="00912A5D" w:rsidRDefault="00667AB8">
      <w:pPr>
        <w:pStyle w:val="EndnoteText"/>
        <w:rPr>
          <w:color w:val="000000"/>
          <w:lang w:val="fi-FI"/>
        </w:rPr>
      </w:pPr>
      <w:r>
        <w:rPr>
          <w:color w:val="000000"/>
          <w:lang w:val="fi-FI"/>
        </w:rPr>
        <w:t>Seitsemän</w:t>
      </w:r>
      <w:r w:rsidRPr="00912A5D">
        <w:rPr>
          <w:color w:val="000000"/>
          <w:lang w:val="fi-FI"/>
        </w:rPr>
        <w:t xml:space="preserve"> </w:t>
      </w:r>
      <w:r w:rsidR="00AE3698" w:rsidRPr="00912A5D">
        <w:rPr>
          <w:color w:val="000000"/>
          <w:lang w:val="fi-FI"/>
        </w:rPr>
        <w:t xml:space="preserve">vuoden seurannassa taudin etenemiseen liittyviä tapahtumia esiintyi </w:t>
      </w:r>
      <w:r>
        <w:rPr>
          <w:color w:val="000000"/>
          <w:lang w:val="fi-FI"/>
        </w:rPr>
        <w:t>93</w:t>
      </w:r>
      <w:r w:rsidR="00AE3698" w:rsidRPr="00912A5D">
        <w:rPr>
          <w:color w:val="000000"/>
          <w:lang w:val="fi-FI"/>
        </w:rPr>
        <w:t>:lla (</w:t>
      </w:r>
      <w:r>
        <w:rPr>
          <w:color w:val="000000"/>
          <w:lang w:val="fi-FI"/>
        </w:rPr>
        <w:t>16,8</w:t>
      </w:r>
      <w:r w:rsidR="00AE3698" w:rsidRPr="00912A5D">
        <w:rPr>
          <w:color w:val="000000"/>
          <w:lang w:val="fi-FI"/>
        </w:rPr>
        <w:t xml:space="preserve"> %) Glivec-ryhmän potilaista: akseleraatiovaiheeseen/blastikriisivaiheeseen siirtyi </w:t>
      </w:r>
      <w:r>
        <w:rPr>
          <w:color w:val="000000"/>
          <w:lang w:val="fi-FI"/>
        </w:rPr>
        <w:t>37</w:t>
      </w:r>
      <w:r w:rsidRPr="00912A5D">
        <w:rPr>
          <w:color w:val="000000"/>
          <w:lang w:val="fi-FI"/>
        </w:rPr>
        <w:t> </w:t>
      </w:r>
      <w:r w:rsidR="00AE3698" w:rsidRPr="00912A5D">
        <w:rPr>
          <w:color w:val="000000"/>
          <w:lang w:val="fi-FI"/>
        </w:rPr>
        <w:t>potilasta (</w:t>
      </w:r>
      <w:r>
        <w:rPr>
          <w:color w:val="000000"/>
          <w:lang w:val="fi-FI"/>
        </w:rPr>
        <w:t>6,7</w:t>
      </w:r>
      <w:r w:rsidR="00AE3698" w:rsidRPr="00912A5D">
        <w:rPr>
          <w:color w:val="000000"/>
          <w:lang w:val="fi-FI"/>
        </w:rPr>
        <w:t xml:space="preserve"> %), huomattava sytogeneettinen vaste menetettiin </w:t>
      </w:r>
      <w:r>
        <w:rPr>
          <w:color w:val="000000"/>
          <w:lang w:val="fi-FI"/>
        </w:rPr>
        <w:t>31</w:t>
      </w:r>
      <w:r w:rsidRPr="00912A5D">
        <w:rPr>
          <w:color w:val="000000"/>
          <w:lang w:val="fi-FI"/>
        </w:rPr>
        <w:t> </w:t>
      </w:r>
      <w:r w:rsidR="00AE3698" w:rsidRPr="00912A5D">
        <w:rPr>
          <w:color w:val="000000"/>
          <w:lang w:val="fi-FI"/>
        </w:rPr>
        <w:t>potilaalla (</w:t>
      </w:r>
      <w:r>
        <w:rPr>
          <w:color w:val="000000"/>
          <w:lang w:val="fi-FI"/>
        </w:rPr>
        <w:t>5,6</w:t>
      </w:r>
      <w:r w:rsidR="00AE3698" w:rsidRPr="00912A5D">
        <w:rPr>
          <w:color w:val="000000"/>
          <w:lang w:val="fi-FI"/>
        </w:rPr>
        <w:t xml:space="preserve"> %), täydellinen hematologinen vaste menetettiin tai valkosolumäärä nousi </w:t>
      </w:r>
      <w:r>
        <w:rPr>
          <w:color w:val="000000"/>
          <w:lang w:val="fi-FI"/>
        </w:rPr>
        <w:t>15</w:t>
      </w:r>
      <w:r w:rsidRPr="00912A5D">
        <w:rPr>
          <w:color w:val="000000"/>
          <w:lang w:val="fi-FI"/>
        </w:rPr>
        <w:t> </w:t>
      </w:r>
      <w:r w:rsidR="00AE3698" w:rsidRPr="00912A5D">
        <w:rPr>
          <w:color w:val="000000"/>
          <w:lang w:val="fi-FI"/>
        </w:rPr>
        <w:t>potilaalla (</w:t>
      </w:r>
      <w:r>
        <w:rPr>
          <w:color w:val="000000"/>
          <w:lang w:val="fi-FI"/>
        </w:rPr>
        <w:t>2,7</w:t>
      </w:r>
      <w:r w:rsidR="00BA398F">
        <w:rPr>
          <w:color w:val="000000"/>
          <w:lang w:val="fi-FI"/>
        </w:rPr>
        <w:t> </w:t>
      </w:r>
      <w:r w:rsidR="00AE3698" w:rsidRPr="00912A5D">
        <w:rPr>
          <w:color w:val="000000"/>
          <w:lang w:val="fi-FI"/>
        </w:rPr>
        <w:t xml:space="preserve">%), ja </w:t>
      </w:r>
      <w:r>
        <w:rPr>
          <w:color w:val="000000"/>
          <w:lang w:val="fi-FI"/>
        </w:rPr>
        <w:t>10</w:t>
      </w:r>
      <w:r w:rsidRPr="00912A5D">
        <w:rPr>
          <w:color w:val="000000"/>
          <w:lang w:val="fi-FI"/>
        </w:rPr>
        <w:t> </w:t>
      </w:r>
      <w:r w:rsidR="00AE3698" w:rsidRPr="00912A5D">
        <w:rPr>
          <w:color w:val="000000"/>
          <w:lang w:val="fi-FI"/>
        </w:rPr>
        <w:t>potilasta (</w:t>
      </w:r>
      <w:r>
        <w:rPr>
          <w:color w:val="000000"/>
          <w:lang w:val="fi-FI"/>
        </w:rPr>
        <w:t>1,8</w:t>
      </w:r>
      <w:r w:rsidR="00AE3698" w:rsidRPr="00912A5D">
        <w:rPr>
          <w:color w:val="000000"/>
          <w:lang w:val="fi-FI"/>
        </w:rPr>
        <w:t xml:space="preserve"> %) menehtyi jonkin muun syyn kuin </w:t>
      </w:r>
      <w:smartTag w:uri="urn:schemas-microsoft-com:office:smarttags" w:element="State">
        <w:r w:rsidR="00AE3698" w:rsidRPr="00912A5D">
          <w:rPr>
            <w:color w:val="000000"/>
            <w:lang w:val="fi-FI"/>
          </w:rPr>
          <w:t>KML</w:t>
        </w:r>
      </w:smartTag>
      <w:r w:rsidR="00AE3698" w:rsidRPr="00912A5D">
        <w:rPr>
          <w:color w:val="000000"/>
          <w:lang w:val="fi-FI"/>
        </w:rPr>
        <w:t xml:space="preserve">:n takia. Sitä vastoin interferonia ja sytarabiinia saaneiden potilaiden ryhmässä esiintyi </w:t>
      </w:r>
      <w:r>
        <w:rPr>
          <w:color w:val="000000"/>
          <w:lang w:val="fi-FI"/>
        </w:rPr>
        <w:t>165</w:t>
      </w:r>
      <w:r w:rsidRPr="00912A5D">
        <w:rPr>
          <w:color w:val="000000"/>
          <w:lang w:val="fi-FI"/>
        </w:rPr>
        <w:t> </w:t>
      </w:r>
      <w:r w:rsidR="00AE3698" w:rsidRPr="00912A5D">
        <w:rPr>
          <w:color w:val="000000"/>
          <w:lang w:val="fi-FI"/>
        </w:rPr>
        <w:t>tapahtumaa (</w:t>
      </w:r>
      <w:r>
        <w:rPr>
          <w:color w:val="000000"/>
          <w:lang w:val="fi-FI"/>
        </w:rPr>
        <w:t>29,8</w:t>
      </w:r>
      <w:r w:rsidR="00AE3698" w:rsidRPr="00912A5D">
        <w:rPr>
          <w:color w:val="000000"/>
          <w:lang w:val="fi-FI"/>
        </w:rPr>
        <w:t xml:space="preserve"> %), ja näistä tapahtumista </w:t>
      </w:r>
      <w:r>
        <w:rPr>
          <w:color w:val="000000"/>
          <w:lang w:val="fi-FI"/>
        </w:rPr>
        <w:t>130</w:t>
      </w:r>
      <w:r w:rsidRPr="00912A5D">
        <w:rPr>
          <w:color w:val="000000"/>
          <w:lang w:val="fi-FI"/>
        </w:rPr>
        <w:t> </w:t>
      </w:r>
      <w:r w:rsidR="00AE3698" w:rsidRPr="00912A5D">
        <w:rPr>
          <w:color w:val="000000"/>
          <w:lang w:val="fi-FI"/>
        </w:rPr>
        <w:t>ilmaantui, kun alfainterferonia ja sytarabiinia käytettiin ensisijaishoitona.</w:t>
      </w:r>
    </w:p>
    <w:p w14:paraId="586FC1C0" w14:textId="77777777" w:rsidR="00AE3698" w:rsidRPr="00912A5D" w:rsidRDefault="00AE3698">
      <w:pPr>
        <w:pStyle w:val="EndnoteText"/>
        <w:widowControl w:val="0"/>
        <w:rPr>
          <w:color w:val="000000"/>
          <w:lang w:val="fi-FI"/>
        </w:rPr>
      </w:pPr>
    </w:p>
    <w:p w14:paraId="586FC1C1" w14:textId="77777777" w:rsidR="00AE3698" w:rsidRPr="00912A5D" w:rsidRDefault="00AE3698">
      <w:pPr>
        <w:pStyle w:val="EndnoteText"/>
        <w:widowControl w:val="0"/>
        <w:tabs>
          <w:tab w:val="clear" w:pos="567"/>
        </w:tabs>
        <w:rPr>
          <w:rStyle w:val="EndnoteTextChar"/>
          <w:color w:val="000000"/>
          <w:szCs w:val="22"/>
          <w:lang w:val="fi-FI"/>
        </w:rPr>
      </w:pPr>
      <w:r w:rsidRPr="00912A5D">
        <w:rPr>
          <w:color w:val="000000"/>
          <w:szCs w:val="22"/>
          <w:lang w:val="fi-FI"/>
        </w:rPr>
        <w:t xml:space="preserve">Alfainterferoniryhmään verrattuna Glivec-ryhmässä oli </w:t>
      </w:r>
      <w:r w:rsidR="00667AB8">
        <w:rPr>
          <w:color w:val="000000"/>
          <w:szCs w:val="22"/>
          <w:lang w:val="fi-FI"/>
        </w:rPr>
        <w:t>84</w:t>
      </w:r>
      <w:r w:rsidR="00667AB8" w:rsidRPr="00912A5D">
        <w:rPr>
          <w:color w:val="000000"/>
          <w:szCs w:val="22"/>
          <w:lang w:val="fi-FI"/>
        </w:rPr>
        <w:t> </w:t>
      </w:r>
      <w:r w:rsidRPr="00912A5D">
        <w:rPr>
          <w:color w:val="000000"/>
          <w:szCs w:val="22"/>
          <w:lang w:val="fi-FI"/>
        </w:rPr>
        <w:t>kuukauden jälkeen merkitsevästi enemmän potilaita, joiden tauti ei ollut edennyt akseleraatiovaiheeseen tai blastikriisivaiheeseen (</w:t>
      </w:r>
      <w:r w:rsidR="00667AB8">
        <w:rPr>
          <w:color w:val="000000"/>
          <w:szCs w:val="22"/>
          <w:lang w:val="fi-FI"/>
        </w:rPr>
        <w:t>92,5</w:t>
      </w:r>
      <w:r w:rsidRPr="00912A5D">
        <w:rPr>
          <w:color w:val="000000"/>
          <w:szCs w:val="22"/>
          <w:lang w:val="fi-FI"/>
        </w:rPr>
        <w:t xml:space="preserve"> % vs. </w:t>
      </w:r>
      <w:r w:rsidR="00667AB8">
        <w:rPr>
          <w:color w:val="000000"/>
          <w:szCs w:val="22"/>
          <w:lang w:val="fi-FI"/>
        </w:rPr>
        <w:t>85,1</w:t>
      </w:r>
      <w:r w:rsidRPr="00912A5D">
        <w:rPr>
          <w:color w:val="000000"/>
          <w:szCs w:val="22"/>
          <w:lang w:val="fi-FI"/>
        </w:rPr>
        <w:t xml:space="preserve"> %; p&lt;0,001). Taudin vuotuiset etenemisprosentit akseleraatiovaiheeseen tai blastikriisivaiheeseen pienenivät hoidon jatkuessa, ja neljäntenä ja viidentenä hoitovuotena vuotuinen etenemisprosentti oli alle 1 %. Arvioiden mukaan </w:t>
      </w:r>
      <w:r w:rsidR="00667AB8">
        <w:rPr>
          <w:color w:val="000000"/>
          <w:szCs w:val="22"/>
          <w:lang w:val="fi-FI"/>
        </w:rPr>
        <w:t>84</w:t>
      </w:r>
      <w:r w:rsidR="00667AB8" w:rsidRPr="00912A5D">
        <w:rPr>
          <w:color w:val="000000"/>
          <w:szCs w:val="22"/>
          <w:lang w:val="fi-FI"/>
        </w:rPr>
        <w:t> </w:t>
      </w:r>
      <w:r w:rsidRPr="00912A5D">
        <w:rPr>
          <w:color w:val="000000"/>
          <w:szCs w:val="22"/>
          <w:lang w:val="fi-FI"/>
        </w:rPr>
        <w:t xml:space="preserve">kuukauden elossaolo ilman taudin etenemistä oli Glivec-ryhmässä </w:t>
      </w:r>
      <w:r w:rsidR="00667AB8">
        <w:rPr>
          <w:color w:val="000000"/>
          <w:szCs w:val="22"/>
          <w:lang w:val="fi-FI"/>
        </w:rPr>
        <w:t>81,2</w:t>
      </w:r>
      <w:r w:rsidRPr="00912A5D">
        <w:rPr>
          <w:color w:val="000000"/>
          <w:szCs w:val="22"/>
          <w:lang w:val="fi-FI"/>
        </w:rPr>
        <w:t xml:space="preserve"> % ja verrokkiryhmässä </w:t>
      </w:r>
      <w:r w:rsidR="00667AB8">
        <w:rPr>
          <w:color w:val="000000"/>
          <w:szCs w:val="22"/>
          <w:lang w:val="fi-FI"/>
        </w:rPr>
        <w:t>60,6</w:t>
      </w:r>
      <w:r w:rsidRPr="00912A5D">
        <w:rPr>
          <w:color w:val="000000"/>
          <w:szCs w:val="22"/>
          <w:lang w:val="fi-FI"/>
        </w:rPr>
        <w:t xml:space="preserve"> % (p&lt;0,001). Taudin vuotuiset etenemisprosentit </w:t>
      </w:r>
      <w:r w:rsidRPr="00912A5D">
        <w:rPr>
          <w:rStyle w:val="EndnoteTextChar"/>
          <w:color w:val="000000"/>
          <w:szCs w:val="22"/>
          <w:lang w:val="fi-FI"/>
        </w:rPr>
        <w:t>pienenivät Glivec-ryhmässä ajan mittaan taudin etenemistyypistä riippumatta.</w:t>
      </w:r>
    </w:p>
    <w:p w14:paraId="586FC1C2" w14:textId="77777777" w:rsidR="00AE3698" w:rsidRPr="00912A5D" w:rsidRDefault="00AE3698">
      <w:pPr>
        <w:pStyle w:val="EndnoteText"/>
        <w:widowControl w:val="0"/>
        <w:tabs>
          <w:tab w:val="clear" w:pos="567"/>
        </w:tabs>
        <w:rPr>
          <w:color w:val="000000"/>
          <w:szCs w:val="22"/>
          <w:lang w:val="fi-FI"/>
        </w:rPr>
      </w:pPr>
    </w:p>
    <w:p w14:paraId="586FC1C3" w14:textId="77777777" w:rsidR="00AE3698" w:rsidRPr="00912A5D" w:rsidRDefault="00AE3698">
      <w:pPr>
        <w:pStyle w:val="EndnoteText"/>
        <w:rPr>
          <w:color w:val="000000"/>
          <w:lang w:val="fi-FI"/>
        </w:rPr>
      </w:pPr>
      <w:r w:rsidRPr="00912A5D">
        <w:rPr>
          <w:color w:val="000000"/>
          <w:lang w:val="fi-FI"/>
        </w:rPr>
        <w:t xml:space="preserve">Glivec-hoitoa saaneista potilaista menehtyi yhteensä </w:t>
      </w:r>
      <w:r w:rsidR="00667AB8">
        <w:rPr>
          <w:color w:val="000000"/>
          <w:lang w:val="fi-FI"/>
        </w:rPr>
        <w:t>71</w:t>
      </w:r>
      <w:r w:rsidR="00667AB8" w:rsidRPr="00912A5D">
        <w:rPr>
          <w:color w:val="000000"/>
          <w:lang w:val="fi-FI"/>
        </w:rPr>
        <w:t> </w:t>
      </w:r>
      <w:r w:rsidRPr="00912A5D">
        <w:rPr>
          <w:color w:val="000000"/>
          <w:lang w:val="fi-FI"/>
        </w:rPr>
        <w:t>(</w:t>
      </w:r>
      <w:r w:rsidR="00667AB8">
        <w:rPr>
          <w:color w:val="000000"/>
          <w:lang w:val="fi-FI"/>
        </w:rPr>
        <w:t>12,8</w:t>
      </w:r>
      <w:r w:rsidRPr="00912A5D">
        <w:rPr>
          <w:color w:val="000000"/>
          <w:lang w:val="fi-FI"/>
        </w:rPr>
        <w:t xml:space="preserve"> %) ja alfainterferonia ja sytarabiinia saaneista potilaista </w:t>
      </w:r>
      <w:r w:rsidR="00667AB8">
        <w:rPr>
          <w:color w:val="000000"/>
          <w:lang w:val="fi-FI"/>
        </w:rPr>
        <w:t>85</w:t>
      </w:r>
      <w:r w:rsidR="00667AB8" w:rsidRPr="00912A5D">
        <w:rPr>
          <w:color w:val="000000"/>
          <w:lang w:val="fi-FI"/>
        </w:rPr>
        <w:t> </w:t>
      </w:r>
      <w:r w:rsidRPr="00912A5D">
        <w:rPr>
          <w:color w:val="000000"/>
          <w:lang w:val="fi-FI"/>
        </w:rPr>
        <w:t>(</w:t>
      </w:r>
      <w:r w:rsidR="00667AB8">
        <w:rPr>
          <w:color w:val="000000"/>
          <w:lang w:val="fi-FI"/>
        </w:rPr>
        <w:t>15,4</w:t>
      </w:r>
      <w:r w:rsidRPr="00912A5D">
        <w:rPr>
          <w:color w:val="000000"/>
          <w:lang w:val="fi-FI"/>
        </w:rPr>
        <w:t xml:space="preserve"> %). Arvioitu kokonaiselossaolo </w:t>
      </w:r>
      <w:r w:rsidR="00667AB8">
        <w:rPr>
          <w:color w:val="000000"/>
          <w:lang w:val="fi-FI"/>
        </w:rPr>
        <w:t>84</w:t>
      </w:r>
      <w:r w:rsidR="00667AB8" w:rsidRPr="00912A5D">
        <w:rPr>
          <w:color w:val="000000"/>
          <w:lang w:val="fi-FI"/>
        </w:rPr>
        <w:t> </w:t>
      </w:r>
      <w:r w:rsidRPr="00912A5D">
        <w:rPr>
          <w:color w:val="000000"/>
          <w:lang w:val="fi-FI"/>
        </w:rPr>
        <w:t xml:space="preserve">kuukauden kohdalla oli Glivec-hoitoon satunnaistetussa ryhmässä </w:t>
      </w:r>
      <w:r w:rsidR="00667AB8">
        <w:rPr>
          <w:color w:val="000000"/>
          <w:lang w:val="fi-FI"/>
        </w:rPr>
        <w:t>86,4</w:t>
      </w:r>
      <w:r w:rsidRPr="00912A5D">
        <w:rPr>
          <w:color w:val="000000"/>
          <w:lang w:val="fi-FI"/>
        </w:rPr>
        <w:t> % (</w:t>
      </w:r>
      <w:r w:rsidR="00667AB8">
        <w:rPr>
          <w:color w:val="000000"/>
          <w:lang w:val="fi-FI"/>
        </w:rPr>
        <w:t>83</w:t>
      </w:r>
      <w:r w:rsidRPr="00912A5D">
        <w:rPr>
          <w:color w:val="000000"/>
          <w:lang w:val="fi-FI"/>
        </w:rPr>
        <w:t>, </w:t>
      </w:r>
      <w:r w:rsidR="00667AB8">
        <w:rPr>
          <w:color w:val="000000"/>
          <w:lang w:val="fi-FI"/>
        </w:rPr>
        <w:t>90</w:t>
      </w:r>
      <w:r w:rsidRPr="00912A5D">
        <w:rPr>
          <w:color w:val="000000"/>
          <w:lang w:val="fi-FI"/>
        </w:rPr>
        <w:t xml:space="preserve">) ja alfainterferoni- ja sytarabiinihoitoon satunnaistetussa ryhmässä </w:t>
      </w:r>
      <w:r w:rsidR="00667AB8">
        <w:rPr>
          <w:color w:val="000000"/>
          <w:lang w:val="fi-FI"/>
        </w:rPr>
        <w:t>83,3</w:t>
      </w:r>
      <w:r w:rsidRPr="00912A5D">
        <w:rPr>
          <w:color w:val="000000"/>
          <w:lang w:val="fi-FI"/>
        </w:rPr>
        <w:t> % (</w:t>
      </w:r>
      <w:r w:rsidR="00667AB8">
        <w:rPr>
          <w:color w:val="000000"/>
          <w:lang w:val="fi-FI"/>
        </w:rPr>
        <w:t>80</w:t>
      </w:r>
      <w:r w:rsidRPr="00912A5D">
        <w:rPr>
          <w:color w:val="000000"/>
          <w:lang w:val="fi-FI"/>
        </w:rPr>
        <w:t>, </w:t>
      </w:r>
      <w:r w:rsidR="00667AB8">
        <w:rPr>
          <w:color w:val="000000"/>
          <w:lang w:val="fi-FI"/>
        </w:rPr>
        <w:t>87</w:t>
      </w:r>
      <w:r w:rsidRPr="00912A5D">
        <w:rPr>
          <w:color w:val="000000"/>
          <w:lang w:val="fi-FI"/>
        </w:rPr>
        <w:t>) (p=0,</w:t>
      </w:r>
      <w:r w:rsidR="00667AB8" w:rsidRPr="00912A5D">
        <w:rPr>
          <w:color w:val="000000"/>
          <w:lang w:val="fi-FI"/>
        </w:rPr>
        <w:t>0</w:t>
      </w:r>
      <w:r w:rsidR="00667AB8">
        <w:rPr>
          <w:color w:val="000000"/>
          <w:lang w:val="fi-FI"/>
        </w:rPr>
        <w:t>73</w:t>
      </w:r>
      <w:r w:rsidRPr="00912A5D">
        <w:rPr>
          <w:color w:val="000000"/>
          <w:lang w:val="fi-FI"/>
        </w:rPr>
        <w:t xml:space="preserve">, log rank -testi). Tähän lopputapahtumaan (tapahtumaan kulunut aika) vaikuttaa voimakkaasti se, että niin monet alfainterferoni- ja sytarabiinihoitoon satunnaistetut potilaat siirtyivät Glivec-hoitoon. Glivec-hoidon vaikutusta elossaoloon vasta diagnosoidussa kroonisen vaiheen </w:t>
      </w:r>
      <w:smartTag w:uri="urn:schemas-microsoft-com:office:smarttags" w:element="State">
        <w:r w:rsidRPr="00912A5D">
          <w:rPr>
            <w:color w:val="000000"/>
            <w:lang w:val="fi-FI"/>
          </w:rPr>
          <w:t>KML</w:t>
        </w:r>
      </w:smartTag>
      <w:r w:rsidRPr="00912A5D">
        <w:rPr>
          <w:color w:val="000000"/>
          <w:lang w:val="fi-FI"/>
        </w:rPr>
        <w:t xml:space="preserve">:ssa on tutkittu tarkemmin yllä raportoitujen Glivec-tietojen retrospektiivisessä analyysissa, kun mukaan otettiin myös primaariset tiedot toisesta vaiheen </w:t>
      </w:r>
      <w:smartTag w:uri="urn:schemas-microsoft-com:office:smarttags" w:element="State">
        <w:r w:rsidRPr="00912A5D">
          <w:rPr>
            <w:color w:val="000000"/>
            <w:lang w:val="fi-FI"/>
          </w:rPr>
          <w:t>III</w:t>
        </w:r>
      </w:smartTag>
      <w:r w:rsidRPr="00912A5D">
        <w:rPr>
          <w:color w:val="000000"/>
          <w:lang w:val="fi-FI"/>
        </w:rPr>
        <w:t xml:space="preserve"> tutkimuksesta, jossa interferonin ja sytarabiinin yhdistelmää (n=325) annettiin täysin samalla tavalla. Tässä retrospektiivisessä analyysissa Glivec todettiin interferonin ja sytarabiinin yhdistelmää paremmaksi (p&lt;0,001); 42 kuukauden kuluttua 47 (8,5 %) Gliveciä saaneista potilaista ja 63 (19,4 %) interferonia ja sytarabiinia saaneista potilaista oli menehtynyt.</w:t>
      </w:r>
    </w:p>
    <w:p w14:paraId="586FC1C4" w14:textId="77777777" w:rsidR="00AE3698" w:rsidRPr="00912A5D" w:rsidRDefault="00AE3698">
      <w:pPr>
        <w:pStyle w:val="EndnoteText"/>
        <w:rPr>
          <w:color w:val="000000"/>
          <w:lang w:val="fi-FI"/>
        </w:rPr>
      </w:pPr>
    </w:p>
    <w:p w14:paraId="586FC1C5" w14:textId="77777777" w:rsidR="00AE3698" w:rsidRPr="00912A5D" w:rsidRDefault="00AE3698">
      <w:pPr>
        <w:pStyle w:val="EndnoteText"/>
        <w:rPr>
          <w:color w:val="000000"/>
          <w:szCs w:val="22"/>
          <w:lang w:val="fi-FI"/>
        </w:rPr>
      </w:pPr>
      <w:r w:rsidRPr="00912A5D">
        <w:rPr>
          <w:color w:val="000000"/>
          <w:lang w:val="fi-FI"/>
        </w:rPr>
        <w:t xml:space="preserve">Sytogeneettisen ja molekulaarisen vasteen voimakkuudella oli selkeä vaikutus Gliveciä saaneiden potilaiden pitkäaikaistuloksiin. Arvioiden mukaan täydellisen sytogeneettisen vasteen (osittaisen sytogeneettisen vasteen) 12 kuukauden kohdalla saavuttaneista potilaista </w:t>
      </w:r>
      <w:r w:rsidR="00AB2987">
        <w:rPr>
          <w:color w:val="000000"/>
          <w:lang w:val="fi-FI"/>
        </w:rPr>
        <w:t>96</w:t>
      </w:r>
      <w:r w:rsidR="00AB2987" w:rsidRPr="00912A5D">
        <w:rPr>
          <w:color w:val="000000"/>
          <w:lang w:val="fi-FI"/>
        </w:rPr>
        <w:t> </w:t>
      </w:r>
      <w:r w:rsidRPr="00912A5D">
        <w:rPr>
          <w:color w:val="000000"/>
          <w:lang w:val="fi-FI"/>
        </w:rPr>
        <w:t xml:space="preserve">%:lla (93 %:lla) tauti ei ollut edennyt </w:t>
      </w:r>
      <w:r w:rsidR="00AB2987">
        <w:rPr>
          <w:color w:val="000000"/>
          <w:lang w:val="fi-FI"/>
        </w:rPr>
        <w:t>84</w:t>
      </w:r>
      <w:r w:rsidR="00AB2987" w:rsidRPr="00912A5D">
        <w:rPr>
          <w:color w:val="000000"/>
          <w:lang w:val="fi-FI"/>
        </w:rPr>
        <w:t> </w:t>
      </w:r>
      <w:r w:rsidRPr="00912A5D">
        <w:rPr>
          <w:color w:val="000000"/>
          <w:lang w:val="fi-FI"/>
        </w:rPr>
        <w:t xml:space="preserve">kuukauden kohdalla akseleraatiovaiheeseen/blastikriisivaiheeseen. Potilaista, jotka eivät olleet saavuttaneet huomattavaa sytogeneettistä vastetta 12 kuukauden kohdalla, vain 81 %:n tauti ei ollut muuttunut </w:t>
      </w:r>
      <w:r w:rsidR="00AB2987">
        <w:rPr>
          <w:color w:val="000000"/>
          <w:lang w:val="fi-FI"/>
        </w:rPr>
        <w:t>84</w:t>
      </w:r>
      <w:r w:rsidR="00AB2987" w:rsidRPr="00912A5D">
        <w:rPr>
          <w:color w:val="000000"/>
          <w:lang w:val="fi-FI"/>
        </w:rPr>
        <w:t> </w:t>
      </w:r>
      <w:r w:rsidRPr="00912A5D">
        <w:rPr>
          <w:color w:val="000000"/>
          <w:lang w:val="fi-FI"/>
        </w:rPr>
        <w:t xml:space="preserve">kuukauden kohdalla pitkälle edenneeksi </w:t>
      </w:r>
      <w:smartTag w:uri="urn:schemas-microsoft-com:office:smarttags" w:element="State">
        <w:r w:rsidRPr="00912A5D">
          <w:rPr>
            <w:color w:val="000000"/>
            <w:lang w:val="fi-FI"/>
          </w:rPr>
          <w:t>KML</w:t>
        </w:r>
      </w:smartTag>
      <w:r w:rsidRPr="00912A5D">
        <w:rPr>
          <w:color w:val="000000"/>
          <w:lang w:val="fi-FI"/>
        </w:rPr>
        <w:t>:ksi (p&lt;0,001 yhteensä, p=0,</w:t>
      </w:r>
      <w:r w:rsidR="00AB2987" w:rsidRPr="00912A5D">
        <w:rPr>
          <w:color w:val="000000"/>
          <w:lang w:val="fi-FI"/>
        </w:rPr>
        <w:t>2</w:t>
      </w:r>
      <w:r w:rsidR="00AB2987">
        <w:rPr>
          <w:color w:val="000000"/>
          <w:lang w:val="fi-FI"/>
        </w:rPr>
        <w:t>5</w:t>
      </w:r>
      <w:r w:rsidR="00AB2987" w:rsidRPr="00912A5D">
        <w:rPr>
          <w:color w:val="000000"/>
          <w:lang w:val="fi-FI"/>
        </w:rPr>
        <w:t> </w:t>
      </w:r>
      <w:r w:rsidRPr="00912A5D">
        <w:rPr>
          <w:color w:val="000000"/>
          <w:lang w:val="fi-FI"/>
        </w:rPr>
        <w:t xml:space="preserve">täydellinen vs. osittainen sytogeneettinen vaste). </w:t>
      </w:r>
      <w:r w:rsidRPr="00FE4298">
        <w:rPr>
          <w:color w:val="000000"/>
          <w:szCs w:val="22"/>
          <w:lang w:val="fi-FI"/>
        </w:rPr>
        <w:t>Jos potila</w:t>
      </w:r>
      <w:r w:rsidR="00FE4298">
        <w:rPr>
          <w:color w:val="000000"/>
          <w:szCs w:val="22"/>
          <w:lang w:val="fi-FI"/>
        </w:rPr>
        <w:t>alla</w:t>
      </w:r>
      <w:r w:rsidRPr="00FE4298">
        <w:rPr>
          <w:color w:val="000000"/>
          <w:szCs w:val="22"/>
          <w:lang w:val="fi-FI"/>
        </w:rPr>
        <w:t xml:space="preserve"> todettiin 12 kuukauden kohdalla vähintään 3 logaritmin väheneminen Bcr-Abl-transkriptien määrässä, todennäköisyys, että</w:t>
      </w:r>
      <w:r w:rsidRPr="00912A5D">
        <w:rPr>
          <w:color w:val="000000"/>
          <w:szCs w:val="22"/>
          <w:lang w:val="fi-FI"/>
        </w:rPr>
        <w:t xml:space="preserve"> hänen tautinsa ei ollut edennyt akseleraatiovaiheeseen tai blastikriisivaiheeseen </w:t>
      </w:r>
      <w:r w:rsidR="00E006A3">
        <w:rPr>
          <w:color w:val="000000"/>
          <w:szCs w:val="22"/>
          <w:lang w:val="fi-FI"/>
        </w:rPr>
        <w:t>84</w:t>
      </w:r>
      <w:r w:rsidR="00E006A3" w:rsidRPr="00912A5D">
        <w:rPr>
          <w:color w:val="000000"/>
          <w:szCs w:val="22"/>
          <w:lang w:val="fi-FI"/>
        </w:rPr>
        <w:t> </w:t>
      </w:r>
      <w:r w:rsidRPr="00912A5D">
        <w:rPr>
          <w:color w:val="000000"/>
          <w:szCs w:val="22"/>
          <w:lang w:val="fi-FI"/>
        </w:rPr>
        <w:t xml:space="preserve">kuukauden kohdalla, oli </w:t>
      </w:r>
      <w:r w:rsidR="00E006A3">
        <w:rPr>
          <w:color w:val="000000"/>
          <w:szCs w:val="22"/>
          <w:lang w:val="fi-FI"/>
        </w:rPr>
        <w:t>99</w:t>
      </w:r>
      <w:r w:rsidR="00E006A3" w:rsidRPr="00912A5D">
        <w:rPr>
          <w:color w:val="000000"/>
          <w:szCs w:val="22"/>
          <w:lang w:val="fi-FI"/>
        </w:rPr>
        <w:t> </w:t>
      </w:r>
      <w:r w:rsidRPr="00912A5D">
        <w:rPr>
          <w:color w:val="000000"/>
          <w:szCs w:val="22"/>
          <w:lang w:val="fi-FI"/>
        </w:rPr>
        <w:t>%. Myös 18 kuukauden kohdalla tehty analyysi antoi samansuuntaista näyttöä.</w:t>
      </w:r>
    </w:p>
    <w:p w14:paraId="586FC1C6" w14:textId="77777777" w:rsidR="00AE3698" w:rsidRPr="00912A5D" w:rsidRDefault="00AE3698">
      <w:pPr>
        <w:pStyle w:val="EndnoteText"/>
        <w:widowControl w:val="0"/>
        <w:tabs>
          <w:tab w:val="clear" w:pos="567"/>
        </w:tabs>
        <w:rPr>
          <w:color w:val="000000"/>
          <w:szCs w:val="22"/>
          <w:lang w:val="fi-FI"/>
        </w:rPr>
      </w:pPr>
    </w:p>
    <w:p w14:paraId="586FC1C7"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Tässä tutkimuksessa oli sallittu annoksen suurentaminen 400 mg:sta vuorokaudessa 600 mg:aan ja sen jälkeen 600 mg:sta 800 mg:aan vuorokaudessa. 42 kuukauden seurannan jälkeen 11 potilaalla varmistettiin (4 viikon sisällä) sytogeneettisen vasteen häviäminen. Näistä 11 potilaasta 4:llä annosta suurennettiin 800 mg:aan vuorokaudessa, joista kaksi sai sytogeneettisen vasteen takaisin (1 osittainen ja 1 täydellinen, jolla myös havaittiin molekulaarinen vaste). Niillä 7 potilaalla, joilla annosta ei suurennettu, ainoastaan yksi sai takaisin täydellisen sytogeneettisen vasteen. Eräiden haittavaikutusten osuus oli suurempi niillä 40 potilailla, joilla annosta suurennettiin 800 mg:aan, verrattuna potilasjoukkoon ennen annoksen suurentamista (n=551). Yleisempiä haittavaikutuksia olivat ruuansulatuskanavan verenvuodot, sidekalvotulehdukset ja transaminaasi- ja bilirubiiniarvojen kohoaminen. Muita haittavaikutuksia raportoitiin joko vähemmän tai yhtä yleisesti.</w:t>
      </w:r>
    </w:p>
    <w:p w14:paraId="586FC1C8" w14:textId="77777777" w:rsidR="00AE3698" w:rsidRPr="00912A5D" w:rsidRDefault="00AE3698">
      <w:pPr>
        <w:pStyle w:val="EndnoteText"/>
        <w:widowControl w:val="0"/>
        <w:tabs>
          <w:tab w:val="clear" w:pos="567"/>
        </w:tabs>
        <w:rPr>
          <w:i/>
          <w:color w:val="000000"/>
          <w:szCs w:val="22"/>
          <w:lang w:val="fi-FI"/>
        </w:rPr>
      </w:pPr>
    </w:p>
    <w:p w14:paraId="586FC1C9" w14:textId="77777777" w:rsidR="00AE3698" w:rsidRPr="00912A5D" w:rsidRDefault="00AE3698">
      <w:pPr>
        <w:pStyle w:val="EndnoteText"/>
        <w:widowControl w:val="0"/>
        <w:tabs>
          <w:tab w:val="clear" w:pos="567"/>
        </w:tabs>
        <w:rPr>
          <w:color w:val="000000"/>
          <w:szCs w:val="22"/>
          <w:lang w:val="fi-FI"/>
        </w:rPr>
      </w:pPr>
      <w:r w:rsidRPr="00912A5D">
        <w:rPr>
          <w:i/>
          <w:color w:val="000000"/>
          <w:szCs w:val="22"/>
          <w:lang w:val="fi-FI"/>
        </w:rPr>
        <w:t xml:space="preserve">Krooninen vaihe, epäonnistunut interferonihoito: </w:t>
      </w:r>
      <w:r w:rsidRPr="00912A5D">
        <w:rPr>
          <w:color w:val="000000"/>
          <w:szCs w:val="22"/>
          <w:lang w:val="fi-FI"/>
        </w:rPr>
        <w:t xml:space="preserve">532 aikuispotilasta hoidettiin 400 mg aloitusannoksena. Potilaat jakautuivat kolmeen pääryhmään: hematologinen epäonnistuminen (29 %), sytogeneettinen epäonnistuminen (35 %) tai interferoni-intoleranssi (36 %). Potilaat olivat saaneet </w:t>
      </w:r>
      <w:r w:rsidRPr="00912A5D">
        <w:rPr>
          <w:color w:val="000000"/>
          <w:szCs w:val="22"/>
          <w:lang w:val="fi-FI"/>
        </w:rPr>
        <w:lastRenderedPageBreak/>
        <w:t xml:space="preserve">aiemmin interferonihoitoa, jonka mediaanikesto oli 14 kuukautta annoksilla </w:t>
      </w:r>
      <w:r w:rsidRPr="00912A5D">
        <w:rPr>
          <w:color w:val="000000"/>
          <w:szCs w:val="22"/>
          <w:lang w:val="fi-FI"/>
        </w:rPr>
        <w:sym w:font="Symbol" w:char="F0B3"/>
      </w:r>
      <w:r w:rsidRPr="00912A5D">
        <w:rPr>
          <w:color w:val="000000"/>
          <w:szCs w:val="22"/>
          <w:lang w:val="fi-FI"/>
        </w:rPr>
        <w:t> 25 x 10</w:t>
      </w:r>
      <w:r w:rsidRPr="00912A5D">
        <w:rPr>
          <w:color w:val="000000"/>
          <w:szCs w:val="22"/>
          <w:vertAlign w:val="superscript"/>
          <w:lang w:val="fi-FI"/>
        </w:rPr>
        <w:t>6</w:t>
      </w:r>
      <w:r w:rsidRPr="00912A5D">
        <w:rPr>
          <w:color w:val="000000"/>
          <w:szCs w:val="22"/>
          <w:lang w:val="fi-FI"/>
        </w:rPr>
        <w:t xml:space="preserve"> IU/viikko; kaikkien sairaus oli myöhäisessä kroonisessa vaiheessa, ja taudin toteamisesta kulunut mediaaniaika oli 32 kuukautta. Tutkimuksen ensisijainen tehokkuusmuuttuja oli huomattavan sytogeneettisen vasteen osuus (täydellinen + osittainen vaste, 0–35 % Ph+-metafaaseja luuytimessä).</w:t>
      </w:r>
    </w:p>
    <w:p w14:paraId="586FC1CA" w14:textId="77777777" w:rsidR="00AE3698" w:rsidRPr="00912A5D" w:rsidRDefault="00AE3698">
      <w:pPr>
        <w:pStyle w:val="EndnoteText"/>
        <w:widowControl w:val="0"/>
        <w:tabs>
          <w:tab w:val="clear" w:pos="567"/>
        </w:tabs>
        <w:rPr>
          <w:color w:val="000000"/>
          <w:szCs w:val="22"/>
          <w:lang w:val="fi-FI"/>
        </w:rPr>
      </w:pPr>
    </w:p>
    <w:p w14:paraId="586FC1CB"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Tässä tutkimuksessa 65 % potilaista saavutti huomattavan sytogeneettisen vasteen, joka oli täydellinen 53 %:lla (varmistettu 43 %:lla) potilaista (Taulukko </w:t>
      </w:r>
      <w:r w:rsidR="00170AC1">
        <w:rPr>
          <w:color w:val="000000"/>
          <w:szCs w:val="22"/>
          <w:lang w:val="fi-FI"/>
        </w:rPr>
        <w:t>3</w:t>
      </w:r>
      <w:r w:rsidRPr="00912A5D">
        <w:rPr>
          <w:color w:val="000000"/>
          <w:szCs w:val="22"/>
          <w:lang w:val="fi-FI"/>
        </w:rPr>
        <w:t>). Täydellinen hematologinen vaste saavutettiin 95 %:lla potilaista.</w:t>
      </w:r>
    </w:p>
    <w:p w14:paraId="586FC1CC" w14:textId="77777777" w:rsidR="00AE3698" w:rsidRPr="00912A5D" w:rsidRDefault="00AE3698">
      <w:pPr>
        <w:pStyle w:val="EndnoteText"/>
        <w:widowControl w:val="0"/>
        <w:tabs>
          <w:tab w:val="clear" w:pos="567"/>
        </w:tabs>
        <w:rPr>
          <w:color w:val="000000"/>
          <w:szCs w:val="22"/>
          <w:lang w:val="fi-FI"/>
        </w:rPr>
      </w:pPr>
    </w:p>
    <w:p w14:paraId="586FC1CD" w14:textId="77777777" w:rsidR="00AE3698" w:rsidRPr="00912A5D" w:rsidRDefault="00AE3698">
      <w:pPr>
        <w:pStyle w:val="EndnoteText"/>
        <w:widowControl w:val="0"/>
        <w:tabs>
          <w:tab w:val="clear" w:pos="567"/>
        </w:tabs>
        <w:rPr>
          <w:color w:val="000000"/>
          <w:szCs w:val="22"/>
          <w:lang w:val="fi-FI"/>
        </w:rPr>
      </w:pPr>
      <w:r w:rsidRPr="00912A5D">
        <w:rPr>
          <w:i/>
          <w:color w:val="000000"/>
          <w:szCs w:val="22"/>
          <w:lang w:val="fi-FI"/>
        </w:rPr>
        <w:t>Akseleraatiovaihe</w:t>
      </w:r>
      <w:r w:rsidRPr="00912A5D">
        <w:rPr>
          <w:color w:val="000000"/>
          <w:szCs w:val="22"/>
          <w:lang w:val="fi-FI"/>
        </w:rPr>
        <w:t>: Tutkimukseen otettiin 235 akseleraatiovaiheen aikuispotilasta. Ensimmäisten 77</w:t>
      </w:r>
      <w:r w:rsidR="00EE0D38">
        <w:rPr>
          <w:color w:val="000000"/>
          <w:szCs w:val="22"/>
          <w:lang w:val="fi-FI"/>
        </w:rPr>
        <w:t> </w:t>
      </w:r>
      <w:r w:rsidRPr="00912A5D">
        <w:rPr>
          <w:color w:val="000000"/>
          <w:szCs w:val="22"/>
          <w:lang w:val="fi-FI"/>
        </w:rPr>
        <w:t>potilaan aloitusannos oli 400 mg; sittemmin tutkimussuunnitelmaa muutettiin suuremman annoksen sallivaksi, ja loppujen 158:n potilaan aloitusannos oli 600 mg.</w:t>
      </w:r>
    </w:p>
    <w:p w14:paraId="586FC1CE" w14:textId="77777777" w:rsidR="00AE3698" w:rsidRPr="00912A5D" w:rsidRDefault="00AE3698">
      <w:pPr>
        <w:pStyle w:val="EndnoteText"/>
        <w:widowControl w:val="0"/>
        <w:tabs>
          <w:tab w:val="clear" w:pos="567"/>
        </w:tabs>
        <w:rPr>
          <w:color w:val="000000"/>
          <w:szCs w:val="22"/>
          <w:lang w:val="fi-FI"/>
        </w:rPr>
      </w:pPr>
    </w:p>
    <w:p w14:paraId="586FC1CF"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Ensisijainen tehokkuusmuuttuja oli hematologisen vasteen osuus. Hematologinen vaste ilmoitettiin joko täydellisenä hematologisena vasteena, leukemian olemassaoloa koskevan näytön puuttumisena (esim. blastien poistuminen luuytimestä ja verestä siten, ettei täyttä ääreisveren toipumista kuitenkaan saavutettu kuten täydellisessä vasteessa) tai paluuna kroonisen myelooisen leukemian krooniseen vaiheeseen. Varmistettu hematologinen vaste saavutettiin 71,5 %:lla potilaista (Taulukko </w:t>
      </w:r>
      <w:r w:rsidR="00170AC1">
        <w:rPr>
          <w:color w:val="000000"/>
          <w:szCs w:val="22"/>
          <w:lang w:val="fi-FI"/>
        </w:rPr>
        <w:t>3</w:t>
      </w:r>
      <w:r w:rsidRPr="00912A5D">
        <w:rPr>
          <w:color w:val="000000"/>
          <w:szCs w:val="22"/>
          <w:lang w:val="fi-FI"/>
        </w:rPr>
        <w:t>). Tärkeää on se, että 27,7 % potilaista saavutti myös huomattavan sytogeneettisen vasteen, joka oli täydellinen 20,4 %:lla (varmistettu 16 %:lla) potilaista. 600 mg:n annosta saaneiden potilaiden osalta arvioidut tämän hetkiset mediaani elossaoloajat olivat seuraavat: elossa ilman taudin etenemistä 22,9 % ja kaikkiaan 42,5 %.</w:t>
      </w:r>
    </w:p>
    <w:p w14:paraId="586FC1D0" w14:textId="77777777" w:rsidR="00AE3698" w:rsidRPr="00912A5D" w:rsidRDefault="00AE3698">
      <w:pPr>
        <w:pStyle w:val="EndnoteText"/>
        <w:widowControl w:val="0"/>
        <w:tabs>
          <w:tab w:val="clear" w:pos="567"/>
        </w:tabs>
        <w:rPr>
          <w:color w:val="000000"/>
          <w:szCs w:val="22"/>
          <w:lang w:val="fi-FI"/>
        </w:rPr>
      </w:pPr>
    </w:p>
    <w:p w14:paraId="586FC1D1" w14:textId="77777777" w:rsidR="00AE3698" w:rsidRPr="00912A5D" w:rsidRDefault="00AE3698">
      <w:pPr>
        <w:pStyle w:val="EndnoteText"/>
        <w:widowControl w:val="0"/>
        <w:tabs>
          <w:tab w:val="clear" w:pos="567"/>
        </w:tabs>
        <w:rPr>
          <w:color w:val="000000"/>
          <w:szCs w:val="22"/>
          <w:lang w:val="fi-FI"/>
        </w:rPr>
      </w:pPr>
      <w:r w:rsidRPr="00912A5D">
        <w:rPr>
          <w:i/>
          <w:color w:val="000000"/>
          <w:szCs w:val="22"/>
          <w:lang w:val="fi-FI"/>
        </w:rPr>
        <w:t>Myelooinen blastikriisi:</w:t>
      </w:r>
      <w:r w:rsidRPr="00912A5D">
        <w:rPr>
          <w:color w:val="000000"/>
          <w:szCs w:val="22"/>
          <w:lang w:val="fi-FI"/>
        </w:rPr>
        <w:t xml:space="preserve"> Tutkimukseen otettiin 260 myelooista blastikriisiä sairastavaa potilasta. Heistä 95 (37 %) oli saanut aiemmin kemoterapiaa joko akseleraatiovaiheen tai blastikriisin hoitona (”aiemmin hoidetut potilaat”), kun taas 165 (63 %) ei ollut saanut aiempaa hoitoa (”hoitamattomat potilaat”). Ensimmäisten 37 potilaan aloitusannos oli 400 mg; sittemmin tutkimussuunnitelmaa muutettiin suuremman annoksen sallivaksi, ja loppujen 223</w:t>
      </w:r>
      <w:r w:rsidR="00EE0D38">
        <w:rPr>
          <w:color w:val="000000"/>
          <w:szCs w:val="22"/>
          <w:lang w:val="fi-FI"/>
        </w:rPr>
        <w:t> </w:t>
      </w:r>
      <w:r w:rsidRPr="00912A5D">
        <w:rPr>
          <w:color w:val="000000"/>
          <w:szCs w:val="22"/>
          <w:lang w:val="fi-FI"/>
        </w:rPr>
        <w:t>potilaan aloitusannos oli 600 mg.</w:t>
      </w:r>
    </w:p>
    <w:p w14:paraId="586FC1D2" w14:textId="77777777" w:rsidR="00AE3698" w:rsidRPr="00912A5D" w:rsidRDefault="00AE3698">
      <w:pPr>
        <w:pStyle w:val="EndnoteText"/>
        <w:widowControl w:val="0"/>
        <w:tabs>
          <w:tab w:val="clear" w:pos="567"/>
        </w:tabs>
        <w:rPr>
          <w:color w:val="000000"/>
          <w:szCs w:val="22"/>
          <w:lang w:val="fi-FI"/>
        </w:rPr>
      </w:pPr>
    </w:p>
    <w:p w14:paraId="586FC1D3"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Ensisijainen tehokkuusmuuttuja oli hematologisen vasteen osuus. Hematologinen vaste ilmoitettiin joko täydellisenä hematologisena vasteena, leukemian olemassaoloa koskevan näytön puuttumisena tai paluuna kroonisen myelooisen leukemian krooniseen vaiheeseen käyttäen samoja kriteerejä kuin akseleraatiovaihetta koskevissa tutkimuksissa. Tässä tutkimuksessa hematologisen vasteen saavutti 31 % potilaista (36 % aiemmin hoitamattomista potilaista ja 22 % aiemmin hoidetuista potilaista). Lisäksi vaste oli yleisempi 600 mg:n annosta saaneilla potilailla (33 %) kuin 400 mg:n annosta saaneilla potilailla (16 %, p=0,0220). Senhetkinen arvio potilaiden mediaanielossaolosta oli aiemmin hoitamattomien potilaiden osalta 7,7 kuukautta ja hoidettujen potilaiden osalta 4,7 kuukautta.</w:t>
      </w:r>
    </w:p>
    <w:p w14:paraId="586FC1D4" w14:textId="77777777" w:rsidR="00AE3698" w:rsidRPr="00912A5D" w:rsidRDefault="00AE3698">
      <w:pPr>
        <w:pStyle w:val="EndnoteText"/>
        <w:widowControl w:val="0"/>
        <w:tabs>
          <w:tab w:val="clear" w:pos="567"/>
        </w:tabs>
        <w:rPr>
          <w:color w:val="000000"/>
          <w:szCs w:val="22"/>
          <w:lang w:val="fi-FI"/>
        </w:rPr>
      </w:pPr>
    </w:p>
    <w:p w14:paraId="586FC1D5" w14:textId="77777777" w:rsidR="00AE3698" w:rsidRPr="00912A5D" w:rsidRDefault="00AE3698">
      <w:pPr>
        <w:pStyle w:val="EndnoteText"/>
        <w:widowControl w:val="0"/>
        <w:tabs>
          <w:tab w:val="clear" w:pos="567"/>
        </w:tabs>
        <w:rPr>
          <w:color w:val="000000"/>
          <w:szCs w:val="22"/>
          <w:lang w:val="fi-FI"/>
        </w:rPr>
      </w:pPr>
      <w:r w:rsidRPr="00912A5D">
        <w:rPr>
          <w:i/>
          <w:color w:val="000000"/>
          <w:szCs w:val="22"/>
          <w:lang w:val="fi-FI"/>
        </w:rPr>
        <w:t>Lymfaattinen blastikriisi</w:t>
      </w:r>
      <w:r w:rsidRPr="00912A5D">
        <w:rPr>
          <w:color w:val="000000"/>
          <w:szCs w:val="22"/>
          <w:lang w:val="fi-FI"/>
        </w:rPr>
        <w:t>: I vaiheen tutkimuksiin otettiin rajoitettu määrä potilaita (n=10). Hematologisen vasteen osuus oli 70 % ja kesto 2–3 kuukautta.</w:t>
      </w:r>
    </w:p>
    <w:p w14:paraId="586FC1D6" w14:textId="77777777" w:rsidR="00AE3698" w:rsidRPr="00912A5D" w:rsidRDefault="00AE3698">
      <w:pPr>
        <w:pStyle w:val="EndnoteText"/>
        <w:widowControl w:val="0"/>
        <w:tabs>
          <w:tab w:val="clear" w:pos="567"/>
        </w:tabs>
        <w:rPr>
          <w:color w:val="000000"/>
          <w:szCs w:val="22"/>
          <w:lang w:val="fi-FI"/>
        </w:rPr>
      </w:pPr>
    </w:p>
    <w:p w14:paraId="586FC1D7" w14:textId="77777777" w:rsidR="00AE3698" w:rsidRPr="00912A5D" w:rsidRDefault="00AE3698" w:rsidP="00F71263">
      <w:pPr>
        <w:pStyle w:val="EndnoteText"/>
        <w:keepNext/>
        <w:keepLines/>
        <w:widowControl w:val="0"/>
        <w:tabs>
          <w:tab w:val="clear" w:pos="567"/>
        </w:tabs>
        <w:ind w:left="1418" w:hanging="1418"/>
        <w:rPr>
          <w:color w:val="000000"/>
          <w:szCs w:val="22"/>
          <w:lang w:val="fi-FI"/>
        </w:rPr>
      </w:pPr>
      <w:r w:rsidRPr="00912A5D">
        <w:rPr>
          <w:b/>
          <w:color w:val="000000"/>
          <w:szCs w:val="22"/>
          <w:lang w:val="fi-FI"/>
        </w:rPr>
        <w:lastRenderedPageBreak/>
        <w:t>Taulukko </w:t>
      </w:r>
      <w:r w:rsidR="00170AC1">
        <w:rPr>
          <w:b/>
          <w:color w:val="000000"/>
          <w:szCs w:val="22"/>
          <w:lang w:val="fi-FI"/>
        </w:rPr>
        <w:t>3</w:t>
      </w:r>
      <w:r w:rsidRPr="00912A5D">
        <w:rPr>
          <w:b/>
          <w:color w:val="000000"/>
          <w:szCs w:val="22"/>
          <w:lang w:val="fi-FI"/>
        </w:rPr>
        <w:tab/>
        <w:t>Vasteet kliinisissä tutkimuksissa koskien kroonista myelooista leukemiaa aikuisilla</w:t>
      </w:r>
    </w:p>
    <w:p w14:paraId="586FC1D8" w14:textId="77777777" w:rsidR="00AE3698" w:rsidRPr="00912A5D" w:rsidRDefault="00AE3698" w:rsidP="00F71263">
      <w:pPr>
        <w:pStyle w:val="EndnoteText"/>
        <w:keepNext/>
        <w:widowControl w:val="0"/>
        <w:tabs>
          <w:tab w:val="clear" w:pos="567"/>
        </w:tabs>
        <w:rPr>
          <w:color w:val="000000"/>
          <w:szCs w:val="22"/>
          <w:lang w:val="fi-FI"/>
        </w:rPr>
      </w:pP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1985"/>
        <w:gridCol w:w="1985"/>
        <w:gridCol w:w="1842"/>
      </w:tblGrid>
      <w:tr w:rsidR="00AE3698" w:rsidRPr="00912A5D" w14:paraId="586FC1E5" w14:textId="77777777" w:rsidTr="00F71263">
        <w:trPr>
          <w:cantSplit/>
        </w:trPr>
        <w:tc>
          <w:tcPr>
            <w:tcW w:w="3510" w:type="dxa"/>
            <w:tcBorders>
              <w:bottom w:val="nil"/>
            </w:tcBorders>
          </w:tcPr>
          <w:p w14:paraId="586FC1D9" w14:textId="77777777" w:rsidR="00AE3698" w:rsidRPr="00912A5D" w:rsidRDefault="00AE3698" w:rsidP="00F71263">
            <w:pPr>
              <w:pStyle w:val="EndnoteText"/>
              <w:keepNext/>
              <w:widowControl w:val="0"/>
              <w:tabs>
                <w:tab w:val="clear" w:pos="567"/>
              </w:tabs>
              <w:rPr>
                <w:color w:val="000000"/>
                <w:szCs w:val="22"/>
                <w:lang w:val="fi-FI"/>
              </w:rPr>
            </w:pPr>
          </w:p>
        </w:tc>
        <w:tc>
          <w:tcPr>
            <w:tcW w:w="1985" w:type="dxa"/>
            <w:tcBorders>
              <w:bottom w:val="nil"/>
            </w:tcBorders>
          </w:tcPr>
          <w:p w14:paraId="586FC1DA"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Tutkimus 0110</w:t>
            </w:r>
            <w:r w:rsidRPr="00912A5D">
              <w:rPr>
                <w:color w:val="000000"/>
                <w:szCs w:val="22"/>
                <w:lang w:val="fi-FI"/>
              </w:rPr>
              <w:br/>
              <w:t>37 kuukauden tiedot</w:t>
            </w:r>
          </w:p>
          <w:p w14:paraId="586FC1DB"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Krooninen vaihe, epäonnistunut interferonihoito</w:t>
            </w:r>
          </w:p>
          <w:p w14:paraId="586FC1DC"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(n=532)</w:t>
            </w:r>
          </w:p>
        </w:tc>
        <w:tc>
          <w:tcPr>
            <w:tcW w:w="1985" w:type="dxa"/>
            <w:tcBorders>
              <w:bottom w:val="nil"/>
            </w:tcBorders>
          </w:tcPr>
          <w:p w14:paraId="586FC1DD"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Tutkimus 0109</w:t>
            </w:r>
          </w:p>
          <w:p w14:paraId="586FC1DE"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40,5 kuukauden tiedot</w:t>
            </w:r>
          </w:p>
          <w:p w14:paraId="586FC1DF"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Akseleraatiovaihe</w:t>
            </w:r>
          </w:p>
          <w:p w14:paraId="586FC1E0"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(n=235)</w:t>
            </w:r>
          </w:p>
        </w:tc>
        <w:tc>
          <w:tcPr>
            <w:tcW w:w="1842" w:type="dxa"/>
            <w:tcBorders>
              <w:bottom w:val="nil"/>
            </w:tcBorders>
          </w:tcPr>
          <w:p w14:paraId="586FC1E1"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Tutkimus 0102</w:t>
            </w:r>
          </w:p>
          <w:p w14:paraId="586FC1E2"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38 kuukauden tiedot</w:t>
            </w:r>
          </w:p>
          <w:p w14:paraId="586FC1E3"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Myelooinen blastikriisi</w:t>
            </w:r>
          </w:p>
          <w:p w14:paraId="586FC1E4"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(n=260)</w:t>
            </w:r>
          </w:p>
        </w:tc>
      </w:tr>
      <w:tr w:rsidR="00AE3698" w:rsidRPr="00912A5D" w14:paraId="586FC1E8" w14:textId="77777777" w:rsidTr="00F71263">
        <w:trPr>
          <w:cantSplit/>
        </w:trPr>
        <w:tc>
          <w:tcPr>
            <w:tcW w:w="3510" w:type="dxa"/>
            <w:tcBorders>
              <w:bottom w:val="nil"/>
            </w:tcBorders>
          </w:tcPr>
          <w:p w14:paraId="586FC1E6" w14:textId="77777777" w:rsidR="00AE3698" w:rsidRPr="00912A5D" w:rsidRDefault="00AE3698" w:rsidP="00F71263">
            <w:pPr>
              <w:pStyle w:val="EndnoteText"/>
              <w:keepNext/>
              <w:widowControl w:val="0"/>
              <w:tabs>
                <w:tab w:val="clear" w:pos="567"/>
              </w:tabs>
              <w:jc w:val="center"/>
              <w:rPr>
                <w:color w:val="000000"/>
                <w:szCs w:val="22"/>
                <w:lang w:val="fi-FI"/>
              </w:rPr>
            </w:pPr>
          </w:p>
        </w:tc>
        <w:tc>
          <w:tcPr>
            <w:tcW w:w="5812" w:type="dxa"/>
            <w:gridSpan w:val="3"/>
            <w:tcBorders>
              <w:bottom w:val="nil"/>
            </w:tcBorders>
          </w:tcPr>
          <w:p w14:paraId="586FC1E7"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 potilaista (95 %:n luottamusväli)</w:t>
            </w:r>
          </w:p>
        </w:tc>
      </w:tr>
      <w:tr w:rsidR="00AE3698" w:rsidRPr="00912A5D" w14:paraId="586FC1ED" w14:textId="77777777" w:rsidTr="00F71263">
        <w:trPr>
          <w:cantSplit/>
        </w:trPr>
        <w:tc>
          <w:tcPr>
            <w:tcW w:w="3510" w:type="dxa"/>
            <w:tcBorders>
              <w:bottom w:val="nil"/>
            </w:tcBorders>
          </w:tcPr>
          <w:p w14:paraId="586FC1E9"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Hematologinen vaste</w:t>
            </w:r>
            <w:r w:rsidRPr="00912A5D">
              <w:rPr>
                <w:color w:val="000000"/>
                <w:position w:val="8"/>
                <w:szCs w:val="22"/>
                <w:vertAlign w:val="superscript"/>
                <w:lang w:val="fi-FI"/>
              </w:rPr>
              <w:t>1</w:t>
            </w:r>
          </w:p>
        </w:tc>
        <w:tc>
          <w:tcPr>
            <w:tcW w:w="1985" w:type="dxa"/>
            <w:tcBorders>
              <w:bottom w:val="nil"/>
            </w:tcBorders>
          </w:tcPr>
          <w:p w14:paraId="586FC1EA"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95 % (92,3–96,3)</w:t>
            </w:r>
          </w:p>
        </w:tc>
        <w:tc>
          <w:tcPr>
            <w:tcW w:w="1985" w:type="dxa"/>
            <w:tcBorders>
              <w:bottom w:val="nil"/>
            </w:tcBorders>
          </w:tcPr>
          <w:p w14:paraId="586FC1EB"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71 % (65,3–77,2)</w:t>
            </w:r>
          </w:p>
        </w:tc>
        <w:tc>
          <w:tcPr>
            <w:tcW w:w="1842" w:type="dxa"/>
            <w:tcBorders>
              <w:bottom w:val="nil"/>
            </w:tcBorders>
          </w:tcPr>
          <w:p w14:paraId="586FC1EC"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31 % (25,2–36,8)</w:t>
            </w:r>
          </w:p>
        </w:tc>
      </w:tr>
      <w:tr w:rsidR="00AE3698" w:rsidRPr="00912A5D" w14:paraId="586FC1F2" w14:textId="77777777" w:rsidTr="00F71263">
        <w:trPr>
          <w:cantSplit/>
        </w:trPr>
        <w:tc>
          <w:tcPr>
            <w:tcW w:w="3510" w:type="dxa"/>
            <w:tcBorders>
              <w:top w:val="nil"/>
              <w:bottom w:val="nil"/>
            </w:tcBorders>
          </w:tcPr>
          <w:p w14:paraId="586FC1EE" w14:textId="77777777" w:rsidR="00AE3698" w:rsidRPr="00912A5D" w:rsidRDefault="00AE3698" w:rsidP="00F71263">
            <w:pPr>
              <w:pStyle w:val="EndnoteText"/>
              <w:keepNext/>
              <w:widowControl w:val="0"/>
              <w:tabs>
                <w:tab w:val="clear" w:pos="567"/>
              </w:tabs>
              <w:ind w:left="284"/>
              <w:rPr>
                <w:color w:val="000000"/>
                <w:szCs w:val="22"/>
                <w:lang w:val="fi-FI"/>
              </w:rPr>
            </w:pPr>
            <w:r w:rsidRPr="00912A5D">
              <w:rPr>
                <w:color w:val="000000"/>
                <w:szCs w:val="22"/>
                <w:lang w:val="fi-FI"/>
              </w:rPr>
              <w:t>Täydellinen hematologinen vaste (</w:t>
            </w:r>
            <w:smartTag w:uri="urn:schemas-microsoft-com:office:smarttags" w:element="State">
              <w:r w:rsidRPr="00912A5D">
                <w:rPr>
                  <w:color w:val="000000"/>
                  <w:szCs w:val="22"/>
                  <w:lang w:val="fi-FI"/>
                </w:rPr>
                <w:t>CHR</w:t>
              </w:r>
            </w:smartTag>
            <w:r w:rsidRPr="00912A5D">
              <w:rPr>
                <w:color w:val="000000"/>
                <w:szCs w:val="22"/>
                <w:lang w:val="fi-FI"/>
              </w:rPr>
              <w:t>)</w:t>
            </w:r>
          </w:p>
        </w:tc>
        <w:tc>
          <w:tcPr>
            <w:tcW w:w="1985" w:type="dxa"/>
            <w:tcBorders>
              <w:top w:val="nil"/>
              <w:bottom w:val="nil"/>
            </w:tcBorders>
          </w:tcPr>
          <w:p w14:paraId="586FC1EF"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95 %</w:t>
            </w:r>
          </w:p>
        </w:tc>
        <w:tc>
          <w:tcPr>
            <w:tcW w:w="1985" w:type="dxa"/>
            <w:tcBorders>
              <w:top w:val="nil"/>
              <w:bottom w:val="nil"/>
            </w:tcBorders>
          </w:tcPr>
          <w:p w14:paraId="586FC1F0"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42 %</w:t>
            </w:r>
          </w:p>
        </w:tc>
        <w:tc>
          <w:tcPr>
            <w:tcW w:w="1842" w:type="dxa"/>
            <w:tcBorders>
              <w:top w:val="nil"/>
              <w:bottom w:val="nil"/>
            </w:tcBorders>
          </w:tcPr>
          <w:p w14:paraId="586FC1F1"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8 %</w:t>
            </w:r>
          </w:p>
        </w:tc>
      </w:tr>
      <w:tr w:rsidR="00AE3698" w:rsidRPr="00912A5D" w14:paraId="586FC1F7" w14:textId="77777777" w:rsidTr="00F71263">
        <w:trPr>
          <w:cantSplit/>
        </w:trPr>
        <w:tc>
          <w:tcPr>
            <w:tcW w:w="3510" w:type="dxa"/>
            <w:tcBorders>
              <w:top w:val="nil"/>
              <w:bottom w:val="nil"/>
            </w:tcBorders>
          </w:tcPr>
          <w:p w14:paraId="586FC1F3" w14:textId="77777777" w:rsidR="00AE3698" w:rsidRPr="00912A5D" w:rsidRDefault="00AE3698" w:rsidP="00F71263">
            <w:pPr>
              <w:pStyle w:val="EndnoteText"/>
              <w:keepNext/>
              <w:widowControl w:val="0"/>
              <w:tabs>
                <w:tab w:val="clear" w:pos="567"/>
              </w:tabs>
              <w:ind w:left="284"/>
              <w:rPr>
                <w:color w:val="000000"/>
                <w:szCs w:val="22"/>
                <w:lang w:val="fi-FI"/>
              </w:rPr>
            </w:pPr>
            <w:r w:rsidRPr="00912A5D">
              <w:rPr>
                <w:color w:val="000000"/>
                <w:szCs w:val="22"/>
                <w:lang w:val="fi-FI"/>
              </w:rPr>
              <w:t>Ei näyttöä leukemiasta (NEL)</w:t>
            </w:r>
          </w:p>
        </w:tc>
        <w:tc>
          <w:tcPr>
            <w:tcW w:w="1985" w:type="dxa"/>
            <w:tcBorders>
              <w:top w:val="nil"/>
              <w:bottom w:val="nil"/>
            </w:tcBorders>
          </w:tcPr>
          <w:p w14:paraId="586FC1F4"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Ei sovellettavissa</w:t>
            </w:r>
          </w:p>
        </w:tc>
        <w:tc>
          <w:tcPr>
            <w:tcW w:w="1985" w:type="dxa"/>
            <w:tcBorders>
              <w:top w:val="nil"/>
              <w:bottom w:val="nil"/>
            </w:tcBorders>
          </w:tcPr>
          <w:p w14:paraId="586FC1F5"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12 %</w:t>
            </w:r>
          </w:p>
        </w:tc>
        <w:tc>
          <w:tcPr>
            <w:tcW w:w="1842" w:type="dxa"/>
            <w:tcBorders>
              <w:top w:val="nil"/>
              <w:bottom w:val="nil"/>
            </w:tcBorders>
          </w:tcPr>
          <w:p w14:paraId="586FC1F6"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5 %</w:t>
            </w:r>
          </w:p>
        </w:tc>
      </w:tr>
      <w:tr w:rsidR="00AE3698" w:rsidRPr="00912A5D" w14:paraId="586FC1FC" w14:textId="77777777" w:rsidTr="00F71263">
        <w:trPr>
          <w:cantSplit/>
        </w:trPr>
        <w:tc>
          <w:tcPr>
            <w:tcW w:w="3510" w:type="dxa"/>
            <w:tcBorders>
              <w:top w:val="nil"/>
              <w:bottom w:val="nil"/>
            </w:tcBorders>
          </w:tcPr>
          <w:p w14:paraId="586FC1F8" w14:textId="77777777" w:rsidR="00AE3698" w:rsidRPr="00912A5D" w:rsidRDefault="00AE3698" w:rsidP="00F71263">
            <w:pPr>
              <w:pStyle w:val="EndnoteText"/>
              <w:keepNext/>
              <w:widowControl w:val="0"/>
              <w:tabs>
                <w:tab w:val="clear" w:pos="567"/>
              </w:tabs>
              <w:ind w:left="284"/>
              <w:rPr>
                <w:color w:val="000000"/>
                <w:szCs w:val="22"/>
                <w:lang w:val="fi-FI"/>
              </w:rPr>
            </w:pPr>
            <w:r w:rsidRPr="00912A5D">
              <w:rPr>
                <w:color w:val="000000"/>
                <w:szCs w:val="22"/>
                <w:lang w:val="fi-FI"/>
              </w:rPr>
              <w:t>Paluu krooniseen vaiheeseen (</w:t>
            </w:r>
            <w:smartTag w:uri="urn:schemas-microsoft-com:office:smarttags" w:element="State">
              <w:r w:rsidRPr="00912A5D">
                <w:rPr>
                  <w:color w:val="000000"/>
                  <w:szCs w:val="22"/>
                  <w:lang w:val="fi-FI"/>
                </w:rPr>
                <w:t>RTC</w:t>
              </w:r>
            </w:smartTag>
            <w:r w:rsidRPr="00912A5D">
              <w:rPr>
                <w:color w:val="000000"/>
                <w:szCs w:val="22"/>
                <w:lang w:val="fi-FI"/>
              </w:rPr>
              <w:t>)</w:t>
            </w:r>
          </w:p>
        </w:tc>
        <w:tc>
          <w:tcPr>
            <w:tcW w:w="1985" w:type="dxa"/>
            <w:tcBorders>
              <w:top w:val="nil"/>
              <w:bottom w:val="nil"/>
            </w:tcBorders>
          </w:tcPr>
          <w:p w14:paraId="586FC1F9"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Ei sovellettavissa</w:t>
            </w:r>
          </w:p>
        </w:tc>
        <w:tc>
          <w:tcPr>
            <w:tcW w:w="1985" w:type="dxa"/>
            <w:tcBorders>
              <w:top w:val="nil"/>
              <w:bottom w:val="nil"/>
            </w:tcBorders>
          </w:tcPr>
          <w:p w14:paraId="586FC1FA"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17 %</w:t>
            </w:r>
          </w:p>
        </w:tc>
        <w:tc>
          <w:tcPr>
            <w:tcW w:w="1842" w:type="dxa"/>
            <w:tcBorders>
              <w:top w:val="nil"/>
              <w:bottom w:val="nil"/>
            </w:tcBorders>
          </w:tcPr>
          <w:p w14:paraId="586FC1FB"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18 %</w:t>
            </w:r>
          </w:p>
        </w:tc>
      </w:tr>
      <w:tr w:rsidR="00AE3698" w:rsidRPr="00912A5D" w14:paraId="586FC201" w14:textId="77777777" w:rsidTr="00F71263">
        <w:trPr>
          <w:cantSplit/>
        </w:trPr>
        <w:tc>
          <w:tcPr>
            <w:tcW w:w="3510" w:type="dxa"/>
            <w:tcBorders>
              <w:bottom w:val="nil"/>
            </w:tcBorders>
          </w:tcPr>
          <w:p w14:paraId="586FC1FD"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Huomattava sytogeneettinen vaste</w:t>
            </w:r>
            <w:r w:rsidRPr="00912A5D">
              <w:rPr>
                <w:color w:val="000000"/>
                <w:position w:val="8"/>
                <w:szCs w:val="22"/>
                <w:vertAlign w:val="superscript"/>
                <w:lang w:val="fi-FI"/>
              </w:rPr>
              <w:t>2</w:t>
            </w:r>
          </w:p>
        </w:tc>
        <w:tc>
          <w:tcPr>
            <w:tcW w:w="1985" w:type="dxa"/>
            <w:tcBorders>
              <w:bottom w:val="nil"/>
            </w:tcBorders>
          </w:tcPr>
          <w:p w14:paraId="586FC1FE"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65 % (61,2–69,5)</w:t>
            </w:r>
          </w:p>
        </w:tc>
        <w:tc>
          <w:tcPr>
            <w:tcW w:w="1985" w:type="dxa"/>
            <w:tcBorders>
              <w:bottom w:val="nil"/>
            </w:tcBorders>
          </w:tcPr>
          <w:p w14:paraId="586FC1FF"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28 % (22,0–33,9)</w:t>
            </w:r>
          </w:p>
        </w:tc>
        <w:tc>
          <w:tcPr>
            <w:tcW w:w="1842" w:type="dxa"/>
            <w:tcBorders>
              <w:bottom w:val="nil"/>
            </w:tcBorders>
          </w:tcPr>
          <w:p w14:paraId="586FC200"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15 % (11,2–20,4)</w:t>
            </w:r>
          </w:p>
        </w:tc>
      </w:tr>
      <w:tr w:rsidR="00AE3698" w:rsidRPr="00912A5D" w14:paraId="586FC206" w14:textId="77777777" w:rsidTr="00F71263">
        <w:trPr>
          <w:cantSplit/>
        </w:trPr>
        <w:tc>
          <w:tcPr>
            <w:tcW w:w="3510" w:type="dxa"/>
            <w:tcBorders>
              <w:top w:val="nil"/>
              <w:bottom w:val="nil"/>
            </w:tcBorders>
          </w:tcPr>
          <w:p w14:paraId="586FC202" w14:textId="77777777" w:rsidR="00AE3698" w:rsidRPr="00912A5D" w:rsidRDefault="00AE3698" w:rsidP="00F71263">
            <w:pPr>
              <w:pStyle w:val="EndnoteText"/>
              <w:keepNext/>
              <w:widowControl w:val="0"/>
              <w:tabs>
                <w:tab w:val="clear" w:pos="567"/>
              </w:tabs>
              <w:ind w:left="284"/>
              <w:rPr>
                <w:color w:val="000000"/>
                <w:szCs w:val="22"/>
                <w:lang w:val="fi-FI"/>
              </w:rPr>
            </w:pPr>
            <w:r w:rsidRPr="00912A5D">
              <w:rPr>
                <w:color w:val="000000"/>
                <w:szCs w:val="22"/>
                <w:lang w:val="fi-FI"/>
              </w:rPr>
              <w:t>Täydellinen</w:t>
            </w:r>
          </w:p>
        </w:tc>
        <w:tc>
          <w:tcPr>
            <w:tcW w:w="1985" w:type="dxa"/>
            <w:tcBorders>
              <w:top w:val="nil"/>
              <w:bottom w:val="nil"/>
            </w:tcBorders>
          </w:tcPr>
          <w:p w14:paraId="586FC203"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53 %</w:t>
            </w:r>
          </w:p>
        </w:tc>
        <w:tc>
          <w:tcPr>
            <w:tcW w:w="1985" w:type="dxa"/>
            <w:tcBorders>
              <w:top w:val="nil"/>
              <w:bottom w:val="nil"/>
            </w:tcBorders>
          </w:tcPr>
          <w:p w14:paraId="586FC204"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20 %</w:t>
            </w:r>
          </w:p>
        </w:tc>
        <w:tc>
          <w:tcPr>
            <w:tcW w:w="1842" w:type="dxa"/>
            <w:tcBorders>
              <w:top w:val="nil"/>
              <w:bottom w:val="nil"/>
            </w:tcBorders>
          </w:tcPr>
          <w:p w14:paraId="586FC205"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7 %</w:t>
            </w:r>
          </w:p>
        </w:tc>
      </w:tr>
      <w:tr w:rsidR="00AE3698" w:rsidRPr="00912A5D" w14:paraId="586FC20B" w14:textId="77777777" w:rsidTr="00F71263">
        <w:trPr>
          <w:cantSplit/>
        </w:trPr>
        <w:tc>
          <w:tcPr>
            <w:tcW w:w="3510" w:type="dxa"/>
            <w:tcBorders>
              <w:top w:val="nil"/>
              <w:bottom w:val="nil"/>
            </w:tcBorders>
          </w:tcPr>
          <w:p w14:paraId="586FC207" w14:textId="77777777" w:rsidR="00AE3698" w:rsidRPr="00912A5D" w:rsidRDefault="00AE3698" w:rsidP="00F71263">
            <w:pPr>
              <w:pStyle w:val="EndnoteText"/>
              <w:keepNext/>
              <w:widowControl w:val="0"/>
              <w:tabs>
                <w:tab w:val="clear" w:pos="567"/>
              </w:tabs>
              <w:ind w:left="284"/>
              <w:rPr>
                <w:color w:val="000000"/>
                <w:szCs w:val="22"/>
                <w:lang w:val="fi-FI"/>
              </w:rPr>
            </w:pPr>
            <w:r w:rsidRPr="00912A5D">
              <w:rPr>
                <w:color w:val="000000"/>
                <w:szCs w:val="22"/>
                <w:lang w:val="fi-FI"/>
              </w:rPr>
              <w:t>(Varmistettu</w:t>
            </w:r>
            <w:r w:rsidRPr="00912A5D">
              <w:rPr>
                <w:color w:val="000000"/>
                <w:position w:val="8"/>
                <w:szCs w:val="22"/>
                <w:vertAlign w:val="superscript"/>
                <w:lang w:val="fi-FI"/>
              </w:rPr>
              <w:t>3</w:t>
            </w:r>
            <w:r w:rsidRPr="00912A5D">
              <w:rPr>
                <w:color w:val="000000"/>
                <w:szCs w:val="22"/>
                <w:lang w:val="fi-FI"/>
              </w:rPr>
              <w:t>) [95 %:n luottamusväli]</w:t>
            </w:r>
          </w:p>
        </w:tc>
        <w:tc>
          <w:tcPr>
            <w:tcW w:w="1985" w:type="dxa"/>
            <w:tcBorders>
              <w:top w:val="nil"/>
              <w:bottom w:val="nil"/>
            </w:tcBorders>
          </w:tcPr>
          <w:p w14:paraId="586FC208"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(43 %) [38,6–47,2]</w:t>
            </w:r>
          </w:p>
        </w:tc>
        <w:tc>
          <w:tcPr>
            <w:tcW w:w="1985" w:type="dxa"/>
            <w:tcBorders>
              <w:top w:val="nil"/>
              <w:bottom w:val="nil"/>
            </w:tcBorders>
          </w:tcPr>
          <w:p w14:paraId="586FC209"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(16 %) [11,3–21,0]</w:t>
            </w:r>
          </w:p>
        </w:tc>
        <w:tc>
          <w:tcPr>
            <w:tcW w:w="1842" w:type="dxa"/>
            <w:tcBorders>
              <w:top w:val="nil"/>
              <w:bottom w:val="nil"/>
            </w:tcBorders>
          </w:tcPr>
          <w:p w14:paraId="586FC20A"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(2 %) [0,6–4,4]</w:t>
            </w:r>
          </w:p>
        </w:tc>
      </w:tr>
      <w:tr w:rsidR="00AE3698" w:rsidRPr="00912A5D" w14:paraId="586FC210" w14:textId="77777777" w:rsidTr="00F71263">
        <w:trPr>
          <w:cantSplit/>
        </w:trPr>
        <w:tc>
          <w:tcPr>
            <w:tcW w:w="3510" w:type="dxa"/>
            <w:tcBorders>
              <w:top w:val="nil"/>
              <w:bottom w:val="single" w:sz="4" w:space="0" w:color="auto"/>
            </w:tcBorders>
          </w:tcPr>
          <w:p w14:paraId="586FC20C" w14:textId="77777777" w:rsidR="00AE3698" w:rsidRPr="00912A5D" w:rsidRDefault="00AE3698" w:rsidP="00F71263">
            <w:pPr>
              <w:pStyle w:val="EndnoteText"/>
              <w:keepNext/>
              <w:widowControl w:val="0"/>
              <w:tabs>
                <w:tab w:val="clear" w:pos="567"/>
              </w:tabs>
              <w:ind w:left="284"/>
              <w:rPr>
                <w:color w:val="000000"/>
                <w:szCs w:val="22"/>
                <w:lang w:val="fi-FI"/>
              </w:rPr>
            </w:pPr>
            <w:r w:rsidRPr="00912A5D">
              <w:rPr>
                <w:color w:val="000000"/>
                <w:szCs w:val="22"/>
                <w:lang w:val="fi-FI"/>
              </w:rPr>
              <w:t>Osittainen</w:t>
            </w:r>
          </w:p>
        </w:tc>
        <w:tc>
          <w:tcPr>
            <w:tcW w:w="1985" w:type="dxa"/>
            <w:tcBorders>
              <w:top w:val="nil"/>
              <w:bottom w:val="single" w:sz="4" w:space="0" w:color="auto"/>
            </w:tcBorders>
          </w:tcPr>
          <w:p w14:paraId="586FC20D"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12 %</w:t>
            </w:r>
          </w:p>
        </w:tc>
        <w:tc>
          <w:tcPr>
            <w:tcW w:w="1985" w:type="dxa"/>
            <w:tcBorders>
              <w:top w:val="nil"/>
              <w:bottom w:val="single" w:sz="4" w:space="0" w:color="auto"/>
            </w:tcBorders>
          </w:tcPr>
          <w:p w14:paraId="586FC20E"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7 %</w:t>
            </w:r>
          </w:p>
        </w:tc>
        <w:tc>
          <w:tcPr>
            <w:tcW w:w="1842" w:type="dxa"/>
            <w:tcBorders>
              <w:top w:val="nil"/>
              <w:bottom w:val="single" w:sz="4" w:space="0" w:color="auto"/>
            </w:tcBorders>
          </w:tcPr>
          <w:p w14:paraId="586FC20F"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8 %</w:t>
            </w:r>
          </w:p>
        </w:tc>
      </w:tr>
      <w:tr w:rsidR="00AE3698" w:rsidRPr="00912A5D" w14:paraId="586FC21B" w14:textId="77777777" w:rsidTr="00F71263">
        <w:trPr>
          <w:cantSplit/>
        </w:trPr>
        <w:tc>
          <w:tcPr>
            <w:tcW w:w="9322" w:type="dxa"/>
            <w:gridSpan w:val="4"/>
            <w:tcBorders>
              <w:top w:val="nil"/>
            </w:tcBorders>
          </w:tcPr>
          <w:p w14:paraId="586FC211" w14:textId="77777777" w:rsidR="00AE3698" w:rsidRPr="00912A5D" w:rsidRDefault="00AE3698">
            <w:pPr>
              <w:pStyle w:val="Table"/>
              <w:keepNext w:val="0"/>
              <w:keepLines w:val="0"/>
              <w:widowControl w:val="0"/>
              <w:tabs>
                <w:tab w:val="clear" w:pos="284"/>
              </w:tabs>
              <w:spacing w:before="0" w:after="0"/>
              <w:rPr>
                <w:rFonts w:ascii="Times New Roman" w:hAnsi="Times New Roman"/>
                <w:b/>
                <w:color w:val="000000"/>
                <w:sz w:val="22"/>
                <w:szCs w:val="22"/>
                <w:lang w:val="fi-FI"/>
              </w:rPr>
            </w:pPr>
            <w:r w:rsidRPr="00912A5D">
              <w:rPr>
                <w:rFonts w:ascii="Times New Roman" w:hAnsi="Times New Roman"/>
                <w:b/>
                <w:color w:val="000000"/>
                <w:position w:val="10"/>
                <w:sz w:val="22"/>
                <w:szCs w:val="22"/>
                <w:vertAlign w:val="superscript"/>
                <w:lang w:val="fi-FI"/>
              </w:rPr>
              <w:t>1</w:t>
            </w:r>
            <w:r w:rsidRPr="00912A5D">
              <w:rPr>
                <w:rFonts w:ascii="Times New Roman" w:hAnsi="Times New Roman"/>
                <w:b/>
                <w:color w:val="000000"/>
                <w:sz w:val="22"/>
                <w:szCs w:val="22"/>
                <w:lang w:val="fi-FI"/>
              </w:rPr>
              <w:t>Hematologisen vasteen kriteerit (kaikki vasteet varmistetaan ≥ 4 viikon jälkeen):</w:t>
            </w:r>
          </w:p>
          <w:p w14:paraId="586FC212" w14:textId="77777777" w:rsidR="00AE3698" w:rsidRPr="00912A5D" w:rsidRDefault="00AE3698">
            <w:pPr>
              <w:pStyle w:val="Table"/>
              <w:keepNext w:val="0"/>
              <w:keepLines w:val="0"/>
              <w:widowControl w:val="0"/>
              <w:tabs>
                <w:tab w:val="clear" w:pos="284"/>
              </w:tabs>
              <w:spacing w:before="0" w:after="0"/>
              <w:ind w:left="567" w:hanging="567"/>
              <w:rPr>
                <w:rFonts w:ascii="Times New Roman" w:hAnsi="Times New Roman"/>
                <w:color w:val="000000"/>
                <w:sz w:val="22"/>
                <w:szCs w:val="22"/>
                <w:lang w:val="fi-FI"/>
              </w:rPr>
            </w:pPr>
            <w:r w:rsidRPr="00912A5D">
              <w:rPr>
                <w:rFonts w:ascii="Times New Roman" w:hAnsi="Times New Roman"/>
                <w:color w:val="000000"/>
                <w:sz w:val="22"/>
                <w:szCs w:val="22"/>
                <w:lang w:val="fi-FI"/>
              </w:rPr>
              <w:t>Täydellinen hematologinen vaste (</w:t>
            </w:r>
            <w:smartTag w:uri="urn:schemas-microsoft-com:office:smarttags" w:element="State">
              <w:r w:rsidRPr="00912A5D">
                <w:rPr>
                  <w:rFonts w:ascii="Times New Roman" w:hAnsi="Times New Roman"/>
                  <w:color w:val="000000"/>
                  <w:sz w:val="22"/>
                  <w:szCs w:val="22"/>
                  <w:lang w:val="fi-FI"/>
                </w:rPr>
                <w:t>CHR</w:t>
              </w:r>
            </w:smartTag>
            <w:r w:rsidRPr="00912A5D">
              <w:rPr>
                <w:rFonts w:ascii="Times New Roman" w:hAnsi="Times New Roman"/>
                <w:color w:val="000000"/>
                <w:sz w:val="22"/>
                <w:szCs w:val="22"/>
                <w:lang w:val="fi-FI"/>
              </w:rPr>
              <w:t>):</w:t>
            </w:r>
          </w:p>
          <w:p w14:paraId="586FC213" w14:textId="77777777" w:rsidR="00AE3698" w:rsidRPr="00912A5D" w:rsidRDefault="00AE3698">
            <w:pPr>
              <w:pStyle w:val="Table"/>
              <w:keepNext w:val="0"/>
              <w:keepLines w:val="0"/>
              <w:widowControl w:val="0"/>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Tutkimus 0110 [valkosolumäärä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trombosyyttiarvo &lt; 450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myelosyyttejä + metamyelosyyttejä &lt; 5 % veressä, ei blasteja eikä promyelosyyttejä veressä, basofiileja &lt; 20 %, ei luuytimenulkoista sairautta] ja tutkimuksissa 0102 ja 0109 [ANC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100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ei blasteja veressä, luuydinblasteja &lt; 5 % eikä luuytimenulkoista sairautta]</w:t>
            </w:r>
          </w:p>
          <w:p w14:paraId="586FC214" w14:textId="77777777" w:rsidR="00AE3698" w:rsidRPr="00912A5D" w:rsidRDefault="00AE3698">
            <w:pPr>
              <w:pStyle w:val="Table"/>
              <w:keepNext w:val="0"/>
              <w:keepLines w:val="0"/>
              <w:widowControl w:val="0"/>
              <w:tabs>
                <w:tab w:val="clear" w:pos="284"/>
              </w:tabs>
              <w:spacing w:before="0" w:after="0"/>
              <w:ind w:left="284" w:hanging="284"/>
              <w:rPr>
                <w:rFonts w:ascii="Times New Roman" w:hAnsi="Times New Roman"/>
                <w:color w:val="000000"/>
                <w:sz w:val="22"/>
                <w:szCs w:val="22"/>
                <w:lang w:val="fi-FI"/>
              </w:rPr>
            </w:pPr>
            <w:r w:rsidRPr="00912A5D">
              <w:rPr>
                <w:rFonts w:ascii="Times New Roman" w:hAnsi="Times New Roman"/>
                <w:color w:val="000000"/>
                <w:sz w:val="22"/>
                <w:szCs w:val="22"/>
                <w:lang w:val="fi-FI"/>
              </w:rPr>
              <w:t>Ei näyttöä leukemiasta (NEL):</w:t>
            </w:r>
          </w:p>
          <w:p w14:paraId="586FC215" w14:textId="77777777" w:rsidR="00AE3698" w:rsidRPr="00912A5D" w:rsidRDefault="00AE3698">
            <w:pPr>
              <w:pStyle w:val="Table"/>
              <w:keepNext w:val="0"/>
              <w:keepLines w:val="0"/>
              <w:widowControl w:val="0"/>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Samat kriteerit kuin täydellisessä hematologisesssa vasteessa, mutta ANC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ja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20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(vain 0102 ja 0109)</w:t>
            </w:r>
          </w:p>
          <w:p w14:paraId="586FC216" w14:textId="77777777" w:rsidR="00AE3698" w:rsidRPr="00912A5D" w:rsidRDefault="00AE3698">
            <w:pPr>
              <w:pStyle w:val="Table"/>
              <w:keepNext w:val="0"/>
              <w:keepLines w:val="0"/>
              <w:widowControl w:val="0"/>
              <w:tabs>
                <w:tab w:val="clear" w:pos="284"/>
              </w:tabs>
              <w:spacing w:before="0" w:after="0"/>
              <w:ind w:left="567" w:hanging="567"/>
              <w:rPr>
                <w:rFonts w:ascii="Times New Roman" w:hAnsi="Times New Roman"/>
                <w:color w:val="000000"/>
                <w:sz w:val="22"/>
                <w:szCs w:val="22"/>
                <w:lang w:val="fi-FI"/>
              </w:rPr>
            </w:pPr>
            <w:r w:rsidRPr="00912A5D">
              <w:rPr>
                <w:rFonts w:ascii="Times New Roman" w:hAnsi="Times New Roman"/>
                <w:color w:val="000000"/>
                <w:sz w:val="22"/>
                <w:szCs w:val="22"/>
                <w:lang w:val="fi-FI"/>
              </w:rPr>
              <w:t>Paluu krooniseen vaiheeseen (</w:t>
            </w:r>
            <w:smartTag w:uri="urn:schemas-microsoft-com:office:smarttags" w:element="State">
              <w:r w:rsidRPr="00912A5D">
                <w:rPr>
                  <w:rFonts w:ascii="Times New Roman" w:hAnsi="Times New Roman"/>
                  <w:color w:val="000000"/>
                  <w:sz w:val="22"/>
                  <w:szCs w:val="22"/>
                  <w:lang w:val="fi-FI"/>
                </w:rPr>
                <w:t>RTC</w:t>
              </w:r>
            </w:smartTag>
            <w:r w:rsidRPr="00912A5D">
              <w:rPr>
                <w:rFonts w:ascii="Times New Roman" w:hAnsi="Times New Roman"/>
                <w:color w:val="000000"/>
                <w:sz w:val="22"/>
                <w:szCs w:val="22"/>
                <w:lang w:val="fi-FI"/>
              </w:rPr>
              <w:t>):</w:t>
            </w:r>
          </w:p>
          <w:p w14:paraId="586FC217" w14:textId="77777777" w:rsidR="00AE3698" w:rsidRPr="00912A5D" w:rsidRDefault="00AE3698">
            <w:pPr>
              <w:pStyle w:val="Table"/>
              <w:keepNext w:val="0"/>
              <w:keepLines w:val="0"/>
              <w:widowControl w:val="0"/>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luuydin- ja ääreisveriblasteja &lt; 15 %, luuytimessä ja ääreisveressä blasteja + promyelosyyttejä &lt; 30 %, ääreisveressä basofiilejä &lt; 20 %, ei luuytimenulkoista sairautta lukuun ottamatta pernaa ja maksaa (vain 0102 ja 0109).</w:t>
            </w:r>
          </w:p>
          <w:p w14:paraId="586FC218" w14:textId="77777777" w:rsidR="00AE3698" w:rsidRPr="00912A5D" w:rsidRDefault="00AE3698">
            <w:pPr>
              <w:pStyle w:val="Table"/>
              <w:keepNext w:val="0"/>
              <w:keepLines w:val="0"/>
              <w:widowControl w:val="0"/>
              <w:tabs>
                <w:tab w:val="clear" w:pos="284"/>
              </w:tabs>
              <w:spacing w:before="0" w:after="0"/>
              <w:rPr>
                <w:rFonts w:ascii="Times New Roman" w:hAnsi="Times New Roman"/>
                <w:color w:val="000000"/>
                <w:sz w:val="22"/>
                <w:szCs w:val="22"/>
                <w:lang w:val="fi-FI"/>
              </w:rPr>
            </w:pPr>
            <w:r w:rsidRPr="00912A5D">
              <w:rPr>
                <w:rFonts w:ascii="Times New Roman" w:hAnsi="Times New Roman"/>
                <w:b/>
                <w:color w:val="000000"/>
                <w:position w:val="10"/>
                <w:sz w:val="22"/>
                <w:szCs w:val="22"/>
                <w:vertAlign w:val="superscript"/>
                <w:lang w:val="fi-FI"/>
              </w:rPr>
              <w:t>2</w:t>
            </w:r>
            <w:r w:rsidRPr="00912A5D">
              <w:rPr>
                <w:rFonts w:ascii="Times New Roman" w:hAnsi="Times New Roman"/>
                <w:b/>
                <w:color w:val="000000"/>
                <w:sz w:val="22"/>
                <w:szCs w:val="22"/>
                <w:lang w:val="fi-FI"/>
              </w:rPr>
              <w:t>Sytogeneettisen vasteen kriteerit:</w:t>
            </w:r>
          </w:p>
          <w:p w14:paraId="586FC219"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Huomattavassa vasteessa yhdistyvät sekä täydellinen että osittainen vaste: Täydellinen (0 % Ph+-metafaaseja), osittainen (1–35 %).</w:t>
            </w:r>
          </w:p>
          <w:p w14:paraId="586FC21A" w14:textId="77777777" w:rsidR="00AE3698" w:rsidRPr="00912A5D" w:rsidRDefault="00AE3698">
            <w:pPr>
              <w:pStyle w:val="EndnoteText"/>
              <w:widowControl w:val="0"/>
              <w:tabs>
                <w:tab w:val="clear" w:pos="567"/>
              </w:tabs>
              <w:rPr>
                <w:color w:val="000000"/>
                <w:szCs w:val="22"/>
                <w:lang w:val="fi-FI"/>
              </w:rPr>
            </w:pPr>
            <w:r w:rsidRPr="00912A5D">
              <w:rPr>
                <w:color w:val="000000"/>
                <w:position w:val="10"/>
                <w:szCs w:val="22"/>
                <w:vertAlign w:val="superscript"/>
                <w:lang w:val="fi-FI"/>
              </w:rPr>
              <w:t>3</w:t>
            </w:r>
            <w:r w:rsidRPr="00912A5D">
              <w:rPr>
                <w:color w:val="000000"/>
                <w:szCs w:val="22"/>
                <w:lang w:val="fi-FI"/>
              </w:rPr>
              <w:t>Täydellinen sytogeneettinen vaste, joka varmistettiin toisella luuytimen sytogeneettisellä tutkimuksella aikaisintaan kuukauden päästä ensimmäisestä luuytimen tutkimuksesta.</w:t>
            </w:r>
          </w:p>
        </w:tc>
      </w:tr>
    </w:tbl>
    <w:p w14:paraId="586FC21C" w14:textId="77777777" w:rsidR="00AE3698" w:rsidRPr="00912A5D" w:rsidRDefault="00AE3698">
      <w:pPr>
        <w:pStyle w:val="EndnoteText"/>
        <w:widowControl w:val="0"/>
        <w:tabs>
          <w:tab w:val="clear" w:pos="567"/>
        </w:tabs>
        <w:rPr>
          <w:color w:val="000000"/>
          <w:szCs w:val="22"/>
          <w:lang w:val="fi-FI"/>
        </w:rPr>
      </w:pPr>
    </w:p>
    <w:p w14:paraId="586FC21D" w14:textId="77777777" w:rsidR="00AE3698" w:rsidRPr="00912A5D" w:rsidRDefault="00AE3698">
      <w:pPr>
        <w:pStyle w:val="EndnoteText"/>
        <w:widowControl w:val="0"/>
        <w:tabs>
          <w:tab w:val="clear" w:pos="567"/>
        </w:tabs>
        <w:rPr>
          <w:color w:val="000000"/>
          <w:szCs w:val="22"/>
          <w:lang w:val="fi-FI"/>
        </w:rPr>
      </w:pPr>
      <w:r w:rsidRPr="00912A5D">
        <w:rPr>
          <w:i/>
          <w:color w:val="000000"/>
          <w:szCs w:val="22"/>
          <w:lang w:val="fi-FI"/>
        </w:rPr>
        <w:t>Lapsipotilaat:</w:t>
      </w:r>
      <w:r w:rsidRPr="00912A5D">
        <w:rPr>
          <w:color w:val="000000"/>
          <w:szCs w:val="22"/>
          <w:lang w:val="fi-FI"/>
        </w:rPr>
        <w:t xml:space="preserve"> I faasin suurenevin annoksin tehtyyn tutkimukseen osallistui yhteensä 26 alle 18-vuotiasta lasta, joilla oli joko kroonisen vaiheen </w:t>
      </w:r>
      <w:smartTag w:uri="urn:schemas-microsoft-com:office:smarttags" w:element="State">
        <w:r w:rsidRPr="00912A5D">
          <w:rPr>
            <w:color w:val="000000"/>
            <w:szCs w:val="22"/>
            <w:lang w:val="fi-FI"/>
          </w:rPr>
          <w:t>KML</w:t>
        </w:r>
      </w:smartTag>
      <w:r w:rsidRPr="00912A5D">
        <w:rPr>
          <w:color w:val="000000"/>
          <w:szCs w:val="22"/>
          <w:lang w:val="fi-FI"/>
        </w:rPr>
        <w:t xml:space="preserve"> (n=11) tai blastikriisissä oleva </w:t>
      </w:r>
      <w:smartTag w:uri="urn:schemas-microsoft-com:office:smarttags" w:element="State">
        <w:r w:rsidRPr="00912A5D">
          <w:rPr>
            <w:color w:val="000000"/>
            <w:szCs w:val="22"/>
            <w:lang w:val="fi-FI"/>
          </w:rPr>
          <w:t>KML</w:t>
        </w:r>
      </w:smartTag>
      <w:r w:rsidRPr="00912A5D">
        <w:rPr>
          <w:color w:val="000000"/>
          <w:szCs w:val="22"/>
          <w:lang w:val="fi-FI"/>
        </w:rPr>
        <w:t xml:space="preserve"> tai Philadelphia-krom</w:t>
      </w:r>
      <w:r w:rsidR="00BA398F">
        <w:rPr>
          <w:color w:val="000000"/>
          <w:szCs w:val="22"/>
          <w:lang w:val="fi-FI"/>
        </w:rPr>
        <w:t>o</w:t>
      </w:r>
      <w:r w:rsidRPr="00912A5D">
        <w:rPr>
          <w:color w:val="000000"/>
          <w:szCs w:val="22"/>
          <w:lang w:val="fi-FI"/>
        </w:rPr>
        <w:t>somipositiivinen akuutti leukemia (n=15). Tutkimukseen osallistuneita potilaita oli ennen tutkimusta hoidettu tehokkaasti. 46 %:lle potilaista oli tehty luuydinsiirto ja 73 %:lle oli annettu kemoterapiaa useilla eri lääkeaineilla. Potilaat saivat Gliveciä 260 mg/m</w:t>
      </w:r>
      <w:r w:rsidRPr="00912A5D">
        <w:rPr>
          <w:color w:val="000000"/>
          <w:szCs w:val="22"/>
          <w:vertAlign w:val="superscript"/>
          <w:lang w:val="fi-FI"/>
        </w:rPr>
        <w:t>2</w:t>
      </w:r>
      <w:r w:rsidRPr="00912A5D">
        <w:rPr>
          <w:color w:val="000000"/>
          <w:szCs w:val="22"/>
          <w:lang w:val="fi-FI"/>
        </w:rPr>
        <w:t>/vrk (n=5), 340 mg/m</w:t>
      </w:r>
      <w:r w:rsidRPr="00912A5D">
        <w:rPr>
          <w:color w:val="000000"/>
          <w:szCs w:val="22"/>
          <w:vertAlign w:val="superscript"/>
          <w:lang w:val="fi-FI"/>
        </w:rPr>
        <w:t>2</w:t>
      </w:r>
      <w:r w:rsidRPr="00912A5D">
        <w:rPr>
          <w:color w:val="000000"/>
          <w:szCs w:val="22"/>
          <w:lang w:val="fi-FI"/>
        </w:rPr>
        <w:t>/vrk (n=9), 440 mg/m</w:t>
      </w:r>
      <w:r w:rsidRPr="00912A5D">
        <w:rPr>
          <w:color w:val="000000"/>
          <w:szCs w:val="22"/>
          <w:vertAlign w:val="superscript"/>
          <w:lang w:val="fi-FI"/>
        </w:rPr>
        <w:t>2</w:t>
      </w:r>
      <w:r w:rsidRPr="00912A5D">
        <w:rPr>
          <w:color w:val="000000"/>
          <w:szCs w:val="22"/>
          <w:lang w:val="fi-FI"/>
        </w:rPr>
        <w:t>/vrk (n=7) ja 570 mg/m</w:t>
      </w:r>
      <w:r w:rsidRPr="00912A5D">
        <w:rPr>
          <w:color w:val="000000"/>
          <w:szCs w:val="22"/>
          <w:vertAlign w:val="superscript"/>
          <w:lang w:val="fi-FI"/>
        </w:rPr>
        <w:t>2</w:t>
      </w:r>
      <w:r w:rsidRPr="00912A5D">
        <w:rPr>
          <w:color w:val="000000"/>
          <w:szCs w:val="22"/>
          <w:lang w:val="fi-FI"/>
        </w:rPr>
        <w:t>/vrk (n=5). 9 kroonisen vaiheen KML:aa sairastavasta potilaasta, joiden sytogeneettiset tiedot ovat käytettävissä, 4 potilasta (44 %) saavutti täydellisen sytogeneettisen vasteen ja 3 potilasta (33 %) osittaisen sytogeneettisen vasteen. Huomattavan sytogeneettisen vasteen saavutti siis 77 % potilaista.</w:t>
      </w:r>
    </w:p>
    <w:p w14:paraId="586FC21E" w14:textId="77777777" w:rsidR="00AE3698" w:rsidRPr="00912A5D" w:rsidRDefault="00AE3698">
      <w:pPr>
        <w:pStyle w:val="EndnoteText"/>
        <w:widowControl w:val="0"/>
        <w:tabs>
          <w:tab w:val="clear" w:pos="567"/>
        </w:tabs>
        <w:rPr>
          <w:color w:val="000000"/>
          <w:szCs w:val="22"/>
          <w:lang w:val="fi-FI"/>
        </w:rPr>
      </w:pPr>
    </w:p>
    <w:p w14:paraId="586FC21F"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II faasin avoimeen, yhdellä hoitoryhmällä toteutettavaan monikeskustutkimukseen osallistui yhteensä 51 lasta, joilla oli äskettäin diagnosoitu ja hoitamaton kroonisen vaiheen </w:t>
      </w:r>
      <w:smartTag w:uri="urn:schemas-microsoft-com:office:smarttags" w:element="State">
        <w:r w:rsidRPr="00912A5D">
          <w:rPr>
            <w:color w:val="000000"/>
            <w:szCs w:val="22"/>
            <w:lang w:val="fi-FI"/>
          </w:rPr>
          <w:t>KML</w:t>
        </w:r>
      </w:smartTag>
      <w:r w:rsidRPr="00912A5D">
        <w:rPr>
          <w:color w:val="000000"/>
          <w:szCs w:val="22"/>
          <w:lang w:val="fi-FI"/>
        </w:rPr>
        <w:t>. Potilaat saivat Gliveciä 340 mg/m</w:t>
      </w:r>
      <w:r w:rsidRPr="00912A5D">
        <w:rPr>
          <w:color w:val="000000"/>
          <w:szCs w:val="22"/>
          <w:vertAlign w:val="superscript"/>
          <w:lang w:val="fi-FI"/>
        </w:rPr>
        <w:t>2</w:t>
      </w:r>
      <w:r w:rsidRPr="00912A5D">
        <w:rPr>
          <w:color w:val="000000"/>
          <w:szCs w:val="22"/>
          <w:lang w:val="fi-FI"/>
        </w:rPr>
        <w:t xml:space="preserve">/vrk, ja hoitoa annettiin keskeytyksettä ellei annosta rajoittavaa toksisuutta ilmennyt. </w:t>
      </w:r>
      <w:r w:rsidRPr="00912A5D">
        <w:rPr>
          <w:color w:val="000000"/>
          <w:szCs w:val="22"/>
          <w:lang w:val="fi-FI"/>
        </w:rPr>
        <w:lastRenderedPageBreak/>
        <w:t xml:space="preserve">Glivec-hoito sai aikaan nopean hoitovasteen lapsilla, joiden </w:t>
      </w:r>
      <w:smartTag w:uri="urn:schemas-microsoft-com:office:smarttags" w:element="State">
        <w:r w:rsidRPr="00912A5D">
          <w:rPr>
            <w:color w:val="000000"/>
            <w:szCs w:val="22"/>
            <w:lang w:val="fi-FI"/>
          </w:rPr>
          <w:t>KML</w:t>
        </w:r>
      </w:smartTag>
      <w:r w:rsidRPr="00912A5D">
        <w:rPr>
          <w:color w:val="000000"/>
          <w:szCs w:val="22"/>
          <w:lang w:val="fi-FI"/>
        </w:rPr>
        <w:t xml:space="preserve"> oli äskettäin diagnosoitu, ja täydellinen hematologinen vaste saavutettiin 78 %:lla potilaista 8 viikon hoidon jälkeen. Huomattavaan täydelliseen hematologiseen vasteprosenttiin liittyi myös täydellisen sytogeneettisen vasteen kehittyminen 65 %:lle potilaista, mikä vastaa aikuisilla saatuja tuloksia. Lisäksi osittainen sytogeneettinen vaste todettiin 16 %:lla potilaista, ja huomattava sytogeneettinen vaste saavutettiin 81 %:lla potilaista. Suurimmalla osalla potilaista, joilla todettiin täydellinen sytogeneettinen vaste, se kehittyi 3–10 kuukaudessa. Vasteen saavuttamiseen kuluneen ajan mediaani oli 5,6 kuukautta Kaplan-Meierin estimaattiin perustuen.</w:t>
      </w:r>
    </w:p>
    <w:p w14:paraId="586FC220" w14:textId="77777777" w:rsidR="00AE3698" w:rsidRDefault="00AE3698">
      <w:pPr>
        <w:pStyle w:val="EndnoteText"/>
        <w:widowControl w:val="0"/>
        <w:tabs>
          <w:tab w:val="clear" w:pos="567"/>
        </w:tabs>
        <w:rPr>
          <w:color w:val="000000"/>
          <w:szCs w:val="22"/>
          <w:lang w:val="fi-FI"/>
        </w:rPr>
      </w:pPr>
    </w:p>
    <w:p w14:paraId="586FC221" w14:textId="77777777" w:rsidR="006756D1" w:rsidRDefault="006756D1">
      <w:pPr>
        <w:pStyle w:val="EndnoteText"/>
        <w:widowControl w:val="0"/>
        <w:tabs>
          <w:tab w:val="clear" w:pos="567"/>
        </w:tabs>
        <w:rPr>
          <w:color w:val="000000"/>
          <w:szCs w:val="22"/>
          <w:lang w:val="fi-FI"/>
        </w:rPr>
      </w:pPr>
      <w:r>
        <w:rPr>
          <w:color w:val="000000"/>
          <w:szCs w:val="22"/>
          <w:lang w:val="fi-FI"/>
        </w:rPr>
        <w:t xml:space="preserve">Euroopan lääkevirasto on myöntänyt vapautuksen velvoitteesta toimittaa tutkimustulokset Glivecin käytöstä kaikkien pediatristen potilasryhmien </w:t>
      </w:r>
      <w:r w:rsidR="00F55B36" w:rsidRPr="00912A5D">
        <w:rPr>
          <w:color w:val="000000"/>
          <w:szCs w:val="22"/>
          <w:lang w:val="fi-FI"/>
        </w:rPr>
        <w:t xml:space="preserve">Philadelphia-kromosomi (bcr-abl)-positiivisen kroonisen myelooisen leukemian </w:t>
      </w:r>
      <w:r w:rsidR="00F55B36">
        <w:rPr>
          <w:color w:val="000000"/>
          <w:szCs w:val="22"/>
          <w:lang w:val="fi-FI"/>
        </w:rPr>
        <w:t xml:space="preserve">hoidossa </w:t>
      </w:r>
      <w:r>
        <w:rPr>
          <w:color w:val="000000"/>
          <w:szCs w:val="22"/>
          <w:lang w:val="fi-FI"/>
        </w:rPr>
        <w:t>(ks. kohta 4.2 ohjeet käytöstä pediatristen potilaiden hoidossa).</w:t>
      </w:r>
    </w:p>
    <w:p w14:paraId="586FC222" w14:textId="77777777" w:rsidR="006756D1" w:rsidRPr="00912A5D" w:rsidRDefault="006756D1">
      <w:pPr>
        <w:pStyle w:val="EndnoteText"/>
        <w:widowControl w:val="0"/>
        <w:tabs>
          <w:tab w:val="clear" w:pos="567"/>
        </w:tabs>
        <w:rPr>
          <w:color w:val="000000"/>
          <w:szCs w:val="22"/>
          <w:lang w:val="fi-FI"/>
        </w:rPr>
      </w:pPr>
    </w:p>
    <w:p w14:paraId="586FC223" w14:textId="77777777" w:rsidR="00AE3698" w:rsidRPr="00912A5D" w:rsidRDefault="00AE3698" w:rsidP="00F71263">
      <w:pPr>
        <w:pStyle w:val="EndnoteText"/>
        <w:keepNext/>
        <w:widowControl w:val="0"/>
        <w:tabs>
          <w:tab w:val="clear" w:pos="567"/>
        </w:tabs>
        <w:rPr>
          <w:color w:val="000000"/>
          <w:szCs w:val="22"/>
          <w:u w:val="single"/>
          <w:lang w:val="fi-FI"/>
        </w:rPr>
      </w:pPr>
      <w:r w:rsidRPr="00912A5D">
        <w:rPr>
          <w:color w:val="000000"/>
          <w:szCs w:val="22"/>
          <w:u w:val="single"/>
          <w:lang w:val="fi-FI"/>
        </w:rPr>
        <w:t xml:space="preserve">Kliiniset tutkimukset Philadelphia-kromosomipositiivisessa akuutissa lymfaattisessa leukemiassa (Ph+ </w:t>
      </w:r>
      <w:smartTag w:uri="urn:schemas-microsoft-com:office:smarttags" w:element="State">
        <w:r w:rsidRPr="00912A5D">
          <w:rPr>
            <w:color w:val="000000"/>
            <w:szCs w:val="22"/>
            <w:u w:val="single"/>
            <w:lang w:val="fi-FI"/>
          </w:rPr>
          <w:t>ALL</w:t>
        </w:r>
      </w:smartTag>
      <w:r w:rsidRPr="00912A5D">
        <w:rPr>
          <w:color w:val="000000"/>
          <w:szCs w:val="22"/>
          <w:u w:val="single"/>
          <w:lang w:val="fi-FI"/>
        </w:rPr>
        <w:t>)</w:t>
      </w:r>
    </w:p>
    <w:p w14:paraId="586FC224" w14:textId="77777777" w:rsidR="00AE3698" w:rsidRPr="00912A5D" w:rsidRDefault="00AE3698">
      <w:pPr>
        <w:pStyle w:val="EndnoteText"/>
        <w:widowControl w:val="0"/>
        <w:tabs>
          <w:tab w:val="clear" w:pos="567"/>
        </w:tabs>
        <w:rPr>
          <w:color w:val="000000"/>
          <w:szCs w:val="22"/>
          <w:lang w:val="fi-FI"/>
        </w:rPr>
      </w:pPr>
      <w:r w:rsidRPr="00912A5D">
        <w:rPr>
          <w:i/>
          <w:iCs/>
          <w:color w:val="000000"/>
          <w:szCs w:val="22"/>
          <w:lang w:val="fi-FI"/>
        </w:rPr>
        <w:t xml:space="preserve">Vasta diagnosoitu Ph+ </w:t>
      </w:r>
      <w:smartTag w:uri="urn:schemas-microsoft-com:office:smarttags" w:element="State">
        <w:r w:rsidRPr="00912A5D">
          <w:rPr>
            <w:i/>
            <w:iCs/>
            <w:color w:val="000000"/>
            <w:szCs w:val="22"/>
            <w:lang w:val="fi-FI"/>
          </w:rPr>
          <w:t>ALL</w:t>
        </w:r>
      </w:smartTag>
      <w:r w:rsidRPr="00912A5D">
        <w:rPr>
          <w:i/>
          <w:iCs/>
          <w:color w:val="000000"/>
          <w:szCs w:val="22"/>
          <w:lang w:val="fi-FI"/>
        </w:rPr>
        <w:t>:</w:t>
      </w:r>
      <w:r w:rsidRPr="00912A5D">
        <w:rPr>
          <w:color w:val="000000"/>
          <w:szCs w:val="22"/>
          <w:lang w:val="fi-FI"/>
        </w:rPr>
        <w:t xml:space="preserve"> Kontrolloidussa tutkimuksessa (ADE10), jossa verrattiin imatinibihoitoa ja kemoterapiainduktiota 55 vasta diagnosoidulla, 55-vuotiaalla tai sitä vanhemmalla potilaalla, monoterapiana annetulla imatinibilla saavutettiin merkitsevästi useammin täydellinen hematologinen vaste kuin kemoterapialla (imatinibi 96,3 %, kemoterapia 50 %; p=0,0001). Kun kemoterapiapotilaille, joilla ei saavutettu vastetta tai saavutettiin vain heikko vaste, annettiin imatinibia pelastavana hoitona, täydellinen hematologinen vaste saavutettiin 9 potilaalla 11:sta (81,8 %). Tämän kliinisen vaikutuksen yhteydessä bcr-abl-transkriptien määrä väheni enemmän imatinibihoitoa saaneilla potilailla kuin kemoterapiapotilailla 2 hoitoviikon jälkeen (p=0,02). Kaikki potilaat saivat imatinibia ja vakauttavaa kemoterapiaa (ks. Taulukko </w:t>
      </w:r>
      <w:r w:rsidR="00170AC1">
        <w:rPr>
          <w:color w:val="000000"/>
          <w:szCs w:val="22"/>
          <w:lang w:val="fi-FI"/>
        </w:rPr>
        <w:t>4</w:t>
      </w:r>
      <w:r w:rsidRPr="00912A5D">
        <w:rPr>
          <w:color w:val="000000"/>
          <w:szCs w:val="22"/>
          <w:lang w:val="fi-FI"/>
        </w:rPr>
        <w:t>) induktion jälkeen, ja 8 viikon kohdalla bcr-abl-transkriptien määrä oli sama molemmissa hoitoryhmissä. Kuten tutkimusasetelman perusteella oletettiinkin, remission pituudessa, tautivapaassa elossaoloajassa tai kokonaiseloonjäämisessä ei havaittu eroja. Potilailla, joilla saavutettiin täydellinen molekulaarinen vaste ja minimaalinen jäännöstauti, saavutettiin kuitenkin parempia tuloksia sekä remission kestossa (p=0,01) että tautivapaassa elossaoloajassa (p=0,02).</w:t>
      </w:r>
    </w:p>
    <w:p w14:paraId="586FC225" w14:textId="77777777" w:rsidR="00AE3698" w:rsidRPr="00912A5D" w:rsidRDefault="00AE3698">
      <w:pPr>
        <w:pStyle w:val="EndnoteText"/>
        <w:widowControl w:val="0"/>
        <w:tabs>
          <w:tab w:val="clear" w:pos="567"/>
        </w:tabs>
        <w:rPr>
          <w:color w:val="000000"/>
          <w:szCs w:val="22"/>
          <w:lang w:val="fi-FI"/>
        </w:rPr>
      </w:pPr>
    </w:p>
    <w:p w14:paraId="586FC226" w14:textId="77777777" w:rsidR="00AE3698" w:rsidRPr="00912A5D" w:rsidRDefault="00AE3698">
      <w:pPr>
        <w:pStyle w:val="EndnoteText"/>
        <w:widowControl w:val="0"/>
        <w:rPr>
          <w:color w:val="000000"/>
          <w:szCs w:val="22"/>
          <w:lang w:val="fi-FI"/>
        </w:rPr>
      </w:pPr>
      <w:r w:rsidRPr="00912A5D">
        <w:rPr>
          <w:color w:val="000000"/>
          <w:szCs w:val="22"/>
          <w:lang w:val="fi-FI"/>
        </w:rPr>
        <w:t xml:space="preserve">211 vasta diagnosoidun Ph+ </w:t>
      </w:r>
      <w:smartTag w:uri="urn:schemas-microsoft-com:office:smarttags" w:element="State">
        <w:r w:rsidRPr="00912A5D">
          <w:rPr>
            <w:color w:val="000000"/>
            <w:szCs w:val="22"/>
            <w:lang w:val="fi-FI"/>
          </w:rPr>
          <w:t>ALL</w:t>
        </w:r>
      </w:smartTag>
      <w:r w:rsidRPr="00912A5D">
        <w:rPr>
          <w:color w:val="000000"/>
          <w:szCs w:val="22"/>
          <w:lang w:val="fi-FI"/>
        </w:rPr>
        <w:t>-potilaan populaatiossa tehdyissä neljässä kontrolloimattomassa kliinisessä tutkimuksessa (AAU02, ADE04, AJP01 ja AUS01) saadut tulokset ovat yhdenmukaisia edellä kuvattujen tulosten kanssa. Kun imatinibi yhdistettiin kemoterapiainduktioon (ks. Taulukko </w:t>
      </w:r>
      <w:r w:rsidR="00170AC1">
        <w:rPr>
          <w:color w:val="000000"/>
          <w:szCs w:val="22"/>
          <w:lang w:val="fi-FI"/>
        </w:rPr>
        <w:t>4</w:t>
      </w:r>
      <w:r w:rsidRPr="00912A5D">
        <w:rPr>
          <w:color w:val="000000"/>
          <w:szCs w:val="22"/>
          <w:lang w:val="fi-FI"/>
        </w:rPr>
        <w:t>), saavutettiin täydellinen hematologinen vaste 93 %:lla potilaista (147 potilaalla 158 arviointikelpoisesta potilaasta) ja huomattava sytogeneettinen vaste 90 %:lla (19 potilaalla 21 arviointikelpoisesta potilaasta). Täydellinen molekulaarinen vaste saavutettiin 48 %:lla (49 potilasta 102 arviointikelpoisesta potilaasta). Tautivapaa elossaoloaika ja kokonaiseloonjääminen olivat johdonmukaisesti yli 1 vuoden ja parempia kuin historiallisessa verrokkiryhmässä (tautivapaa elossaoloaika, p &lt; 0,001; kokonaiseloonjääminen, p &lt; 0,0001) kahdessa tutkimuksessa (AJP01 ja AUS01).</w:t>
      </w:r>
    </w:p>
    <w:p w14:paraId="586FC227" w14:textId="77777777" w:rsidR="00AE3698" w:rsidRPr="00912A5D" w:rsidRDefault="00AE3698">
      <w:pPr>
        <w:pStyle w:val="EndnoteText"/>
        <w:widowControl w:val="0"/>
        <w:tabs>
          <w:tab w:val="clear" w:pos="567"/>
        </w:tabs>
        <w:rPr>
          <w:color w:val="000000"/>
          <w:szCs w:val="22"/>
          <w:lang w:val="fi-FI"/>
        </w:rPr>
      </w:pPr>
    </w:p>
    <w:p w14:paraId="586FC228" w14:textId="77777777" w:rsidR="00AE3698" w:rsidRPr="00912A5D" w:rsidRDefault="00AE3698" w:rsidP="00F71263">
      <w:pPr>
        <w:pStyle w:val="EndnoteText"/>
        <w:keepNext/>
        <w:widowControl w:val="0"/>
        <w:tabs>
          <w:tab w:val="clear" w:pos="567"/>
        </w:tabs>
        <w:ind w:left="1418" w:hanging="1418"/>
        <w:rPr>
          <w:b/>
          <w:bCs/>
          <w:color w:val="000000"/>
          <w:szCs w:val="22"/>
          <w:lang w:val="fi-FI"/>
        </w:rPr>
      </w:pPr>
      <w:r w:rsidRPr="00912A5D">
        <w:rPr>
          <w:b/>
          <w:bCs/>
          <w:color w:val="000000"/>
          <w:szCs w:val="22"/>
          <w:lang w:val="fi-FI"/>
        </w:rPr>
        <w:lastRenderedPageBreak/>
        <w:t>Taulukko </w:t>
      </w:r>
      <w:r w:rsidR="00170AC1">
        <w:rPr>
          <w:b/>
          <w:bCs/>
          <w:color w:val="000000"/>
          <w:szCs w:val="22"/>
          <w:lang w:val="fi-FI"/>
        </w:rPr>
        <w:t>4</w:t>
      </w:r>
      <w:r w:rsidRPr="00912A5D">
        <w:rPr>
          <w:b/>
          <w:bCs/>
          <w:color w:val="000000"/>
          <w:szCs w:val="22"/>
          <w:lang w:val="fi-FI"/>
        </w:rPr>
        <w:tab/>
        <w:t>Yhdistelmähoitona imatinibin kanssa käytetty kemoterapiahoito</w:t>
      </w:r>
    </w:p>
    <w:p w14:paraId="586FC229" w14:textId="77777777" w:rsidR="00AE3698" w:rsidRPr="00912A5D" w:rsidRDefault="00AE3698" w:rsidP="00F71263">
      <w:pPr>
        <w:pStyle w:val="EndnoteText"/>
        <w:keepNext/>
        <w:widowControl w:val="0"/>
        <w:tabs>
          <w:tab w:val="clear" w:pos="567"/>
        </w:tabs>
        <w:rPr>
          <w:color w:val="000000"/>
          <w:szCs w:val="22"/>
          <w:lang w:val="fi-FI"/>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AE3698" w:rsidRPr="00912A5D" w14:paraId="586FC22C" w14:textId="77777777" w:rsidTr="00F71263">
        <w:trPr>
          <w:cantSplit/>
        </w:trPr>
        <w:tc>
          <w:tcPr>
            <w:tcW w:w="2148" w:type="dxa"/>
            <w:tcBorders>
              <w:top w:val="single" w:sz="4" w:space="0" w:color="auto"/>
              <w:bottom w:val="single" w:sz="4" w:space="0" w:color="auto"/>
            </w:tcBorders>
          </w:tcPr>
          <w:p w14:paraId="586FC22A"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b/>
                <w:color w:val="000000"/>
                <w:sz w:val="22"/>
                <w:szCs w:val="22"/>
              </w:rPr>
              <w:t>Tutkimus ADE10</w:t>
            </w:r>
          </w:p>
        </w:tc>
        <w:tc>
          <w:tcPr>
            <w:tcW w:w="6732" w:type="dxa"/>
            <w:gridSpan w:val="4"/>
            <w:tcBorders>
              <w:top w:val="single" w:sz="4" w:space="0" w:color="auto"/>
              <w:bottom w:val="single" w:sz="4" w:space="0" w:color="auto"/>
            </w:tcBorders>
          </w:tcPr>
          <w:p w14:paraId="586FC22B" w14:textId="77777777" w:rsidR="00AE3698" w:rsidRPr="00912A5D" w:rsidRDefault="00AE3698" w:rsidP="00F71263">
            <w:pPr>
              <w:pStyle w:val="Table"/>
              <w:keepLines w:val="0"/>
              <w:widowControl w:val="0"/>
              <w:rPr>
                <w:rFonts w:ascii="Times New Roman" w:hAnsi="Times New Roman"/>
                <w:color w:val="000000"/>
                <w:sz w:val="22"/>
                <w:szCs w:val="22"/>
              </w:rPr>
            </w:pPr>
          </w:p>
        </w:tc>
      </w:tr>
      <w:tr w:rsidR="00AE3698" w:rsidRPr="00912A5D" w14:paraId="586FC231" w14:textId="77777777" w:rsidTr="00F71263">
        <w:trPr>
          <w:cantSplit/>
        </w:trPr>
        <w:tc>
          <w:tcPr>
            <w:tcW w:w="2148" w:type="dxa"/>
            <w:tcBorders>
              <w:top w:val="single" w:sz="4" w:space="0" w:color="auto"/>
              <w:bottom w:val="single" w:sz="4" w:space="0" w:color="auto"/>
            </w:tcBorders>
          </w:tcPr>
          <w:p w14:paraId="586FC22D"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Esivaihe</w:t>
            </w:r>
          </w:p>
        </w:tc>
        <w:tc>
          <w:tcPr>
            <w:tcW w:w="6732" w:type="dxa"/>
            <w:gridSpan w:val="4"/>
            <w:tcBorders>
              <w:top w:val="single" w:sz="4" w:space="0" w:color="auto"/>
              <w:bottom w:val="single" w:sz="4" w:space="0" w:color="auto"/>
            </w:tcBorders>
          </w:tcPr>
          <w:p w14:paraId="586FC22E"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DEX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1-5;</w:t>
            </w:r>
          </w:p>
          <w:p w14:paraId="586FC22F"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CP 200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päivät 3, 4, 5;</w:t>
            </w:r>
          </w:p>
          <w:p w14:paraId="586FC230" w14:textId="77777777" w:rsidR="00AE3698" w:rsidRPr="00912A5D"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12 mg intratekaalisesti, päivä 1</w:t>
            </w:r>
          </w:p>
        </w:tc>
      </w:tr>
      <w:tr w:rsidR="00AE3698" w:rsidRPr="00912A5D" w14:paraId="586FC238" w14:textId="77777777" w:rsidTr="00F71263">
        <w:trPr>
          <w:cantSplit/>
        </w:trPr>
        <w:tc>
          <w:tcPr>
            <w:tcW w:w="2148" w:type="dxa"/>
            <w:tcBorders>
              <w:top w:val="single" w:sz="4" w:space="0" w:color="auto"/>
              <w:bottom w:val="single" w:sz="4" w:space="0" w:color="auto"/>
            </w:tcBorders>
          </w:tcPr>
          <w:p w14:paraId="586FC232"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Remission induktio</w:t>
            </w:r>
          </w:p>
        </w:tc>
        <w:tc>
          <w:tcPr>
            <w:tcW w:w="6732" w:type="dxa"/>
            <w:gridSpan w:val="4"/>
            <w:tcBorders>
              <w:top w:val="single" w:sz="4" w:space="0" w:color="auto"/>
              <w:bottom w:val="single" w:sz="4" w:space="0" w:color="auto"/>
            </w:tcBorders>
          </w:tcPr>
          <w:p w14:paraId="586FC233"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DEX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6-7, 13-16;</w:t>
            </w:r>
          </w:p>
          <w:p w14:paraId="586FC234" w14:textId="77777777" w:rsidR="00937FA3"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1 mg laskimoon, päivät 7, 14;</w:t>
            </w:r>
          </w:p>
          <w:p w14:paraId="586FC235" w14:textId="77777777" w:rsidR="00937FA3"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IDA</w:t>
              </w:r>
            </w:smartTag>
            <w:r w:rsidRPr="00912A5D">
              <w:rPr>
                <w:rFonts w:ascii="Times New Roman" w:hAnsi="Times New Roman"/>
                <w:color w:val="000000"/>
                <w:sz w:val="22"/>
                <w:szCs w:val="22"/>
                <w:lang w:val="fi-FI"/>
              </w:rPr>
              <w:t xml:space="preserve"> 8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(0,5 h), päivät 7, 8, 14, 15;</w:t>
            </w:r>
          </w:p>
          <w:p w14:paraId="586FC236"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CP 500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(1 h), päivä 1;</w:t>
            </w:r>
          </w:p>
          <w:p w14:paraId="586FC237" w14:textId="77777777" w:rsidR="00AE3698" w:rsidRPr="00912A5D"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Ara-C 60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päivät 22-25, 29-32</w:t>
            </w:r>
          </w:p>
        </w:tc>
      </w:tr>
      <w:tr w:rsidR="00AE3698" w:rsidRPr="00912A5D" w14:paraId="586FC23C" w14:textId="77777777" w:rsidTr="00F71263">
        <w:trPr>
          <w:cantSplit/>
        </w:trPr>
        <w:tc>
          <w:tcPr>
            <w:tcW w:w="2148" w:type="dxa"/>
            <w:tcBorders>
              <w:top w:val="single" w:sz="4" w:space="0" w:color="auto"/>
              <w:bottom w:val="single" w:sz="4" w:space="0" w:color="auto"/>
            </w:tcBorders>
          </w:tcPr>
          <w:p w14:paraId="586FC239"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Konsolidaatio</w:t>
            </w:r>
            <w:r w:rsidRPr="00912A5D">
              <w:rPr>
                <w:rFonts w:ascii="Times New Roman" w:hAnsi="Times New Roman"/>
                <w:color w:val="000000"/>
                <w:sz w:val="22"/>
                <w:szCs w:val="22"/>
              </w:rPr>
              <w:softHyphen/>
              <w:t xml:space="preserve">hoidot I, </w:t>
            </w:r>
            <w:smartTag w:uri="urn:schemas-microsoft-com:office:smarttags" w:element="State">
              <w:r w:rsidRPr="00912A5D">
                <w:rPr>
                  <w:rFonts w:ascii="Times New Roman" w:hAnsi="Times New Roman"/>
                  <w:color w:val="000000"/>
                  <w:sz w:val="22"/>
                  <w:szCs w:val="22"/>
                </w:rPr>
                <w:t>III</w:t>
              </w:r>
            </w:smartTag>
            <w:r w:rsidRPr="00912A5D">
              <w:rPr>
                <w:rFonts w:ascii="Times New Roman" w:hAnsi="Times New Roman"/>
                <w:color w:val="000000"/>
                <w:sz w:val="22"/>
                <w:szCs w:val="22"/>
              </w:rPr>
              <w:t>, V</w:t>
            </w:r>
          </w:p>
        </w:tc>
        <w:tc>
          <w:tcPr>
            <w:tcW w:w="6732" w:type="dxa"/>
            <w:gridSpan w:val="4"/>
            <w:tcBorders>
              <w:top w:val="single" w:sz="4" w:space="0" w:color="auto"/>
              <w:bottom w:val="single" w:sz="4" w:space="0" w:color="auto"/>
            </w:tcBorders>
          </w:tcPr>
          <w:p w14:paraId="586FC23A" w14:textId="77777777" w:rsidR="00937FA3"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500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(24 h), päivät 1, 15;</w:t>
            </w:r>
          </w:p>
          <w:p w14:paraId="586FC23B" w14:textId="77777777" w:rsidR="00AE3698" w:rsidRPr="00912A5D"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6-MP 25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1-20</w:t>
            </w:r>
          </w:p>
        </w:tc>
      </w:tr>
      <w:tr w:rsidR="00AE3698" w:rsidRPr="00912A5D" w14:paraId="586FC240" w14:textId="77777777" w:rsidTr="00F71263">
        <w:trPr>
          <w:cantSplit/>
        </w:trPr>
        <w:tc>
          <w:tcPr>
            <w:tcW w:w="2148" w:type="dxa"/>
            <w:tcBorders>
              <w:top w:val="single" w:sz="4" w:space="0" w:color="auto"/>
              <w:bottom w:val="single" w:sz="4" w:space="0" w:color="auto"/>
            </w:tcBorders>
          </w:tcPr>
          <w:p w14:paraId="586FC23D" w14:textId="77777777" w:rsidR="00AE3698" w:rsidRPr="00912A5D" w:rsidRDefault="00AE3698" w:rsidP="00F71263">
            <w:pPr>
              <w:pStyle w:val="Table"/>
              <w:keepNext w:val="0"/>
              <w:keepLines w:val="0"/>
              <w:widowControl w:val="0"/>
              <w:rPr>
                <w:rFonts w:ascii="Times New Roman" w:hAnsi="Times New Roman"/>
                <w:color w:val="000000"/>
                <w:sz w:val="22"/>
                <w:szCs w:val="22"/>
              </w:rPr>
            </w:pPr>
            <w:r w:rsidRPr="00912A5D">
              <w:rPr>
                <w:rFonts w:ascii="Times New Roman" w:hAnsi="Times New Roman"/>
                <w:color w:val="000000"/>
                <w:sz w:val="22"/>
                <w:szCs w:val="22"/>
              </w:rPr>
              <w:t>Konsolidaatio</w:t>
            </w:r>
            <w:r w:rsidRPr="00912A5D">
              <w:rPr>
                <w:rFonts w:ascii="Times New Roman" w:hAnsi="Times New Roman"/>
                <w:color w:val="000000"/>
                <w:sz w:val="22"/>
                <w:szCs w:val="22"/>
              </w:rPr>
              <w:softHyphen/>
              <w:t>hoidot II, IV</w:t>
            </w:r>
          </w:p>
        </w:tc>
        <w:tc>
          <w:tcPr>
            <w:tcW w:w="6732" w:type="dxa"/>
            <w:gridSpan w:val="4"/>
            <w:tcBorders>
              <w:top w:val="single" w:sz="4" w:space="0" w:color="auto"/>
              <w:bottom w:val="single" w:sz="4" w:space="0" w:color="auto"/>
            </w:tcBorders>
          </w:tcPr>
          <w:p w14:paraId="586FC23E" w14:textId="77777777" w:rsidR="00937FA3" w:rsidRDefault="00AE3698" w:rsidP="00F71263">
            <w:pPr>
              <w:pStyle w:val="Table"/>
              <w:keepNext w:val="0"/>
              <w:keepLines w:val="0"/>
              <w:widowControl w:val="0"/>
              <w:rPr>
                <w:rFonts w:ascii="Times New Roman" w:hAnsi="Times New Roman"/>
                <w:color w:val="000000"/>
                <w:sz w:val="22"/>
                <w:szCs w:val="22"/>
                <w:lang w:val="pt-BR"/>
              </w:rPr>
            </w:pPr>
            <w:r w:rsidRPr="00912A5D">
              <w:rPr>
                <w:rFonts w:ascii="Times New Roman" w:hAnsi="Times New Roman"/>
                <w:color w:val="000000"/>
                <w:sz w:val="22"/>
                <w:szCs w:val="22"/>
                <w:lang w:val="pt-BR"/>
              </w:rPr>
              <w:t>Ara-C 75 mg/m</w:t>
            </w:r>
            <w:r w:rsidRPr="00912A5D">
              <w:rPr>
                <w:rFonts w:ascii="Times New Roman" w:hAnsi="Times New Roman"/>
                <w:color w:val="000000"/>
                <w:sz w:val="22"/>
                <w:szCs w:val="22"/>
                <w:vertAlign w:val="superscript"/>
                <w:lang w:val="pt-BR"/>
              </w:rPr>
              <w:t>2</w:t>
            </w:r>
            <w:r w:rsidRPr="00912A5D">
              <w:rPr>
                <w:rFonts w:ascii="Times New Roman" w:hAnsi="Times New Roman"/>
                <w:color w:val="000000"/>
                <w:sz w:val="22"/>
                <w:szCs w:val="22"/>
                <w:lang w:val="pt-BR"/>
              </w:rPr>
              <w:t xml:space="preserve"> laskimoon (1 h), päivät 1-5;</w:t>
            </w:r>
          </w:p>
          <w:p w14:paraId="586FC23F" w14:textId="77777777" w:rsidR="00AE3698" w:rsidRPr="00912A5D" w:rsidRDefault="00AE3698" w:rsidP="00F71263">
            <w:pPr>
              <w:pStyle w:val="Table"/>
              <w:keepNext w:val="0"/>
              <w:keepLines w:val="0"/>
              <w:widowControl w:val="0"/>
              <w:rPr>
                <w:rFonts w:ascii="Times New Roman" w:hAnsi="Times New Roman"/>
                <w:color w:val="000000"/>
                <w:sz w:val="22"/>
                <w:szCs w:val="22"/>
                <w:lang w:val="pt-BR"/>
              </w:rPr>
            </w:pPr>
            <w:r w:rsidRPr="00912A5D">
              <w:rPr>
                <w:rFonts w:ascii="Times New Roman" w:hAnsi="Times New Roman"/>
                <w:color w:val="000000"/>
                <w:sz w:val="22"/>
                <w:szCs w:val="22"/>
                <w:lang w:val="pt-BR"/>
              </w:rPr>
              <w:t>VM26 60 mg/m</w:t>
            </w:r>
            <w:r w:rsidRPr="00912A5D">
              <w:rPr>
                <w:rFonts w:ascii="Times New Roman" w:hAnsi="Times New Roman"/>
                <w:color w:val="000000"/>
                <w:sz w:val="22"/>
                <w:szCs w:val="22"/>
                <w:vertAlign w:val="superscript"/>
                <w:lang w:val="pt-BR"/>
              </w:rPr>
              <w:t>2</w:t>
            </w:r>
            <w:r w:rsidRPr="00912A5D">
              <w:rPr>
                <w:rFonts w:ascii="Times New Roman" w:hAnsi="Times New Roman"/>
                <w:color w:val="000000"/>
                <w:sz w:val="22"/>
                <w:szCs w:val="22"/>
                <w:lang w:val="pt-BR"/>
              </w:rPr>
              <w:t xml:space="preserve"> laskimoon (1 h), päivät 1-5</w:t>
            </w:r>
          </w:p>
        </w:tc>
      </w:tr>
      <w:tr w:rsidR="00AE3698" w:rsidRPr="00912A5D" w14:paraId="586FC246" w14:textId="77777777" w:rsidTr="00F71263">
        <w:trPr>
          <w:cantSplit/>
        </w:trPr>
        <w:tc>
          <w:tcPr>
            <w:tcW w:w="2148" w:type="dxa"/>
            <w:tcBorders>
              <w:top w:val="single" w:sz="4" w:space="0" w:color="auto"/>
              <w:bottom w:val="single" w:sz="4" w:space="0" w:color="auto"/>
            </w:tcBorders>
          </w:tcPr>
          <w:p w14:paraId="586FC241" w14:textId="77777777" w:rsidR="00AE3698" w:rsidRPr="00912A5D" w:rsidRDefault="00AE3698" w:rsidP="00F71263">
            <w:pPr>
              <w:pStyle w:val="Table"/>
              <w:keepLines w:val="0"/>
              <w:widowControl w:val="0"/>
              <w:rPr>
                <w:rFonts w:ascii="Times New Roman" w:hAnsi="Times New Roman"/>
                <w:b/>
                <w:color w:val="000000"/>
                <w:sz w:val="22"/>
                <w:szCs w:val="22"/>
              </w:rPr>
            </w:pPr>
            <w:r w:rsidRPr="00912A5D">
              <w:rPr>
                <w:rFonts w:ascii="Times New Roman" w:hAnsi="Times New Roman"/>
                <w:b/>
                <w:color w:val="000000"/>
                <w:sz w:val="22"/>
                <w:szCs w:val="22"/>
              </w:rPr>
              <w:t>Tutkimus AAU02</w:t>
            </w:r>
          </w:p>
        </w:tc>
        <w:tc>
          <w:tcPr>
            <w:tcW w:w="2652" w:type="dxa"/>
            <w:tcBorders>
              <w:top w:val="single" w:sz="4" w:space="0" w:color="auto"/>
              <w:bottom w:val="single" w:sz="4" w:space="0" w:color="auto"/>
            </w:tcBorders>
          </w:tcPr>
          <w:p w14:paraId="586FC242"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080" w:type="dxa"/>
            <w:tcBorders>
              <w:top w:val="single" w:sz="4" w:space="0" w:color="auto"/>
              <w:bottom w:val="single" w:sz="4" w:space="0" w:color="auto"/>
            </w:tcBorders>
          </w:tcPr>
          <w:p w14:paraId="586FC243"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586FC244"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586FC245" w14:textId="77777777" w:rsidR="00AE3698" w:rsidRPr="00912A5D" w:rsidRDefault="00AE3698" w:rsidP="00F71263">
            <w:pPr>
              <w:pStyle w:val="Table"/>
              <w:keepLines w:val="0"/>
              <w:widowControl w:val="0"/>
              <w:rPr>
                <w:rFonts w:ascii="Times New Roman" w:hAnsi="Times New Roman"/>
                <w:color w:val="000000"/>
                <w:sz w:val="22"/>
                <w:szCs w:val="22"/>
              </w:rPr>
            </w:pPr>
          </w:p>
        </w:tc>
      </w:tr>
      <w:tr w:rsidR="00AE3698" w:rsidRPr="00912A5D" w14:paraId="586FC251" w14:textId="77777777" w:rsidTr="00F71263">
        <w:trPr>
          <w:cantSplit/>
        </w:trPr>
        <w:tc>
          <w:tcPr>
            <w:tcW w:w="2148" w:type="dxa"/>
            <w:tcBorders>
              <w:top w:val="single" w:sz="4" w:space="0" w:color="auto"/>
              <w:bottom w:val="single" w:sz="4" w:space="0" w:color="auto"/>
            </w:tcBorders>
          </w:tcPr>
          <w:p w14:paraId="586FC247" w14:textId="77777777" w:rsidR="00AE3698" w:rsidRPr="00912A5D" w:rsidRDefault="00AE3698" w:rsidP="00F71263">
            <w:pPr>
              <w:pStyle w:val="Table"/>
              <w:keepLines w:val="0"/>
              <w:widowControl w:val="0"/>
              <w:rPr>
                <w:rFonts w:ascii="Times New Roman" w:hAnsi="Times New Roman"/>
                <w:color w:val="000000"/>
                <w:sz w:val="22"/>
                <w:szCs w:val="22"/>
                <w:lang w:val="de-DE"/>
              </w:rPr>
            </w:pPr>
            <w:r w:rsidRPr="00912A5D">
              <w:rPr>
                <w:rFonts w:ascii="Times New Roman" w:hAnsi="Times New Roman"/>
                <w:color w:val="000000"/>
                <w:sz w:val="22"/>
                <w:szCs w:val="22"/>
                <w:lang w:val="de-DE"/>
              </w:rPr>
              <w:t>Induktiohoito</w:t>
            </w:r>
          </w:p>
          <w:p w14:paraId="586FC248" w14:textId="77777777" w:rsidR="00AE3698" w:rsidRPr="00912A5D" w:rsidRDefault="00AE3698" w:rsidP="00F71263">
            <w:pPr>
              <w:pStyle w:val="Table"/>
              <w:keepLines w:val="0"/>
              <w:widowControl w:val="0"/>
              <w:rPr>
                <w:rFonts w:ascii="Times New Roman" w:hAnsi="Times New Roman"/>
                <w:color w:val="000000"/>
                <w:sz w:val="22"/>
                <w:szCs w:val="22"/>
                <w:lang w:val="de-DE"/>
              </w:rPr>
            </w:pPr>
            <w:r w:rsidRPr="00912A5D">
              <w:rPr>
                <w:rFonts w:ascii="Times New Roman" w:hAnsi="Times New Roman"/>
                <w:color w:val="000000"/>
                <w:sz w:val="22"/>
                <w:szCs w:val="22"/>
                <w:lang w:val="de-DE"/>
              </w:rPr>
              <w:t>(</w:t>
            </w:r>
            <w:r w:rsidRPr="00912A5D">
              <w:rPr>
                <w:rFonts w:ascii="Times New Roman" w:hAnsi="Times New Roman"/>
                <w:i/>
                <w:color w:val="000000"/>
                <w:sz w:val="22"/>
                <w:szCs w:val="22"/>
                <w:lang w:val="de-DE"/>
              </w:rPr>
              <w:t>de novo</w:t>
            </w:r>
            <w:r w:rsidRPr="00912A5D">
              <w:rPr>
                <w:rFonts w:ascii="Times New Roman" w:hAnsi="Times New Roman"/>
                <w:color w:val="000000"/>
                <w:sz w:val="22"/>
                <w:szCs w:val="22"/>
                <w:lang w:val="de-DE"/>
              </w:rPr>
              <w:t xml:space="preserve"> Ph+ </w:t>
            </w:r>
            <w:smartTag w:uri="urn:schemas-microsoft-com:office:smarttags" w:element="State">
              <w:r w:rsidRPr="00912A5D">
                <w:rPr>
                  <w:rFonts w:ascii="Times New Roman" w:hAnsi="Times New Roman"/>
                  <w:color w:val="000000"/>
                  <w:sz w:val="22"/>
                  <w:szCs w:val="22"/>
                  <w:lang w:val="de-DE"/>
                </w:rPr>
                <w:t>ALL</w:t>
              </w:r>
            </w:smartTag>
            <w:r w:rsidRPr="00912A5D">
              <w:rPr>
                <w:rFonts w:ascii="Times New Roman" w:hAnsi="Times New Roman"/>
                <w:color w:val="000000"/>
                <w:sz w:val="22"/>
                <w:szCs w:val="22"/>
                <w:lang w:val="de-DE"/>
              </w:rPr>
              <w:t>)</w:t>
            </w:r>
          </w:p>
        </w:tc>
        <w:tc>
          <w:tcPr>
            <w:tcW w:w="6732" w:type="dxa"/>
            <w:gridSpan w:val="4"/>
            <w:tcBorders>
              <w:top w:val="single" w:sz="4" w:space="0" w:color="auto"/>
              <w:bottom w:val="single" w:sz="4" w:space="0" w:color="auto"/>
            </w:tcBorders>
          </w:tcPr>
          <w:p w14:paraId="586FC249" w14:textId="77777777" w:rsidR="00937FA3" w:rsidRPr="008A5B9A" w:rsidRDefault="00AE3698" w:rsidP="00F71263">
            <w:pPr>
              <w:pStyle w:val="Table"/>
              <w:keepLines w:val="0"/>
              <w:widowControl w:val="0"/>
              <w:rPr>
                <w:rFonts w:ascii="Times New Roman" w:hAnsi="Times New Roman"/>
                <w:color w:val="000000"/>
                <w:sz w:val="22"/>
                <w:szCs w:val="22"/>
                <w:lang w:val="fi-FI"/>
              </w:rPr>
            </w:pPr>
            <w:r w:rsidRPr="008A5B9A">
              <w:rPr>
                <w:rFonts w:ascii="Times New Roman" w:hAnsi="Times New Roman"/>
                <w:color w:val="000000"/>
                <w:sz w:val="22"/>
                <w:szCs w:val="22"/>
                <w:lang w:val="fi-FI"/>
              </w:rPr>
              <w:t>Daunorubisiini 30 mg/m</w:t>
            </w:r>
            <w:r w:rsidRPr="008A5B9A">
              <w:rPr>
                <w:rFonts w:ascii="Times New Roman" w:hAnsi="Times New Roman"/>
                <w:color w:val="000000"/>
                <w:sz w:val="22"/>
                <w:szCs w:val="22"/>
                <w:vertAlign w:val="superscript"/>
                <w:lang w:val="fi-FI"/>
              </w:rPr>
              <w:t>2</w:t>
            </w:r>
            <w:r w:rsidRPr="008A5B9A">
              <w:rPr>
                <w:rFonts w:ascii="Times New Roman" w:hAnsi="Times New Roman"/>
                <w:color w:val="000000"/>
                <w:sz w:val="22"/>
                <w:szCs w:val="22"/>
                <w:lang w:val="fi-FI"/>
              </w:rPr>
              <w:t xml:space="preserve"> laskimoon, päivät 1-3, 15-16;</w:t>
            </w:r>
          </w:p>
          <w:p w14:paraId="586FC24A" w14:textId="77777777" w:rsidR="00937FA3" w:rsidRPr="008A5B9A"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8A5B9A">
                <w:rPr>
                  <w:rFonts w:ascii="Times New Roman" w:hAnsi="Times New Roman"/>
                  <w:color w:val="000000"/>
                  <w:sz w:val="22"/>
                  <w:szCs w:val="22"/>
                  <w:lang w:val="fi-FI"/>
                </w:rPr>
                <w:t>VCR</w:t>
              </w:r>
            </w:smartTag>
            <w:r w:rsidRPr="008A5B9A">
              <w:rPr>
                <w:rFonts w:ascii="Times New Roman" w:hAnsi="Times New Roman"/>
                <w:color w:val="000000"/>
                <w:sz w:val="22"/>
                <w:szCs w:val="22"/>
                <w:lang w:val="fi-FI"/>
              </w:rPr>
              <w:t xml:space="preserve"> 2 mg kokonaisannos laskimoon, päivät 1, 8, 15, 22;</w:t>
            </w:r>
          </w:p>
          <w:p w14:paraId="586FC24B" w14:textId="77777777" w:rsidR="00937FA3" w:rsidRPr="008A5B9A" w:rsidRDefault="00AE3698" w:rsidP="00F71263">
            <w:pPr>
              <w:pStyle w:val="Table"/>
              <w:keepLines w:val="0"/>
              <w:widowControl w:val="0"/>
              <w:rPr>
                <w:rFonts w:ascii="Times New Roman" w:hAnsi="Times New Roman"/>
                <w:color w:val="000000"/>
                <w:sz w:val="22"/>
                <w:szCs w:val="22"/>
                <w:lang w:val="fi-FI"/>
              </w:rPr>
            </w:pPr>
            <w:r w:rsidRPr="008A5B9A">
              <w:rPr>
                <w:rFonts w:ascii="Times New Roman" w:hAnsi="Times New Roman"/>
                <w:color w:val="000000"/>
                <w:sz w:val="22"/>
                <w:szCs w:val="22"/>
                <w:lang w:val="fi-FI"/>
              </w:rPr>
              <w:t>CP 750 mg/m</w:t>
            </w:r>
            <w:r w:rsidRPr="008A5B9A">
              <w:rPr>
                <w:rFonts w:ascii="Times New Roman" w:hAnsi="Times New Roman"/>
                <w:color w:val="000000"/>
                <w:sz w:val="22"/>
                <w:szCs w:val="22"/>
                <w:vertAlign w:val="superscript"/>
                <w:lang w:val="fi-FI"/>
              </w:rPr>
              <w:t>2</w:t>
            </w:r>
            <w:r w:rsidRPr="008A5B9A">
              <w:rPr>
                <w:rFonts w:ascii="Times New Roman" w:hAnsi="Times New Roman"/>
                <w:color w:val="000000"/>
                <w:sz w:val="22"/>
                <w:szCs w:val="22"/>
                <w:lang w:val="fi-FI"/>
              </w:rPr>
              <w:t xml:space="preserve"> laskimoon, päivät 1, 8;</w:t>
            </w:r>
          </w:p>
          <w:p w14:paraId="586FC24C" w14:textId="77777777" w:rsidR="00937FA3" w:rsidRPr="008A5B9A" w:rsidRDefault="00937FA3" w:rsidP="00F71263">
            <w:pPr>
              <w:pStyle w:val="Table"/>
              <w:keepLines w:val="0"/>
              <w:widowControl w:val="0"/>
              <w:rPr>
                <w:rFonts w:ascii="Times New Roman" w:hAnsi="Times New Roman"/>
                <w:color w:val="000000"/>
                <w:sz w:val="22"/>
                <w:szCs w:val="22"/>
                <w:lang w:val="fi-FI"/>
              </w:rPr>
            </w:pPr>
            <w:r w:rsidRPr="008A5B9A">
              <w:rPr>
                <w:rFonts w:ascii="Times New Roman" w:hAnsi="Times New Roman"/>
                <w:color w:val="000000"/>
                <w:sz w:val="22"/>
                <w:szCs w:val="22"/>
                <w:lang w:val="fi-FI"/>
              </w:rPr>
              <w:t>P</w:t>
            </w:r>
            <w:r w:rsidR="00AE3698" w:rsidRPr="008A5B9A">
              <w:rPr>
                <w:rFonts w:ascii="Times New Roman" w:hAnsi="Times New Roman"/>
                <w:color w:val="000000"/>
                <w:sz w:val="22"/>
                <w:szCs w:val="22"/>
                <w:lang w:val="fi-FI"/>
              </w:rPr>
              <w:t>rednisoni 60 mg/m</w:t>
            </w:r>
            <w:r w:rsidR="00AE3698" w:rsidRPr="008A5B9A">
              <w:rPr>
                <w:rFonts w:ascii="Times New Roman" w:hAnsi="Times New Roman"/>
                <w:color w:val="000000"/>
                <w:sz w:val="22"/>
                <w:szCs w:val="22"/>
                <w:vertAlign w:val="superscript"/>
                <w:lang w:val="fi-FI"/>
              </w:rPr>
              <w:t>2</w:t>
            </w:r>
            <w:r w:rsidR="00AE3698" w:rsidRPr="008A5B9A">
              <w:rPr>
                <w:rFonts w:ascii="Times New Roman" w:hAnsi="Times New Roman"/>
                <w:color w:val="000000"/>
                <w:sz w:val="22"/>
                <w:szCs w:val="22"/>
                <w:lang w:val="fi-FI"/>
              </w:rPr>
              <w:t xml:space="preserve"> suun kautta, päivät 1-7, 15-21;</w:t>
            </w:r>
          </w:p>
          <w:p w14:paraId="586FC24D" w14:textId="77777777" w:rsidR="00937FA3" w:rsidRPr="008A5B9A"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8A5B9A">
                <w:rPr>
                  <w:rFonts w:ascii="Times New Roman" w:hAnsi="Times New Roman"/>
                  <w:color w:val="000000"/>
                  <w:sz w:val="22"/>
                  <w:szCs w:val="22"/>
                  <w:lang w:val="fi-FI"/>
                </w:rPr>
                <w:t>IDA</w:t>
              </w:r>
            </w:smartTag>
            <w:r w:rsidRPr="008A5B9A">
              <w:rPr>
                <w:rFonts w:ascii="Times New Roman" w:hAnsi="Times New Roman"/>
                <w:color w:val="000000"/>
                <w:sz w:val="22"/>
                <w:szCs w:val="22"/>
                <w:lang w:val="fi-FI"/>
              </w:rPr>
              <w:t xml:space="preserve"> 9 mg/m</w:t>
            </w:r>
            <w:r w:rsidRPr="008A5B9A">
              <w:rPr>
                <w:rFonts w:ascii="Times New Roman" w:hAnsi="Times New Roman"/>
                <w:color w:val="000000"/>
                <w:sz w:val="22"/>
                <w:szCs w:val="22"/>
                <w:vertAlign w:val="superscript"/>
                <w:lang w:val="fi-FI"/>
              </w:rPr>
              <w:t>2</w:t>
            </w:r>
            <w:r w:rsidRPr="008A5B9A">
              <w:rPr>
                <w:rFonts w:ascii="Times New Roman" w:hAnsi="Times New Roman"/>
                <w:color w:val="000000"/>
                <w:sz w:val="22"/>
                <w:szCs w:val="22"/>
                <w:lang w:val="fi-FI"/>
              </w:rPr>
              <w:t xml:space="preserve"> suun kautta, päivät 1-28;</w:t>
            </w:r>
          </w:p>
          <w:p w14:paraId="586FC24E" w14:textId="77777777" w:rsidR="00937FA3" w:rsidRPr="008A5B9A"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8A5B9A">
                <w:rPr>
                  <w:rFonts w:ascii="Times New Roman" w:hAnsi="Times New Roman"/>
                  <w:color w:val="000000"/>
                  <w:sz w:val="22"/>
                  <w:szCs w:val="22"/>
                  <w:lang w:val="fi-FI"/>
                </w:rPr>
                <w:t>MTX</w:t>
              </w:r>
            </w:smartTag>
            <w:r w:rsidRPr="008A5B9A">
              <w:rPr>
                <w:rFonts w:ascii="Times New Roman" w:hAnsi="Times New Roman"/>
                <w:color w:val="000000"/>
                <w:sz w:val="22"/>
                <w:szCs w:val="22"/>
                <w:lang w:val="fi-FI"/>
              </w:rPr>
              <w:t xml:space="preserve"> 15 mg intratekaalisesti, päivät 1, 8, 15, 22;</w:t>
            </w:r>
          </w:p>
          <w:p w14:paraId="586FC24F" w14:textId="77777777" w:rsidR="00937FA3" w:rsidRPr="008A5B9A" w:rsidRDefault="00AE3698" w:rsidP="00F71263">
            <w:pPr>
              <w:pStyle w:val="Table"/>
              <w:keepLines w:val="0"/>
              <w:widowControl w:val="0"/>
              <w:rPr>
                <w:rFonts w:ascii="Times New Roman" w:hAnsi="Times New Roman"/>
                <w:color w:val="000000"/>
                <w:sz w:val="22"/>
                <w:szCs w:val="22"/>
                <w:lang w:val="fi-FI"/>
              </w:rPr>
            </w:pPr>
            <w:r w:rsidRPr="008A5B9A">
              <w:rPr>
                <w:rFonts w:ascii="Times New Roman" w:hAnsi="Times New Roman"/>
                <w:color w:val="000000"/>
                <w:sz w:val="22"/>
                <w:szCs w:val="22"/>
                <w:lang w:val="fi-FI"/>
              </w:rPr>
              <w:t>Ara-C 40 mg intratekaalisesti, päivät 1, 8, 15, 22;</w:t>
            </w:r>
          </w:p>
          <w:p w14:paraId="586FC250" w14:textId="77777777" w:rsidR="00AE3698" w:rsidRPr="00912A5D" w:rsidRDefault="00937FA3" w:rsidP="00F71263">
            <w:pPr>
              <w:pStyle w:val="Table"/>
              <w:keepLines w:val="0"/>
              <w:widowControl w:val="0"/>
              <w:rPr>
                <w:rFonts w:ascii="Times New Roman" w:hAnsi="Times New Roman"/>
                <w:color w:val="000000"/>
                <w:sz w:val="22"/>
                <w:szCs w:val="22"/>
                <w:lang w:val="de-DE"/>
              </w:rPr>
            </w:pPr>
            <w:r>
              <w:rPr>
                <w:rFonts w:ascii="Times New Roman" w:hAnsi="Times New Roman"/>
                <w:color w:val="000000"/>
                <w:sz w:val="22"/>
                <w:szCs w:val="22"/>
                <w:lang w:val="de-DE"/>
              </w:rPr>
              <w:t>M</w:t>
            </w:r>
            <w:r w:rsidR="00AE3698" w:rsidRPr="00912A5D">
              <w:rPr>
                <w:rFonts w:ascii="Times New Roman" w:hAnsi="Times New Roman"/>
                <w:color w:val="000000"/>
                <w:sz w:val="22"/>
                <w:szCs w:val="22"/>
                <w:lang w:val="de-DE"/>
              </w:rPr>
              <w:t>etyyliprednisoloni 40 mg intratekaalisesti, päivät 1, 8, 15, 22</w:t>
            </w:r>
          </w:p>
        </w:tc>
      </w:tr>
      <w:tr w:rsidR="00AE3698" w:rsidRPr="00912A5D" w14:paraId="586FC257" w14:textId="77777777" w:rsidTr="00F71263">
        <w:trPr>
          <w:cantSplit/>
        </w:trPr>
        <w:tc>
          <w:tcPr>
            <w:tcW w:w="2148" w:type="dxa"/>
            <w:tcBorders>
              <w:top w:val="single" w:sz="4" w:space="0" w:color="auto"/>
              <w:bottom w:val="single" w:sz="4" w:space="0" w:color="auto"/>
            </w:tcBorders>
          </w:tcPr>
          <w:p w14:paraId="586FC252" w14:textId="77777777" w:rsidR="00AE3698" w:rsidRPr="00744D9D" w:rsidRDefault="00AE3698" w:rsidP="00F71263">
            <w:pPr>
              <w:pStyle w:val="Table"/>
              <w:keepNext w:val="0"/>
              <w:keepLines w:val="0"/>
              <w:widowControl w:val="0"/>
              <w:rPr>
                <w:rFonts w:ascii="Times New Roman" w:hAnsi="Times New Roman"/>
                <w:color w:val="000000"/>
                <w:sz w:val="22"/>
                <w:szCs w:val="22"/>
                <w:lang w:val="es-ES"/>
              </w:rPr>
            </w:pPr>
            <w:r w:rsidRPr="00744D9D">
              <w:rPr>
                <w:rFonts w:ascii="Times New Roman" w:hAnsi="Times New Roman"/>
                <w:color w:val="000000"/>
                <w:sz w:val="22"/>
                <w:szCs w:val="22"/>
                <w:lang w:val="es-ES"/>
              </w:rPr>
              <w:t>Konsolidaatiohoito (</w:t>
            </w:r>
            <w:r w:rsidRPr="00744D9D">
              <w:rPr>
                <w:rFonts w:ascii="Times New Roman" w:hAnsi="Times New Roman"/>
                <w:i/>
                <w:color w:val="000000"/>
                <w:sz w:val="22"/>
                <w:szCs w:val="22"/>
                <w:lang w:val="es-ES"/>
              </w:rPr>
              <w:t>de novo</w:t>
            </w:r>
            <w:r w:rsidRPr="00744D9D">
              <w:rPr>
                <w:rFonts w:ascii="Times New Roman" w:hAnsi="Times New Roman"/>
                <w:color w:val="000000"/>
                <w:sz w:val="22"/>
                <w:szCs w:val="22"/>
                <w:lang w:val="es-ES"/>
              </w:rPr>
              <w:t xml:space="preserve"> Ph+ ALL)</w:t>
            </w:r>
          </w:p>
        </w:tc>
        <w:tc>
          <w:tcPr>
            <w:tcW w:w="6732" w:type="dxa"/>
            <w:gridSpan w:val="4"/>
            <w:tcBorders>
              <w:top w:val="single" w:sz="4" w:space="0" w:color="auto"/>
              <w:bottom w:val="single" w:sz="4" w:space="0" w:color="auto"/>
            </w:tcBorders>
          </w:tcPr>
          <w:p w14:paraId="586FC253" w14:textId="77777777" w:rsidR="00937FA3" w:rsidRDefault="00AE3698" w:rsidP="00F71263">
            <w:pPr>
              <w:pStyle w:val="Table"/>
              <w:keepNext w:val="0"/>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Ara-C 1 000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/12 h laskimoon (3 h), päivät 1-4;</w:t>
            </w:r>
          </w:p>
          <w:p w14:paraId="586FC254" w14:textId="77777777" w:rsidR="00937FA3" w:rsidRDefault="00937FA3" w:rsidP="00F71263">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M</w:t>
            </w:r>
            <w:r w:rsidR="00AE3698" w:rsidRPr="00912A5D">
              <w:rPr>
                <w:rFonts w:ascii="Times New Roman" w:hAnsi="Times New Roman"/>
                <w:color w:val="000000"/>
                <w:sz w:val="22"/>
                <w:szCs w:val="22"/>
                <w:lang w:val="fi-FI"/>
              </w:rPr>
              <w:t>itoksantroni 10 mg/m</w:t>
            </w:r>
            <w:r w:rsidR="00AE3698" w:rsidRPr="00912A5D">
              <w:rPr>
                <w:rFonts w:ascii="Times New Roman" w:hAnsi="Times New Roman"/>
                <w:color w:val="000000"/>
                <w:sz w:val="22"/>
                <w:szCs w:val="22"/>
                <w:vertAlign w:val="superscript"/>
                <w:lang w:val="fi-FI"/>
              </w:rPr>
              <w:t>2</w:t>
            </w:r>
            <w:r w:rsidR="00AE3698" w:rsidRPr="00912A5D">
              <w:rPr>
                <w:rFonts w:ascii="Times New Roman" w:hAnsi="Times New Roman"/>
                <w:color w:val="000000"/>
                <w:sz w:val="22"/>
                <w:szCs w:val="22"/>
                <w:lang w:val="fi-FI"/>
              </w:rPr>
              <w:t xml:space="preserve"> laskimoon, päivät 3-5;</w:t>
            </w:r>
          </w:p>
          <w:p w14:paraId="586FC255" w14:textId="77777777" w:rsidR="00937FA3" w:rsidRDefault="00AE3698" w:rsidP="00F71263">
            <w:pPr>
              <w:pStyle w:val="Table"/>
              <w:keepNext w:val="0"/>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15 mg intratekaalisesti, päivä 1;</w:t>
            </w:r>
          </w:p>
          <w:p w14:paraId="586FC256" w14:textId="77777777" w:rsidR="00AE3698" w:rsidRPr="00912A5D" w:rsidRDefault="00937FA3" w:rsidP="00F71263">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M</w:t>
            </w:r>
            <w:r w:rsidR="00AE3698" w:rsidRPr="00912A5D">
              <w:rPr>
                <w:rFonts w:ascii="Times New Roman" w:hAnsi="Times New Roman"/>
                <w:color w:val="000000"/>
                <w:sz w:val="22"/>
                <w:szCs w:val="22"/>
                <w:lang w:val="fi-FI"/>
              </w:rPr>
              <w:t>etyyliprednisoloni 40 mg intratekaalisesti, päivä 1</w:t>
            </w:r>
          </w:p>
        </w:tc>
      </w:tr>
      <w:tr w:rsidR="00AE3698" w:rsidRPr="00912A5D" w14:paraId="586FC25C" w14:textId="77777777" w:rsidTr="00F71263">
        <w:trPr>
          <w:cantSplit/>
        </w:trPr>
        <w:tc>
          <w:tcPr>
            <w:tcW w:w="4800" w:type="dxa"/>
            <w:gridSpan w:val="2"/>
            <w:tcBorders>
              <w:top w:val="single" w:sz="4" w:space="0" w:color="auto"/>
              <w:bottom w:val="single" w:sz="4" w:space="0" w:color="auto"/>
            </w:tcBorders>
          </w:tcPr>
          <w:p w14:paraId="586FC258" w14:textId="77777777" w:rsidR="00AE3698" w:rsidRPr="00912A5D" w:rsidRDefault="00AE3698" w:rsidP="00F71263">
            <w:pPr>
              <w:pStyle w:val="Table"/>
              <w:keepLines w:val="0"/>
              <w:widowControl w:val="0"/>
              <w:rPr>
                <w:rFonts w:ascii="Times New Roman" w:hAnsi="Times New Roman"/>
                <w:b/>
                <w:color w:val="000000"/>
                <w:sz w:val="22"/>
                <w:szCs w:val="22"/>
              </w:rPr>
            </w:pPr>
            <w:r w:rsidRPr="00912A5D">
              <w:rPr>
                <w:rFonts w:ascii="Times New Roman" w:hAnsi="Times New Roman"/>
                <w:b/>
                <w:color w:val="000000"/>
                <w:sz w:val="22"/>
                <w:szCs w:val="22"/>
              </w:rPr>
              <w:t>Tutkimus ADE04</w:t>
            </w:r>
          </w:p>
        </w:tc>
        <w:tc>
          <w:tcPr>
            <w:tcW w:w="1080" w:type="dxa"/>
            <w:tcBorders>
              <w:top w:val="single" w:sz="4" w:space="0" w:color="auto"/>
              <w:bottom w:val="single" w:sz="4" w:space="0" w:color="auto"/>
            </w:tcBorders>
          </w:tcPr>
          <w:p w14:paraId="586FC259"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586FC25A"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586FC25B" w14:textId="77777777" w:rsidR="00AE3698" w:rsidRPr="00912A5D" w:rsidRDefault="00AE3698" w:rsidP="00F71263">
            <w:pPr>
              <w:pStyle w:val="Table"/>
              <w:keepLines w:val="0"/>
              <w:widowControl w:val="0"/>
              <w:rPr>
                <w:rFonts w:ascii="Times New Roman" w:hAnsi="Times New Roman"/>
                <w:color w:val="000000"/>
                <w:sz w:val="22"/>
                <w:szCs w:val="22"/>
              </w:rPr>
            </w:pPr>
          </w:p>
        </w:tc>
      </w:tr>
      <w:tr w:rsidR="00AE3698" w:rsidRPr="00912A5D" w14:paraId="586FC261" w14:textId="77777777" w:rsidTr="00F71263">
        <w:trPr>
          <w:cantSplit/>
        </w:trPr>
        <w:tc>
          <w:tcPr>
            <w:tcW w:w="2148" w:type="dxa"/>
            <w:tcBorders>
              <w:top w:val="single" w:sz="4" w:space="0" w:color="auto"/>
              <w:bottom w:val="single" w:sz="4" w:space="0" w:color="auto"/>
            </w:tcBorders>
          </w:tcPr>
          <w:p w14:paraId="586FC25D"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Esivaihe</w:t>
            </w:r>
          </w:p>
        </w:tc>
        <w:tc>
          <w:tcPr>
            <w:tcW w:w="6732" w:type="dxa"/>
            <w:gridSpan w:val="4"/>
            <w:tcBorders>
              <w:top w:val="single" w:sz="4" w:space="0" w:color="auto"/>
              <w:bottom w:val="single" w:sz="4" w:space="0" w:color="auto"/>
            </w:tcBorders>
          </w:tcPr>
          <w:p w14:paraId="586FC25E"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DEX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1-5;</w:t>
            </w:r>
          </w:p>
          <w:p w14:paraId="586FC25F"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CP 200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päivät 3-5;</w:t>
            </w:r>
          </w:p>
          <w:p w14:paraId="586FC260" w14:textId="77777777" w:rsidR="00AE3698" w:rsidRPr="00912A5D"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15 mg intratekaalisesti, päivä 1</w:t>
            </w:r>
          </w:p>
        </w:tc>
      </w:tr>
      <w:tr w:rsidR="00AE3698" w:rsidRPr="00912A5D" w14:paraId="586FC266" w14:textId="77777777" w:rsidTr="00F71263">
        <w:trPr>
          <w:cantSplit/>
        </w:trPr>
        <w:tc>
          <w:tcPr>
            <w:tcW w:w="2148" w:type="dxa"/>
            <w:tcBorders>
              <w:top w:val="single" w:sz="4" w:space="0" w:color="auto"/>
              <w:bottom w:val="single" w:sz="4" w:space="0" w:color="auto"/>
            </w:tcBorders>
          </w:tcPr>
          <w:p w14:paraId="586FC262"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Induktiohoito I</w:t>
            </w:r>
          </w:p>
        </w:tc>
        <w:tc>
          <w:tcPr>
            <w:tcW w:w="6732" w:type="dxa"/>
            <w:gridSpan w:val="4"/>
            <w:tcBorders>
              <w:top w:val="single" w:sz="4" w:space="0" w:color="auto"/>
              <w:bottom w:val="single" w:sz="4" w:space="0" w:color="auto"/>
            </w:tcBorders>
          </w:tcPr>
          <w:p w14:paraId="586FC263"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DEX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1-5;</w:t>
            </w:r>
          </w:p>
          <w:p w14:paraId="586FC264" w14:textId="77777777" w:rsidR="00937FA3"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2 mg laskimoon, päivät 6, 13, 20;</w:t>
            </w:r>
          </w:p>
          <w:p w14:paraId="586FC265" w14:textId="77777777" w:rsidR="00AE3698" w:rsidRPr="00912A5D" w:rsidRDefault="00937FA3" w:rsidP="00F71263">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D</w:t>
            </w:r>
            <w:r w:rsidR="00AE3698" w:rsidRPr="00912A5D">
              <w:rPr>
                <w:rFonts w:ascii="Times New Roman" w:hAnsi="Times New Roman"/>
                <w:color w:val="000000"/>
                <w:sz w:val="22"/>
                <w:szCs w:val="22"/>
                <w:lang w:val="fi-FI"/>
              </w:rPr>
              <w:t>aunorubisiini 45 mg/m</w:t>
            </w:r>
            <w:r w:rsidR="00AE3698" w:rsidRPr="00912A5D">
              <w:rPr>
                <w:rFonts w:ascii="Times New Roman" w:hAnsi="Times New Roman"/>
                <w:color w:val="000000"/>
                <w:sz w:val="22"/>
                <w:szCs w:val="22"/>
                <w:vertAlign w:val="superscript"/>
                <w:lang w:val="fi-FI"/>
              </w:rPr>
              <w:t>2</w:t>
            </w:r>
            <w:r w:rsidR="00AE3698" w:rsidRPr="00912A5D">
              <w:rPr>
                <w:rFonts w:ascii="Times New Roman" w:hAnsi="Times New Roman"/>
                <w:color w:val="000000"/>
                <w:sz w:val="22"/>
                <w:szCs w:val="22"/>
                <w:lang w:val="fi-FI"/>
              </w:rPr>
              <w:t xml:space="preserve"> laskimoon, päivät 6-7, 13-14</w:t>
            </w:r>
          </w:p>
        </w:tc>
      </w:tr>
      <w:tr w:rsidR="00AE3698" w:rsidRPr="00912A5D" w14:paraId="586FC26B" w14:textId="77777777" w:rsidTr="00F71263">
        <w:trPr>
          <w:cantSplit/>
        </w:trPr>
        <w:tc>
          <w:tcPr>
            <w:tcW w:w="2148" w:type="dxa"/>
            <w:tcBorders>
              <w:top w:val="single" w:sz="4" w:space="0" w:color="auto"/>
              <w:bottom w:val="single" w:sz="4" w:space="0" w:color="auto"/>
            </w:tcBorders>
          </w:tcPr>
          <w:p w14:paraId="586FC267"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Induktiohoito II</w:t>
            </w:r>
          </w:p>
        </w:tc>
        <w:tc>
          <w:tcPr>
            <w:tcW w:w="6732" w:type="dxa"/>
            <w:gridSpan w:val="4"/>
            <w:tcBorders>
              <w:top w:val="single" w:sz="4" w:space="0" w:color="auto"/>
              <w:bottom w:val="single" w:sz="4" w:space="0" w:color="auto"/>
            </w:tcBorders>
          </w:tcPr>
          <w:p w14:paraId="586FC268"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CP 1 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(1 h), päivät 26, 46;</w:t>
            </w:r>
          </w:p>
          <w:p w14:paraId="586FC269" w14:textId="77777777" w:rsidR="00937FA3"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Ara-C 75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(1 h), päivät 28-31, 35-38, 42-45;</w:t>
            </w:r>
          </w:p>
          <w:p w14:paraId="586FC26A" w14:textId="77777777" w:rsidR="00AE3698" w:rsidRPr="00912A5D" w:rsidRDefault="00AE3698" w:rsidP="00F71263">
            <w:pPr>
              <w:pStyle w:val="Table"/>
              <w:keepLines w:val="0"/>
              <w:widowControl w:val="0"/>
              <w:rPr>
                <w:rFonts w:ascii="Times New Roman" w:hAnsi="Times New Roman"/>
                <w:color w:val="000000"/>
                <w:sz w:val="22"/>
                <w:szCs w:val="22"/>
                <w:lang w:val="pl-PL"/>
              </w:rPr>
            </w:pPr>
            <w:r w:rsidRPr="00912A5D">
              <w:rPr>
                <w:rFonts w:ascii="Times New Roman" w:hAnsi="Times New Roman"/>
                <w:color w:val="000000"/>
                <w:sz w:val="22"/>
                <w:szCs w:val="22"/>
                <w:lang w:val="fi-FI"/>
              </w:rPr>
              <w:t>6-MP 60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26-46</w:t>
            </w:r>
          </w:p>
        </w:tc>
      </w:tr>
      <w:tr w:rsidR="00AE3698" w:rsidRPr="00912A5D" w14:paraId="586FC272" w14:textId="77777777" w:rsidTr="00F71263">
        <w:trPr>
          <w:cantSplit/>
        </w:trPr>
        <w:tc>
          <w:tcPr>
            <w:tcW w:w="2148" w:type="dxa"/>
            <w:tcBorders>
              <w:top w:val="nil"/>
              <w:bottom w:val="single" w:sz="4" w:space="0" w:color="auto"/>
            </w:tcBorders>
          </w:tcPr>
          <w:p w14:paraId="586FC26C" w14:textId="77777777" w:rsidR="00AE3698" w:rsidRPr="00912A5D" w:rsidRDefault="00AE3698" w:rsidP="00F71263">
            <w:pPr>
              <w:pStyle w:val="Table"/>
              <w:keepNext w:val="0"/>
              <w:keepLines w:val="0"/>
              <w:widowControl w:val="0"/>
              <w:rPr>
                <w:rFonts w:ascii="Times New Roman" w:hAnsi="Times New Roman"/>
                <w:color w:val="000000"/>
                <w:sz w:val="22"/>
                <w:szCs w:val="22"/>
              </w:rPr>
            </w:pPr>
            <w:r w:rsidRPr="00912A5D">
              <w:rPr>
                <w:rFonts w:ascii="Times New Roman" w:hAnsi="Times New Roman"/>
                <w:color w:val="000000"/>
                <w:sz w:val="22"/>
                <w:szCs w:val="22"/>
              </w:rPr>
              <w:t>Konsolidaatiohoito</w:t>
            </w:r>
          </w:p>
        </w:tc>
        <w:tc>
          <w:tcPr>
            <w:tcW w:w="6732" w:type="dxa"/>
            <w:gridSpan w:val="4"/>
            <w:tcBorders>
              <w:top w:val="nil"/>
              <w:bottom w:val="single" w:sz="4" w:space="0" w:color="auto"/>
            </w:tcBorders>
          </w:tcPr>
          <w:p w14:paraId="586FC26D" w14:textId="77777777" w:rsidR="00937FA3" w:rsidRDefault="00AE3698" w:rsidP="00F71263">
            <w:pPr>
              <w:pStyle w:val="Table"/>
              <w:keepNext w:val="0"/>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DEX 10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suun kautta, päivät 1-5;</w:t>
            </w:r>
          </w:p>
          <w:p w14:paraId="586FC26E" w14:textId="77777777" w:rsidR="00937FA3" w:rsidRDefault="00937FA3" w:rsidP="00F71263">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V</w:t>
            </w:r>
            <w:r w:rsidR="00AE3698" w:rsidRPr="006832FA">
              <w:rPr>
                <w:rFonts w:ascii="Times New Roman" w:hAnsi="Times New Roman"/>
                <w:color w:val="000000"/>
                <w:sz w:val="22"/>
                <w:szCs w:val="22"/>
                <w:lang w:val="fi-FI"/>
              </w:rPr>
              <w:t>indesiini 3 mg/m</w:t>
            </w:r>
            <w:r w:rsidR="00AE3698" w:rsidRPr="006832FA">
              <w:rPr>
                <w:rFonts w:ascii="Times New Roman" w:hAnsi="Times New Roman"/>
                <w:color w:val="000000"/>
                <w:sz w:val="22"/>
                <w:szCs w:val="22"/>
                <w:vertAlign w:val="superscript"/>
                <w:lang w:val="fi-FI"/>
              </w:rPr>
              <w:t>2</w:t>
            </w:r>
            <w:r w:rsidR="00AE3698" w:rsidRPr="006832FA">
              <w:rPr>
                <w:rFonts w:ascii="Times New Roman" w:hAnsi="Times New Roman"/>
                <w:color w:val="000000"/>
                <w:sz w:val="22"/>
                <w:szCs w:val="22"/>
                <w:lang w:val="fi-FI"/>
              </w:rPr>
              <w:t xml:space="preserve"> laskimoon, päivä 1;</w:t>
            </w:r>
          </w:p>
          <w:p w14:paraId="586FC26F" w14:textId="77777777" w:rsidR="00937FA3" w:rsidRDefault="00AE3698" w:rsidP="00F71263">
            <w:pPr>
              <w:pStyle w:val="Table"/>
              <w:keepNext w:val="0"/>
              <w:keepLines w:val="0"/>
              <w:widowControl w:val="0"/>
              <w:rPr>
                <w:rFonts w:ascii="Times New Roman" w:hAnsi="Times New Roman"/>
                <w:color w:val="000000"/>
                <w:sz w:val="22"/>
                <w:szCs w:val="22"/>
                <w:lang w:val="fi-FI"/>
              </w:rPr>
            </w:pPr>
            <w:smartTag w:uri="urn:schemas-microsoft-com:office:smarttags" w:element="State">
              <w:r w:rsidRPr="006832FA">
                <w:rPr>
                  <w:rFonts w:ascii="Times New Roman" w:hAnsi="Times New Roman"/>
                  <w:color w:val="000000"/>
                  <w:sz w:val="22"/>
                  <w:szCs w:val="22"/>
                  <w:lang w:val="fi-FI"/>
                </w:rPr>
                <w:t>MTX</w:t>
              </w:r>
            </w:smartTag>
            <w:r w:rsidRPr="006832FA">
              <w:rPr>
                <w:rFonts w:ascii="Times New Roman" w:hAnsi="Times New Roman"/>
                <w:color w:val="000000"/>
                <w:sz w:val="22"/>
                <w:szCs w:val="22"/>
                <w:lang w:val="fi-FI"/>
              </w:rPr>
              <w:t xml:space="preserve"> 1,5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(24 h), päivä 1;</w:t>
            </w:r>
          </w:p>
          <w:p w14:paraId="586FC270" w14:textId="77777777" w:rsidR="00937FA3" w:rsidRDefault="00937FA3" w:rsidP="00F71263">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E</w:t>
            </w:r>
            <w:r w:rsidR="00AE3698" w:rsidRPr="006832FA">
              <w:rPr>
                <w:rFonts w:ascii="Times New Roman" w:hAnsi="Times New Roman"/>
                <w:color w:val="000000"/>
                <w:sz w:val="22"/>
                <w:szCs w:val="22"/>
                <w:lang w:val="fi-FI"/>
              </w:rPr>
              <w:t>toposidi 250 mg/m</w:t>
            </w:r>
            <w:r w:rsidR="00AE3698" w:rsidRPr="006832FA">
              <w:rPr>
                <w:rFonts w:ascii="Times New Roman" w:hAnsi="Times New Roman"/>
                <w:color w:val="000000"/>
                <w:sz w:val="22"/>
                <w:szCs w:val="22"/>
                <w:vertAlign w:val="superscript"/>
                <w:lang w:val="fi-FI"/>
              </w:rPr>
              <w:t>2</w:t>
            </w:r>
            <w:r w:rsidR="00AE3698" w:rsidRPr="006832FA">
              <w:rPr>
                <w:rFonts w:ascii="Times New Roman" w:hAnsi="Times New Roman"/>
                <w:color w:val="000000"/>
                <w:sz w:val="22"/>
                <w:szCs w:val="22"/>
                <w:lang w:val="fi-FI"/>
              </w:rPr>
              <w:t xml:space="preserve"> laskimoon (1 h), päivät 4-5;</w:t>
            </w:r>
          </w:p>
          <w:p w14:paraId="586FC271" w14:textId="77777777" w:rsidR="00AE3698" w:rsidRPr="006832FA" w:rsidRDefault="00AE3698" w:rsidP="00F71263">
            <w:pPr>
              <w:pStyle w:val="Table"/>
              <w:keepNext w:val="0"/>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Ara-C 2x 2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(3 h, 12 h välein), päivä 5</w:t>
            </w:r>
          </w:p>
        </w:tc>
      </w:tr>
      <w:tr w:rsidR="00AE3698" w:rsidRPr="00912A5D" w14:paraId="586FC278" w14:textId="77777777" w:rsidTr="00F71263">
        <w:trPr>
          <w:cantSplit/>
        </w:trPr>
        <w:tc>
          <w:tcPr>
            <w:tcW w:w="2148" w:type="dxa"/>
            <w:tcBorders>
              <w:top w:val="single" w:sz="4" w:space="0" w:color="auto"/>
              <w:bottom w:val="single" w:sz="4" w:space="0" w:color="auto"/>
            </w:tcBorders>
          </w:tcPr>
          <w:p w14:paraId="586FC273" w14:textId="77777777" w:rsidR="00AE3698" w:rsidRPr="00912A5D" w:rsidRDefault="00AE3698" w:rsidP="00F71263">
            <w:pPr>
              <w:pStyle w:val="Table"/>
              <w:keepLines w:val="0"/>
              <w:widowControl w:val="0"/>
              <w:rPr>
                <w:rFonts w:ascii="Times New Roman" w:hAnsi="Times New Roman"/>
                <w:b/>
                <w:color w:val="000000"/>
                <w:sz w:val="22"/>
                <w:szCs w:val="22"/>
              </w:rPr>
            </w:pPr>
            <w:r w:rsidRPr="00912A5D">
              <w:rPr>
                <w:rFonts w:ascii="Times New Roman" w:hAnsi="Times New Roman"/>
                <w:b/>
                <w:color w:val="000000"/>
                <w:sz w:val="22"/>
                <w:szCs w:val="22"/>
              </w:rPr>
              <w:lastRenderedPageBreak/>
              <w:t>Tutkimus AJP01</w:t>
            </w:r>
          </w:p>
        </w:tc>
        <w:tc>
          <w:tcPr>
            <w:tcW w:w="2652" w:type="dxa"/>
            <w:tcBorders>
              <w:top w:val="single" w:sz="4" w:space="0" w:color="auto"/>
              <w:bottom w:val="single" w:sz="4" w:space="0" w:color="auto"/>
            </w:tcBorders>
          </w:tcPr>
          <w:p w14:paraId="586FC274"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080" w:type="dxa"/>
            <w:tcBorders>
              <w:top w:val="single" w:sz="4" w:space="0" w:color="auto"/>
              <w:bottom w:val="single" w:sz="4" w:space="0" w:color="auto"/>
            </w:tcBorders>
          </w:tcPr>
          <w:p w14:paraId="586FC275"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586FC276"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586FC277" w14:textId="77777777" w:rsidR="00AE3698" w:rsidRPr="00912A5D" w:rsidRDefault="00AE3698" w:rsidP="00F71263">
            <w:pPr>
              <w:pStyle w:val="Table"/>
              <w:keepLines w:val="0"/>
              <w:widowControl w:val="0"/>
              <w:rPr>
                <w:rFonts w:ascii="Times New Roman" w:hAnsi="Times New Roman"/>
                <w:color w:val="000000"/>
                <w:sz w:val="22"/>
                <w:szCs w:val="22"/>
              </w:rPr>
            </w:pPr>
          </w:p>
        </w:tc>
      </w:tr>
      <w:tr w:rsidR="00AE3698" w:rsidRPr="00912A5D" w14:paraId="586FC27E" w14:textId="77777777" w:rsidTr="00F71263">
        <w:trPr>
          <w:cantSplit/>
        </w:trPr>
        <w:tc>
          <w:tcPr>
            <w:tcW w:w="2148" w:type="dxa"/>
            <w:tcBorders>
              <w:top w:val="nil"/>
              <w:bottom w:val="single" w:sz="4" w:space="0" w:color="auto"/>
            </w:tcBorders>
          </w:tcPr>
          <w:p w14:paraId="586FC279" w14:textId="77777777" w:rsidR="00AE3698" w:rsidRPr="00912A5D" w:rsidRDefault="00AE3698" w:rsidP="00F71263">
            <w:pPr>
              <w:pStyle w:val="Table"/>
              <w:keepLines w:val="0"/>
              <w:widowControl w:val="0"/>
              <w:jc w:val="both"/>
              <w:rPr>
                <w:rFonts w:ascii="Times New Roman" w:hAnsi="Times New Roman"/>
                <w:color w:val="000000"/>
                <w:sz w:val="22"/>
                <w:szCs w:val="22"/>
              </w:rPr>
            </w:pPr>
            <w:r w:rsidRPr="00912A5D">
              <w:rPr>
                <w:rFonts w:ascii="Times New Roman" w:hAnsi="Times New Roman"/>
                <w:color w:val="000000"/>
                <w:sz w:val="22"/>
                <w:szCs w:val="22"/>
              </w:rPr>
              <w:t>Induktiohoito</w:t>
            </w:r>
          </w:p>
        </w:tc>
        <w:tc>
          <w:tcPr>
            <w:tcW w:w="6732" w:type="dxa"/>
            <w:gridSpan w:val="4"/>
            <w:tcBorders>
              <w:top w:val="nil"/>
              <w:bottom w:val="single" w:sz="4" w:space="0" w:color="auto"/>
            </w:tcBorders>
          </w:tcPr>
          <w:p w14:paraId="586FC27A" w14:textId="77777777" w:rsidR="00937FA3" w:rsidRDefault="00AE3698" w:rsidP="00F71263">
            <w:pPr>
              <w:pStyle w:val="Table"/>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CP 1,2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(3 h), päivä 1;</w:t>
            </w:r>
          </w:p>
          <w:p w14:paraId="586FC27B" w14:textId="77777777" w:rsidR="00937FA3" w:rsidRDefault="00937FA3" w:rsidP="00F71263">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D</w:t>
            </w:r>
            <w:r w:rsidR="00AE3698" w:rsidRPr="006832FA">
              <w:rPr>
                <w:rFonts w:ascii="Times New Roman" w:hAnsi="Times New Roman"/>
                <w:color w:val="000000"/>
                <w:sz w:val="22"/>
                <w:szCs w:val="22"/>
                <w:lang w:val="fi-FI"/>
              </w:rPr>
              <w:t>aunorubisiini 60 mg/m</w:t>
            </w:r>
            <w:r w:rsidR="00AE3698" w:rsidRPr="006832FA">
              <w:rPr>
                <w:rFonts w:ascii="Times New Roman" w:hAnsi="Times New Roman"/>
                <w:color w:val="000000"/>
                <w:sz w:val="22"/>
                <w:szCs w:val="22"/>
                <w:vertAlign w:val="superscript"/>
                <w:lang w:val="fi-FI"/>
              </w:rPr>
              <w:t>2</w:t>
            </w:r>
            <w:r w:rsidR="00AE3698" w:rsidRPr="006832FA">
              <w:rPr>
                <w:rFonts w:ascii="Times New Roman" w:hAnsi="Times New Roman"/>
                <w:color w:val="000000"/>
                <w:sz w:val="22"/>
                <w:szCs w:val="22"/>
                <w:lang w:val="fi-FI"/>
              </w:rPr>
              <w:t xml:space="preserve"> laskimoon (1 h), päivät 1-3;</w:t>
            </w:r>
          </w:p>
          <w:p w14:paraId="586FC27C" w14:textId="77777777" w:rsidR="00937FA3" w:rsidRDefault="00937FA3" w:rsidP="00F71263">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V</w:t>
            </w:r>
            <w:r w:rsidR="00AE3698" w:rsidRPr="006832FA">
              <w:rPr>
                <w:rFonts w:ascii="Times New Roman" w:hAnsi="Times New Roman"/>
                <w:color w:val="000000"/>
                <w:sz w:val="22"/>
                <w:szCs w:val="22"/>
                <w:lang w:val="fi-FI"/>
              </w:rPr>
              <w:t>inkristiini 1,3 mg/m</w:t>
            </w:r>
            <w:r w:rsidR="00AE3698" w:rsidRPr="006832FA">
              <w:rPr>
                <w:rFonts w:ascii="Times New Roman" w:hAnsi="Times New Roman"/>
                <w:color w:val="000000"/>
                <w:sz w:val="22"/>
                <w:szCs w:val="22"/>
                <w:vertAlign w:val="superscript"/>
                <w:lang w:val="fi-FI"/>
              </w:rPr>
              <w:t>2</w:t>
            </w:r>
            <w:r w:rsidR="00AE3698" w:rsidRPr="006832FA">
              <w:rPr>
                <w:rFonts w:ascii="Times New Roman" w:hAnsi="Times New Roman"/>
                <w:color w:val="000000"/>
                <w:sz w:val="22"/>
                <w:szCs w:val="22"/>
                <w:lang w:val="fi-FI"/>
              </w:rPr>
              <w:t xml:space="preserve"> laskimoon, päivät 1, 8, 15, 21;</w:t>
            </w:r>
          </w:p>
          <w:p w14:paraId="586FC27D" w14:textId="77777777" w:rsidR="00AE3698" w:rsidRPr="006832FA" w:rsidRDefault="00937FA3" w:rsidP="00F71263">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P</w:t>
            </w:r>
            <w:r w:rsidR="00AE3698" w:rsidRPr="006832FA">
              <w:rPr>
                <w:rFonts w:ascii="Times New Roman" w:hAnsi="Times New Roman"/>
                <w:color w:val="000000"/>
                <w:sz w:val="22"/>
                <w:szCs w:val="22"/>
                <w:lang w:val="fi-FI"/>
              </w:rPr>
              <w:t>rednisoloni 60 mg/m</w:t>
            </w:r>
            <w:r w:rsidR="00AE3698" w:rsidRPr="006832FA">
              <w:rPr>
                <w:rFonts w:ascii="Times New Roman" w:hAnsi="Times New Roman"/>
                <w:color w:val="000000"/>
                <w:sz w:val="22"/>
                <w:szCs w:val="22"/>
                <w:vertAlign w:val="superscript"/>
                <w:lang w:val="fi-FI"/>
              </w:rPr>
              <w:t>2</w:t>
            </w:r>
            <w:r w:rsidR="00AE3698" w:rsidRPr="006832FA">
              <w:rPr>
                <w:rFonts w:ascii="Times New Roman" w:hAnsi="Times New Roman"/>
                <w:color w:val="000000"/>
                <w:sz w:val="22"/>
                <w:szCs w:val="22"/>
                <w:lang w:val="fi-FI"/>
              </w:rPr>
              <w:t>/vrk suun kautta</w:t>
            </w:r>
          </w:p>
        </w:tc>
      </w:tr>
      <w:tr w:rsidR="00AE3698" w:rsidRPr="00912A5D" w14:paraId="586FC281" w14:textId="77777777" w:rsidTr="00F71263">
        <w:trPr>
          <w:cantSplit/>
        </w:trPr>
        <w:tc>
          <w:tcPr>
            <w:tcW w:w="2148" w:type="dxa"/>
            <w:tcBorders>
              <w:top w:val="single" w:sz="4" w:space="0" w:color="auto"/>
              <w:bottom w:val="single" w:sz="4" w:space="0" w:color="auto"/>
            </w:tcBorders>
          </w:tcPr>
          <w:p w14:paraId="586FC27F" w14:textId="77777777" w:rsidR="00AE3698" w:rsidRPr="00912A5D" w:rsidRDefault="00AE3698" w:rsidP="00F71263">
            <w:pPr>
              <w:pStyle w:val="Table"/>
              <w:keepLines w:val="0"/>
              <w:widowControl w:val="0"/>
              <w:tabs>
                <w:tab w:val="left" w:pos="0"/>
              </w:tabs>
              <w:rPr>
                <w:rFonts w:ascii="Times New Roman" w:hAnsi="Times New Roman"/>
                <w:color w:val="000000"/>
                <w:sz w:val="22"/>
                <w:szCs w:val="22"/>
              </w:rPr>
            </w:pPr>
            <w:r w:rsidRPr="00912A5D">
              <w:rPr>
                <w:rFonts w:ascii="Times New Roman" w:hAnsi="Times New Roman"/>
                <w:color w:val="000000"/>
                <w:sz w:val="22"/>
                <w:szCs w:val="22"/>
              </w:rPr>
              <w:t>Konsolidaatiohoito</w:t>
            </w:r>
          </w:p>
        </w:tc>
        <w:tc>
          <w:tcPr>
            <w:tcW w:w="6732" w:type="dxa"/>
            <w:gridSpan w:val="4"/>
            <w:tcBorders>
              <w:top w:val="single" w:sz="4" w:space="0" w:color="auto"/>
              <w:bottom w:val="single" w:sz="4" w:space="0" w:color="auto"/>
            </w:tcBorders>
          </w:tcPr>
          <w:p w14:paraId="586FC280" w14:textId="77777777" w:rsidR="00AE3698" w:rsidRPr="00912A5D"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Vuorottainen syöpälääkitys: suuriannoksinen kemoterapia, jossa </w:t>
            </w: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1 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(24 h), päivä 1, ja Ara-C 2 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(12 h välein), päivät 2-3, 4 hoitojaksoa</w:t>
            </w:r>
          </w:p>
        </w:tc>
      </w:tr>
      <w:tr w:rsidR="00AE3698" w:rsidRPr="00912A5D" w14:paraId="586FC285" w14:textId="77777777" w:rsidTr="00F71263">
        <w:trPr>
          <w:cantSplit/>
        </w:trPr>
        <w:tc>
          <w:tcPr>
            <w:tcW w:w="2148" w:type="dxa"/>
            <w:tcBorders>
              <w:top w:val="single" w:sz="4" w:space="0" w:color="auto"/>
              <w:bottom w:val="single" w:sz="4" w:space="0" w:color="auto"/>
            </w:tcBorders>
          </w:tcPr>
          <w:p w14:paraId="586FC282" w14:textId="77777777" w:rsidR="00AE3698" w:rsidRPr="00912A5D" w:rsidRDefault="00AE3698" w:rsidP="00F71263">
            <w:pPr>
              <w:pStyle w:val="Table"/>
              <w:keepNext w:val="0"/>
              <w:keepLines w:val="0"/>
              <w:widowControl w:val="0"/>
              <w:tabs>
                <w:tab w:val="left" w:pos="0"/>
              </w:tabs>
              <w:rPr>
                <w:rFonts w:ascii="Times New Roman" w:hAnsi="Times New Roman"/>
                <w:color w:val="000000"/>
                <w:sz w:val="22"/>
                <w:szCs w:val="22"/>
              </w:rPr>
            </w:pPr>
            <w:r w:rsidRPr="00912A5D">
              <w:rPr>
                <w:rFonts w:ascii="Times New Roman" w:hAnsi="Times New Roman"/>
                <w:color w:val="000000"/>
                <w:sz w:val="22"/>
                <w:szCs w:val="22"/>
              </w:rPr>
              <w:t>Ylläpitohoito</w:t>
            </w:r>
          </w:p>
        </w:tc>
        <w:tc>
          <w:tcPr>
            <w:tcW w:w="6732" w:type="dxa"/>
            <w:gridSpan w:val="4"/>
            <w:tcBorders>
              <w:top w:val="single" w:sz="4" w:space="0" w:color="auto"/>
              <w:bottom w:val="single" w:sz="4" w:space="0" w:color="auto"/>
            </w:tcBorders>
          </w:tcPr>
          <w:p w14:paraId="586FC283" w14:textId="77777777" w:rsidR="00937FA3" w:rsidRDefault="00AE3698" w:rsidP="00F71263">
            <w:pPr>
              <w:pStyle w:val="Table"/>
              <w:keepNext w:val="0"/>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1,3 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 1;</w:t>
            </w:r>
          </w:p>
          <w:p w14:paraId="586FC284" w14:textId="77777777" w:rsidR="00AE3698" w:rsidRPr="00912A5D" w:rsidRDefault="00937FA3" w:rsidP="00F71263">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P</w:t>
            </w:r>
            <w:r w:rsidR="00AE3698" w:rsidRPr="00912A5D">
              <w:rPr>
                <w:rFonts w:ascii="Times New Roman" w:hAnsi="Times New Roman"/>
                <w:color w:val="000000"/>
                <w:sz w:val="22"/>
                <w:szCs w:val="22"/>
                <w:lang w:val="fi-FI"/>
              </w:rPr>
              <w:t>rednisoloni 60 mg/m</w:t>
            </w:r>
            <w:r w:rsidR="00AE3698" w:rsidRPr="00912A5D">
              <w:rPr>
                <w:rFonts w:ascii="Times New Roman" w:hAnsi="Times New Roman"/>
                <w:color w:val="000000"/>
                <w:sz w:val="22"/>
                <w:szCs w:val="22"/>
                <w:vertAlign w:val="superscript"/>
                <w:lang w:val="fi-FI"/>
              </w:rPr>
              <w:t>2</w:t>
            </w:r>
            <w:r w:rsidR="00AE3698" w:rsidRPr="00912A5D">
              <w:rPr>
                <w:rFonts w:ascii="Times New Roman" w:hAnsi="Times New Roman"/>
                <w:color w:val="000000"/>
                <w:sz w:val="22"/>
                <w:szCs w:val="22"/>
                <w:lang w:val="fi-FI"/>
              </w:rPr>
              <w:t xml:space="preserve"> suun kautta, päivät 1-5</w:t>
            </w:r>
          </w:p>
        </w:tc>
      </w:tr>
      <w:tr w:rsidR="00AE3698" w:rsidRPr="00912A5D" w14:paraId="586FC28A" w14:textId="77777777" w:rsidTr="00F71263">
        <w:trPr>
          <w:cantSplit/>
        </w:trPr>
        <w:tc>
          <w:tcPr>
            <w:tcW w:w="4800" w:type="dxa"/>
            <w:gridSpan w:val="2"/>
            <w:tcBorders>
              <w:top w:val="single" w:sz="4" w:space="0" w:color="auto"/>
              <w:bottom w:val="single" w:sz="4" w:space="0" w:color="auto"/>
            </w:tcBorders>
          </w:tcPr>
          <w:p w14:paraId="586FC286"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b/>
                <w:color w:val="000000"/>
                <w:sz w:val="22"/>
                <w:szCs w:val="22"/>
              </w:rPr>
              <w:t>Tutkimus AUS01</w:t>
            </w:r>
          </w:p>
        </w:tc>
        <w:tc>
          <w:tcPr>
            <w:tcW w:w="1080" w:type="dxa"/>
            <w:tcBorders>
              <w:top w:val="single" w:sz="4" w:space="0" w:color="auto"/>
              <w:bottom w:val="single" w:sz="4" w:space="0" w:color="auto"/>
            </w:tcBorders>
          </w:tcPr>
          <w:p w14:paraId="586FC287"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586FC288" w14:textId="77777777" w:rsidR="00AE3698" w:rsidRPr="00912A5D" w:rsidRDefault="00AE3698" w:rsidP="00F71263">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586FC289" w14:textId="77777777" w:rsidR="00AE3698" w:rsidRPr="00912A5D" w:rsidRDefault="00AE3698" w:rsidP="00F71263">
            <w:pPr>
              <w:pStyle w:val="Table"/>
              <w:keepLines w:val="0"/>
              <w:widowControl w:val="0"/>
              <w:rPr>
                <w:rFonts w:ascii="Times New Roman" w:hAnsi="Times New Roman"/>
                <w:color w:val="000000"/>
                <w:sz w:val="22"/>
                <w:szCs w:val="22"/>
              </w:rPr>
            </w:pPr>
          </w:p>
        </w:tc>
      </w:tr>
      <w:tr w:rsidR="00AE3698" w:rsidRPr="00912A5D" w14:paraId="586FC290" w14:textId="77777777" w:rsidTr="00F71263">
        <w:trPr>
          <w:cantSplit/>
        </w:trPr>
        <w:tc>
          <w:tcPr>
            <w:tcW w:w="2148" w:type="dxa"/>
            <w:tcBorders>
              <w:top w:val="single" w:sz="4" w:space="0" w:color="auto"/>
              <w:bottom w:val="single" w:sz="4" w:space="0" w:color="auto"/>
            </w:tcBorders>
          </w:tcPr>
          <w:p w14:paraId="586FC28B"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Induktio- ja konsolidaatiohoito</w:t>
            </w:r>
          </w:p>
        </w:tc>
        <w:tc>
          <w:tcPr>
            <w:tcW w:w="6732" w:type="dxa"/>
            <w:gridSpan w:val="4"/>
            <w:tcBorders>
              <w:top w:val="single" w:sz="4" w:space="0" w:color="auto"/>
              <w:bottom w:val="single" w:sz="4" w:space="0" w:color="auto"/>
            </w:tcBorders>
          </w:tcPr>
          <w:p w14:paraId="586FC28C" w14:textId="77777777" w:rsidR="00937FA3" w:rsidRDefault="00AE3698" w:rsidP="00F71263">
            <w:pPr>
              <w:pStyle w:val="Table"/>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Hyper-CVAD-lääkitys: CP 300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(3 h, 12 h välein), päivät 1-3;</w:t>
            </w:r>
          </w:p>
          <w:p w14:paraId="586FC28D" w14:textId="77777777" w:rsidR="00937FA3" w:rsidRDefault="00937FA3" w:rsidP="00F71263">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V</w:t>
            </w:r>
            <w:r w:rsidR="00AE3698" w:rsidRPr="006832FA">
              <w:rPr>
                <w:rFonts w:ascii="Times New Roman" w:hAnsi="Times New Roman"/>
                <w:color w:val="000000"/>
                <w:sz w:val="22"/>
                <w:szCs w:val="22"/>
                <w:lang w:val="fi-FI"/>
              </w:rPr>
              <w:t>inkristiini 2 mg laskimoon, päivät 4, 11;</w:t>
            </w:r>
          </w:p>
          <w:p w14:paraId="586FC28E" w14:textId="77777777" w:rsidR="00937FA3" w:rsidRDefault="00937FA3" w:rsidP="00F71263">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D</w:t>
            </w:r>
            <w:r w:rsidR="00AE3698" w:rsidRPr="006832FA">
              <w:rPr>
                <w:rFonts w:ascii="Times New Roman" w:hAnsi="Times New Roman"/>
                <w:color w:val="000000"/>
                <w:sz w:val="22"/>
                <w:szCs w:val="22"/>
                <w:lang w:val="fi-FI"/>
              </w:rPr>
              <w:t>oksorubisiini 50 mg/m</w:t>
            </w:r>
            <w:r w:rsidR="00AE3698" w:rsidRPr="006832FA">
              <w:rPr>
                <w:rFonts w:ascii="Times New Roman" w:hAnsi="Times New Roman"/>
                <w:color w:val="000000"/>
                <w:sz w:val="22"/>
                <w:szCs w:val="22"/>
                <w:vertAlign w:val="superscript"/>
                <w:lang w:val="fi-FI"/>
              </w:rPr>
              <w:t>2</w:t>
            </w:r>
            <w:r w:rsidR="00AE3698" w:rsidRPr="006832FA">
              <w:rPr>
                <w:rFonts w:ascii="Times New Roman" w:hAnsi="Times New Roman"/>
                <w:color w:val="000000"/>
                <w:sz w:val="22"/>
                <w:szCs w:val="22"/>
                <w:lang w:val="fi-FI"/>
              </w:rPr>
              <w:t xml:space="preserve"> laskimoon (24 h), päivä 4;</w:t>
            </w:r>
          </w:p>
          <w:p w14:paraId="586FC28F" w14:textId="77777777" w:rsidR="00AE3698" w:rsidRPr="006832FA" w:rsidRDefault="00AE3698" w:rsidP="00F71263">
            <w:pPr>
              <w:pStyle w:val="Table"/>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 xml:space="preserve">DEX 40 mg/vrk päivinä 1-4 ja 11-14, vuorottain seuraavan lääkityksen kanssa: </w:t>
            </w:r>
            <w:smartTag w:uri="urn:schemas-microsoft-com:office:smarttags" w:element="State">
              <w:r w:rsidRPr="006832FA">
                <w:rPr>
                  <w:rFonts w:ascii="Times New Roman" w:hAnsi="Times New Roman"/>
                  <w:color w:val="000000"/>
                  <w:sz w:val="22"/>
                  <w:szCs w:val="22"/>
                  <w:lang w:val="fi-FI"/>
                </w:rPr>
                <w:t>MTX</w:t>
              </w:r>
            </w:smartTag>
            <w:r w:rsidRPr="006832FA">
              <w:rPr>
                <w:rFonts w:ascii="Times New Roman" w:hAnsi="Times New Roman"/>
                <w:color w:val="000000"/>
                <w:sz w:val="22"/>
                <w:szCs w:val="22"/>
                <w:lang w:val="fi-FI"/>
              </w:rPr>
              <w:t xml:space="preserve"> 1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(24 h), päivä 1, Ara-C 1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(2 h, 12 h välein), päivät 2-3 (yhteensä 8 hoitojaksoa)</w:t>
            </w:r>
          </w:p>
        </w:tc>
      </w:tr>
      <w:tr w:rsidR="00AE3698" w:rsidRPr="00912A5D" w14:paraId="586FC294" w14:textId="77777777" w:rsidTr="00F71263">
        <w:trPr>
          <w:cantSplit/>
        </w:trPr>
        <w:tc>
          <w:tcPr>
            <w:tcW w:w="2148" w:type="dxa"/>
            <w:tcBorders>
              <w:top w:val="single" w:sz="4" w:space="0" w:color="auto"/>
              <w:bottom w:val="single" w:sz="4" w:space="0" w:color="auto"/>
            </w:tcBorders>
          </w:tcPr>
          <w:p w14:paraId="586FC291" w14:textId="77777777" w:rsidR="00AE3698" w:rsidRPr="00912A5D" w:rsidRDefault="00AE3698" w:rsidP="00F71263">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Ylläpitohoito</w:t>
            </w:r>
          </w:p>
        </w:tc>
        <w:tc>
          <w:tcPr>
            <w:tcW w:w="6732" w:type="dxa"/>
            <w:gridSpan w:val="4"/>
            <w:tcBorders>
              <w:top w:val="single" w:sz="4" w:space="0" w:color="auto"/>
              <w:bottom w:val="single" w:sz="4" w:space="0" w:color="auto"/>
            </w:tcBorders>
          </w:tcPr>
          <w:p w14:paraId="586FC292" w14:textId="77777777" w:rsidR="00937FA3" w:rsidRDefault="00AE3698" w:rsidP="00F71263">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2 mg laskimoon kerran kuukaudessa 13 kk ajan;</w:t>
            </w:r>
          </w:p>
          <w:p w14:paraId="586FC293" w14:textId="77777777" w:rsidR="00AE3698" w:rsidRPr="00912A5D" w:rsidRDefault="00937FA3" w:rsidP="00F71263">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P</w:t>
            </w:r>
            <w:r w:rsidR="00AE3698" w:rsidRPr="00912A5D">
              <w:rPr>
                <w:rFonts w:ascii="Times New Roman" w:hAnsi="Times New Roman"/>
                <w:color w:val="000000"/>
                <w:sz w:val="22"/>
                <w:szCs w:val="22"/>
                <w:lang w:val="fi-FI"/>
              </w:rPr>
              <w:t>rednisoloni 200 mg suun kautta, 5 vrk/kk 13 kk ajan</w:t>
            </w:r>
          </w:p>
        </w:tc>
      </w:tr>
      <w:tr w:rsidR="00AE3698" w:rsidRPr="00912A5D" w14:paraId="586FC296" w14:textId="77777777" w:rsidTr="00F71263">
        <w:trPr>
          <w:cantSplit/>
        </w:trPr>
        <w:tc>
          <w:tcPr>
            <w:tcW w:w="8880" w:type="dxa"/>
            <w:gridSpan w:val="5"/>
            <w:tcBorders>
              <w:top w:val="single" w:sz="4" w:space="0" w:color="auto"/>
              <w:bottom w:val="single" w:sz="4" w:space="0" w:color="auto"/>
            </w:tcBorders>
          </w:tcPr>
          <w:p w14:paraId="586FC295" w14:textId="77777777" w:rsidR="00AE3698" w:rsidRPr="00912A5D" w:rsidRDefault="00AE3698" w:rsidP="00F71263">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Kaikkiin hoitoihin kuului steroidien anto keskushermostoprofylaksia varten.</w:t>
            </w:r>
          </w:p>
        </w:tc>
      </w:tr>
      <w:tr w:rsidR="00AE3698" w:rsidRPr="00912A5D" w14:paraId="586FC298" w14:textId="77777777" w:rsidTr="00F71263">
        <w:trPr>
          <w:cantSplit/>
        </w:trPr>
        <w:tc>
          <w:tcPr>
            <w:tcW w:w="8880" w:type="dxa"/>
            <w:gridSpan w:val="5"/>
            <w:tcBorders>
              <w:top w:val="single" w:sz="4" w:space="0" w:color="auto"/>
              <w:bottom w:val="single" w:sz="4" w:space="0" w:color="auto"/>
            </w:tcBorders>
          </w:tcPr>
          <w:p w14:paraId="586FC297" w14:textId="77777777" w:rsidR="00AE3698" w:rsidRPr="00912A5D" w:rsidRDefault="00AE3698" w:rsidP="00F71263">
            <w:pPr>
              <w:pStyle w:val="Table"/>
              <w:keepNext w:val="0"/>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Ara-C: sytosiiniarabinosidi; CP: syklofosfamidi; DEX: deksametasoni; </w:t>
            </w: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metotreksaatti; 6-MP: 6-merkaptopuriini; VM26: teniposidi; </w:t>
            </w: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vinkristiini; </w:t>
            </w:r>
            <w:smartTag w:uri="urn:schemas-microsoft-com:office:smarttags" w:element="State">
              <w:r w:rsidRPr="00912A5D">
                <w:rPr>
                  <w:rFonts w:ascii="Times New Roman" w:hAnsi="Times New Roman"/>
                  <w:color w:val="000000"/>
                  <w:sz w:val="22"/>
                  <w:szCs w:val="22"/>
                  <w:lang w:val="fi-FI"/>
                </w:rPr>
                <w:t>IDA</w:t>
              </w:r>
            </w:smartTag>
            <w:r w:rsidRPr="00912A5D">
              <w:rPr>
                <w:rFonts w:ascii="Times New Roman" w:hAnsi="Times New Roman"/>
                <w:color w:val="000000"/>
                <w:sz w:val="22"/>
                <w:szCs w:val="22"/>
                <w:lang w:val="fi-FI"/>
              </w:rPr>
              <w:t>: idarubisiini; i.v.: laskimoon</w:t>
            </w:r>
          </w:p>
        </w:tc>
      </w:tr>
    </w:tbl>
    <w:p w14:paraId="586FC299" w14:textId="77777777" w:rsidR="00AE3698" w:rsidRDefault="00AE3698">
      <w:pPr>
        <w:pStyle w:val="EndnoteText"/>
        <w:widowControl w:val="0"/>
        <w:tabs>
          <w:tab w:val="clear" w:pos="567"/>
        </w:tabs>
        <w:rPr>
          <w:color w:val="000000"/>
          <w:szCs w:val="22"/>
          <w:lang w:val="fi-FI"/>
        </w:rPr>
      </w:pPr>
    </w:p>
    <w:p w14:paraId="586FC29A" w14:textId="77777777" w:rsidR="00DC6660" w:rsidRPr="00396314" w:rsidRDefault="00DC6660" w:rsidP="00DC6660">
      <w:pPr>
        <w:pStyle w:val="EndnoteText"/>
        <w:widowControl w:val="0"/>
        <w:rPr>
          <w:color w:val="000000"/>
          <w:szCs w:val="22"/>
          <w:lang w:val="fi-FI"/>
        </w:rPr>
      </w:pPr>
      <w:r w:rsidRPr="001678D7">
        <w:rPr>
          <w:i/>
          <w:color w:val="000000"/>
          <w:szCs w:val="22"/>
          <w:lang w:val="fi-FI"/>
        </w:rPr>
        <w:t>Pediatriset</w:t>
      </w:r>
      <w:r w:rsidRPr="00396314">
        <w:rPr>
          <w:i/>
          <w:color w:val="000000"/>
          <w:szCs w:val="22"/>
          <w:lang w:val="fi-FI"/>
        </w:rPr>
        <w:t xml:space="preserve"> potilaat</w:t>
      </w:r>
      <w:r w:rsidRPr="00396314">
        <w:rPr>
          <w:color w:val="000000"/>
          <w:szCs w:val="22"/>
          <w:lang w:val="fi-FI"/>
        </w:rPr>
        <w:t>:</w:t>
      </w:r>
      <w:r w:rsidRPr="00396314">
        <w:rPr>
          <w:szCs w:val="22"/>
          <w:lang w:val="fi-FI"/>
        </w:rPr>
        <w:t xml:space="preserve"> </w:t>
      </w:r>
      <w:r w:rsidRPr="00396314">
        <w:rPr>
          <w:color w:val="000000"/>
          <w:szCs w:val="22"/>
          <w:lang w:val="fi-FI"/>
        </w:rPr>
        <w:t>I2301-tutkimuksessa avoimeen, sekventiaalisilla kohorteilla toteutettuun, satunnaistamattomaan, vaiheen III monikeskustutkimukseen otettiin mukaan yhteensä 93 lasta, nuorta ja nuorta aikuista (ikä 1–22 v), joilla oli Ph+ ALL. Potilaat saivat Glivecin (340 mg/m</w:t>
      </w:r>
      <w:r w:rsidRPr="00396314">
        <w:rPr>
          <w:color w:val="000000"/>
          <w:szCs w:val="22"/>
          <w:vertAlign w:val="superscript"/>
          <w:lang w:val="fi-FI"/>
        </w:rPr>
        <w:t>2</w:t>
      </w:r>
      <w:r w:rsidRPr="00396314">
        <w:rPr>
          <w:color w:val="000000"/>
          <w:szCs w:val="22"/>
          <w:lang w:val="fi-FI"/>
        </w:rPr>
        <w:t>/vrk) ja intensiivisen kemoterapian yhdistelmähoitoa induktiohoidon jälkeen. Glivec-hoitoa annettiin jaksottaisesti kohorteissa 1</w:t>
      </w:r>
      <w:r w:rsidRPr="00396314">
        <w:rPr>
          <w:szCs w:val="22"/>
          <w:lang w:val="fi-FI"/>
        </w:rPr>
        <w:noBreakHyphen/>
      </w:r>
      <w:r w:rsidRPr="00396314">
        <w:rPr>
          <w:color w:val="000000"/>
          <w:szCs w:val="22"/>
          <w:lang w:val="fi-FI"/>
        </w:rPr>
        <w:t xml:space="preserve">5. Glivec-hoidon kestoa pidennettiin ja aloittamista aikaistettiin kohorteittain: kohortissa 1 Glivec-hoito oli vähiten intensiivistä ja kohortissa 5 intensiivisintä (ts. jatkuvan, päivittäisen Glivec-hoidon kesto päivinä ensimmäisten kemoterapiahoitojaksojen aikana oli pisin). Kohortin 5 potilailla (n=50) jatkuva, päivittäinen Glivec-altistus hoidon alkuvaiheessa yhdessä kemoterapian kanssa paransi 4 v elossaoloa ilman tapahtumia (69,6 %) verrattuna historiallisiin verrokkeihin (n=120), jotka saivat tavanomaista kemoterapiaa ilman Glivec-hoitoa (31,6 %). Arvioitu 4 v kokonaiselossaolo kohortin 5 potilailla oli 83,6 % verrattuna historiallisiin </w:t>
      </w:r>
      <w:r w:rsidRPr="001678D7">
        <w:rPr>
          <w:color w:val="000000"/>
          <w:szCs w:val="22"/>
          <w:lang w:val="fi-FI"/>
        </w:rPr>
        <w:t>verrokkeihin</w:t>
      </w:r>
      <w:r w:rsidRPr="00396314">
        <w:rPr>
          <w:color w:val="000000"/>
          <w:szCs w:val="22"/>
          <w:lang w:val="fi-FI"/>
        </w:rPr>
        <w:t xml:space="preserve"> (44,8 %). 20 potilasta 50:stä (40 %) sai hematopoieettisen kantasolusiirron kohortissa 5.</w:t>
      </w:r>
    </w:p>
    <w:p w14:paraId="586FC29B" w14:textId="77777777" w:rsidR="00DC6660" w:rsidRPr="00396314" w:rsidRDefault="00DC6660" w:rsidP="00DC6660">
      <w:pPr>
        <w:pStyle w:val="EndnoteText"/>
        <w:widowControl w:val="0"/>
        <w:rPr>
          <w:color w:val="000000"/>
          <w:szCs w:val="22"/>
          <w:lang w:val="fi-FI"/>
        </w:rPr>
      </w:pPr>
    </w:p>
    <w:p w14:paraId="586FC29C" w14:textId="77777777" w:rsidR="00DC6660" w:rsidRPr="00396314" w:rsidRDefault="00DC6660" w:rsidP="00F71263">
      <w:pPr>
        <w:pStyle w:val="EndnoteText"/>
        <w:keepNext/>
        <w:keepLines/>
        <w:widowControl w:val="0"/>
        <w:tabs>
          <w:tab w:val="clear" w:pos="567"/>
        </w:tabs>
        <w:ind w:left="1418" w:hanging="1418"/>
        <w:rPr>
          <w:b/>
          <w:color w:val="000000"/>
          <w:szCs w:val="22"/>
          <w:lang w:val="fi-FI"/>
        </w:rPr>
      </w:pPr>
      <w:r w:rsidRPr="00396314">
        <w:rPr>
          <w:b/>
          <w:color w:val="000000"/>
          <w:szCs w:val="22"/>
          <w:lang w:val="fi-FI"/>
        </w:rPr>
        <w:t>Taulukko </w:t>
      </w:r>
      <w:r w:rsidR="00170AC1">
        <w:rPr>
          <w:b/>
          <w:color w:val="000000"/>
          <w:szCs w:val="22"/>
          <w:lang w:val="fi-FI"/>
        </w:rPr>
        <w:t>5</w:t>
      </w:r>
      <w:r w:rsidRPr="00396314">
        <w:rPr>
          <w:szCs w:val="22"/>
          <w:lang w:val="fi-FI"/>
        </w:rPr>
        <w:tab/>
      </w:r>
      <w:r w:rsidRPr="00396314">
        <w:rPr>
          <w:b/>
          <w:color w:val="000000"/>
          <w:szCs w:val="22"/>
          <w:lang w:val="fi-FI"/>
        </w:rPr>
        <w:t>Yhdistelmähoitona imatinibin kanssa käytetty kemoterapiahoito I2301-tutkimuksessa</w:t>
      </w:r>
    </w:p>
    <w:p w14:paraId="586FC29D" w14:textId="77777777" w:rsidR="00DC6660" w:rsidRPr="00396314" w:rsidRDefault="00DC6660" w:rsidP="00F71263">
      <w:pPr>
        <w:pStyle w:val="EndnoteText"/>
        <w:keepNext/>
        <w:widowControl w:val="0"/>
        <w:rPr>
          <w:color w:val="000000"/>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6716"/>
      </w:tblGrid>
      <w:tr w:rsidR="00DC6660" w:rsidRPr="00396314" w14:paraId="586FC2A6" w14:textId="77777777" w:rsidTr="00F71263">
        <w:trPr>
          <w:cantSplit/>
        </w:trPr>
        <w:tc>
          <w:tcPr>
            <w:tcW w:w="2358" w:type="dxa"/>
            <w:shd w:val="clear" w:color="auto" w:fill="auto"/>
          </w:tcPr>
          <w:p w14:paraId="586FC29E" w14:textId="77777777" w:rsidR="00DC6660" w:rsidRPr="00396314" w:rsidRDefault="00DC6660" w:rsidP="00B22696">
            <w:pPr>
              <w:pStyle w:val="EndnoteText"/>
              <w:widowControl w:val="0"/>
              <w:rPr>
                <w:color w:val="000000"/>
                <w:szCs w:val="22"/>
                <w:lang w:val="fi-FI"/>
              </w:rPr>
            </w:pPr>
            <w:r w:rsidRPr="00396314">
              <w:rPr>
                <w:color w:val="000000"/>
                <w:szCs w:val="22"/>
                <w:lang w:val="fi-FI"/>
              </w:rPr>
              <w:t>Konsolidaatiojakso 1</w:t>
            </w:r>
          </w:p>
          <w:p w14:paraId="586FC29F" w14:textId="77777777" w:rsidR="00DC6660" w:rsidRPr="00396314" w:rsidRDefault="00DC6660" w:rsidP="00B22696">
            <w:pPr>
              <w:pStyle w:val="EndnoteText"/>
              <w:widowControl w:val="0"/>
              <w:rPr>
                <w:color w:val="000000"/>
                <w:szCs w:val="22"/>
                <w:lang w:val="fi-FI"/>
              </w:rPr>
            </w:pPr>
            <w:r w:rsidRPr="00396314">
              <w:rPr>
                <w:color w:val="000000"/>
                <w:szCs w:val="22"/>
                <w:lang w:val="fi-FI"/>
              </w:rPr>
              <w:t>(3 viikkoa)</w:t>
            </w:r>
          </w:p>
        </w:tc>
        <w:tc>
          <w:tcPr>
            <w:tcW w:w="6929" w:type="dxa"/>
            <w:shd w:val="clear" w:color="auto" w:fill="auto"/>
          </w:tcPr>
          <w:p w14:paraId="586FC2A0" w14:textId="77777777" w:rsidR="00DC6660" w:rsidRPr="00396314" w:rsidRDefault="00DC6660" w:rsidP="00B22696">
            <w:pPr>
              <w:pStyle w:val="EndnoteText"/>
              <w:widowControl w:val="0"/>
              <w:rPr>
                <w:color w:val="000000"/>
                <w:szCs w:val="22"/>
                <w:lang w:val="fi-FI"/>
              </w:rPr>
            </w:pPr>
            <w:r w:rsidRPr="00396314">
              <w:rPr>
                <w:color w:val="000000"/>
                <w:szCs w:val="22"/>
                <w:lang w:val="fi-FI"/>
              </w:rPr>
              <w:t>Etoposidi (100 mg/m</w:t>
            </w:r>
            <w:r w:rsidRPr="00396314">
              <w:rPr>
                <w:color w:val="000000"/>
                <w:szCs w:val="22"/>
                <w:vertAlign w:val="superscript"/>
                <w:lang w:val="fi-FI"/>
              </w:rPr>
              <w:t>2</w:t>
            </w:r>
            <w:r w:rsidRPr="00396314">
              <w:rPr>
                <w:color w:val="000000"/>
                <w:szCs w:val="22"/>
                <w:lang w:val="fi-FI"/>
              </w:rPr>
              <w:t>/vrk, laskimoon): päivät 1</w:t>
            </w:r>
            <w:r w:rsidRPr="001678D7">
              <w:rPr>
                <w:szCs w:val="22"/>
                <w:lang w:val="fi-FI"/>
              </w:rPr>
              <w:t>–</w:t>
            </w:r>
            <w:r w:rsidRPr="00396314">
              <w:rPr>
                <w:color w:val="000000"/>
                <w:szCs w:val="22"/>
                <w:lang w:val="fi-FI"/>
              </w:rPr>
              <w:t>5</w:t>
            </w:r>
          </w:p>
          <w:p w14:paraId="586FC2A1" w14:textId="77777777" w:rsidR="00DC6660" w:rsidRPr="00396314" w:rsidRDefault="00DC6660" w:rsidP="00B22696">
            <w:pPr>
              <w:pStyle w:val="EndnoteText"/>
              <w:widowControl w:val="0"/>
              <w:rPr>
                <w:color w:val="000000"/>
                <w:szCs w:val="22"/>
                <w:lang w:val="fi-FI"/>
              </w:rPr>
            </w:pPr>
            <w:r w:rsidRPr="00396314">
              <w:rPr>
                <w:color w:val="000000"/>
                <w:szCs w:val="22"/>
                <w:lang w:val="fi-FI"/>
              </w:rPr>
              <w:t>Ifosfamidi (1,8 g/m</w:t>
            </w:r>
            <w:r w:rsidRPr="00396314">
              <w:rPr>
                <w:color w:val="000000"/>
                <w:szCs w:val="22"/>
                <w:vertAlign w:val="superscript"/>
                <w:lang w:val="fi-FI"/>
              </w:rPr>
              <w:t>2</w:t>
            </w:r>
            <w:r w:rsidRPr="00396314">
              <w:rPr>
                <w:color w:val="000000"/>
                <w:szCs w:val="22"/>
                <w:lang w:val="fi-FI"/>
              </w:rPr>
              <w:t>/vrk, laskimoon): päivät 1</w:t>
            </w:r>
            <w:r w:rsidRPr="001678D7">
              <w:rPr>
                <w:szCs w:val="22"/>
                <w:lang w:val="fi-FI"/>
              </w:rPr>
              <w:t>–</w:t>
            </w:r>
            <w:r w:rsidRPr="00396314">
              <w:rPr>
                <w:color w:val="000000"/>
                <w:szCs w:val="22"/>
                <w:lang w:val="fi-FI"/>
              </w:rPr>
              <w:t>5</w:t>
            </w:r>
          </w:p>
          <w:p w14:paraId="586FC2A2" w14:textId="77777777" w:rsidR="00DC6660" w:rsidRPr="00396314" w:rsidRDefault="00DC6660" w:rsidP="00B22696">
            <w:pPr>
              <w:pStyle w:val="EndnoteText"/>
              <w:widowControl w:val="0"/>
              <w:rPr>
                <w:color w:val="000000"/>
                <w:szCs w:val="22"/>
                <w:lang w:val="fi-FI"/>
              </w:rPr>
            </w:pPr>
            <w:r w:rsidRPr="00396314">
              <w:rPr>
                <w:color w:val="000000"/>
                <w:szCs w:val="22"/>
                <w:lang w:val="fi-FI"/>
              </w:rPr>
              <w:t>MESNA (360 mg/m</w:t>
            </w:r>
            <w:r w:rsidRPr="00396314">
              <w:rPr>
                <w:color w:val="000000"/>
                <w:szCs w:val="22"/>
                <w:vertAlign w:val="superscript"/>
                <w:lang w:val="fi-FI"/>
              </w:rPr>
              <w:t>2</w:t>
            </w:r>
            <w:r w:rsidRPr="00396314">
              <w:rPr>
                <w:color w:val="000000"/>
                <w:szCs w:val="22"/>
                <w:lang w:val="fi-FI"/>
              </w:rPr>
              <w:t>/annos 3 h välein, 8 annosta/vrk, laskimoon): päivät 1</w:t>
            </w:r>
            <w:r w:rsidRPr="001678D7">
              <w:rPr>
                <w:szCs w:val="22"/>
                <w:lang w:val="fi-FI"/>
              </w:rPr>
              <w:t>–</w:t>
            </w:r>
            <w:r w:rsidRPr="00396314">
              <w:rPr>
                <w:color w:val="000000"/>
                <w:szCs w:val="22"/>
                <w:lang w:val="fi-FI"/>
              </w:rPr>
              <w:t>5</w:t>
            </w:r>
          </w:p>
          <w:p w14:paraId="586FC2A3" w14:textId="77777777" w:rsidR="00DC6660" w:rsidRPr="00396314" w:rsidRDefault="00DC6660" w:rsidP="00B22696">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g/kg, ihon alle): päivät 6</w:t>
            </w:r>
            <w:r w:rsidRPr="001678D7">
              <w:rPr>
                <w:szCs w:val="22"/>
                <w:lang w:val="fi-FI"/>
              </w:rPr>
              <w:t>–</w:t>
            </w:r>
            <w:r w:rsidRPr="00396314">
              <w:rPr>
                <w:color w:val="000000"/>
                <w:szCs w:val="22"/>
                <w:lang w:val="fi-FI"/>
              </w:rPr>
              <w:t xml:space="preserve">15 tai kunnes ANC (absoluuttinen neutrofiiliarvo) &gt; 1 500 </w:t>
            </w:r>
            <w:r w:rsidR="004B2127">
              <w:rPr>
                <w:color w:val="000000"/>
                <w:szCs w:val="22"/>
                <w:lang w:val="fi-FI"/>
              </w:rPr>
              <w:t>neutropenian</w:t>
            </w:r>
            <w:r w:rsidRPr="00396314">
              <w:rPr>
                <w:color w:val="000000"/>
                <w:szCs w:val="22"/>
                <w:lang w:val="fi-FI"/>
              </w:rPr>
              <w:t xml:space="preserve"> jälkeen</w:t>
            </w:r>
          </w:p>
          <w:p w14:paraId="586FC2A4" w14:textId="77777777" w:rsidR="00DC6660" w:rsidRPr="00396314" w:rsidRDefault="00DC6660" w:rsidP="00B22696">
            <w:pPr>
              <w:pStyle w:val="EndnoteText"/>
              <w:widowControl w:val="0"/>
              <w:rPr>
                <w:color w:val="000000"/>
                <w:szCs w:val="22"/>
                <w:lang w:val="fi-FI"/>
              </w:rPr>
            </w:pPr>
            <w:r w:rsidRPr="00396314">
              <w:rPr>
                <w:color w:val="000000"/>
                <w:szCs w:val="22"/>
                <w:lang w:val="fi-FI"/>
              </w:rPr>
              <w:t>Intratekaalinen metotreksaatti (mukautettu iän mukaan): VAIN päivä 1</w:t>
            </w:r>
          </w:p>
          <w:p w14:paraId="586FC2A5" w14:textId="77777777" w:rsidR="00DC6660" w:rsidRPr="00396314" w:rsidRDefault="00DC6660" w:rsidP="00B22696">
            <w:pPr>
              <w:pStyle w:val="EndnoteText"/>
              <w:widowControl w:val="0"/>
              <w:rPr>
                <w:color w:val="000000"/>
                <w:szCs w:val="22"/>
                <w:lang w:val="fi-FI"/>
              </w:rPr>
            </w:pPr>
            <w:r w:rsidRPr="00396314">
              <w:rPr>
                <w:color w:val="000000"/>
                <w:szCs w:val="22"/>
                <w:lang w:val="fi-FI"/>
              </w:rPr>
              <w:t>Intratekaalinen kolmoishoito (mukautettu iän mukaan): päivä 8, 15</w:t>
            </w:r>
          </w:p>
        </w:tc>
      </w:tr>
      <w:tr w:rsidR="00DC6660" w:rsidRPr="00396314" w14:paraId="586FC2AE" w14:textId="77777777" w:rsidTr="00F71263">
        <w:trPr>
          <w:cantSplit/>
        </w:trPr>
        <w:tc>
          <w:tcPr>
            <w:tcW w:w="2358" w:type="dxa"/>
            <w:shd w:val="clear" w:color="auto" w:fill="auto"/>
          </w:tcPr>
          <w:p w14:paraId="586FC2A7" w14:textId="77777777" w:rsidR="00DC6660" w:rsidRPr="00396314" w:rsidRDefault="00DC6660" w:rsidP="00B22696">
            <w:pPr>
              <w:pStyle w:val="EndnoteText"/>
              <w:widowControl w:val="0"/>
              <w:rPr>
                <w:color w:val="000000"/>
                <w:szCs w:val="22"/>
                <w:lang w:val="fi-FI"/>
              </w:rPr>
            </w:pPr>
            <w:r w:rsidRPr="00396314">
              <w:rPr>
                <w:color w:val="000000"/>
                <w:szCs w:val="22"/>
                <w:lang w:val="fi-FI"/>
              </w:rPr>
              <w:lastRenderedPageBreak/>
              <w:t>Konsolidaatiojakso 2</w:t>
            </w:r>
          </w:p>
          <w:p w14:paraId="586FC2A8" w14:textId="77777777" w:rsidR="00DC6660" w:rsidRPr="00396314" w:rsidRDefault="00DC6660" w:rsidP="00B22696">
            <w:pPr>
              <w:pStyle w:val="EndnoteText"/>
              <w:widowControl w:val="0"/>
              <w:rPr>
                <w:color w:val="000000"/>
                <w:szCs w:val="22"/>
                <w:lang w:val="fi-FI"/>
              </w:rPr>
            </w:pPr>
            <w:r w:rsidRPr="00396314">
              <w:rPr>
                <w:color w:val="000000"/>
                <w:szCs w:val="22"/>
                <w:lang w:val="fi-FI"/>
              </w:rPr>
              <w:t>(3 viikkoa)</w:t>
            </w:r>
          </w:p>
        </w:tc>
        <w:tc>
          <w:tcPr>
            <w:tcW w:w="6929" w:type="dxa"/>
            <w:shd w:val="clear" w:color="auto" w:fill="auto"/>
          </w:tcPr>
          <w:p w14:paraId="586FC2A9" w14:textId="77777777" w:rsidR="00DC6660" w:rsidRPr="00396314" w:rsidRDefault="00DC6660" w:rsidP="00B22696">
            <w:pPr>
              <w:pStyle w:val="EndnoteText"/>
              <w:widowControl w:val="0"/>
              <w:rPr>
                <w:color w:val="000000"/>
                <w:szCs w:val="22"/>
                <w:lang w:val="fi-FI"/>
              </w:rPr>
            </w:pPr>
            <w:r w:rsidRPr="00396314">
              <w:rPr>
                <w:color w:val="000000"/>
                <w:szCs w:val="22"/>
                <w:lang w:val="fi-FI"/>
              </w:rPr>
              <w:t>Metotreksaatti (5 g/m</w:t>
            </w:r>
            <w:r w:rsidRPr="00396314">
              <w:rPr>
                <w:color w:val="000000"/>
                <w:szCs w:val="22"/>
                <w:vertAlign w:val="superscript"/>
                <w:lang w:val="fi-FI"/>
              </w:rPr>
              <w:t>2</w:t>
            </w:r>
            <w:r w:rsidRPr="00396314">
              <w:rPr>
                <w:color w:val="000000"/>
                <w:szCs w:val="22"/>
                <w:lang w:val="fi-FI"/>
              </w:rPr>
              <w:t xml:space="preserve"> 24 tunnin aikana, laskimoon): päivä 1</w:t>
            </w:r>
          </w:p>
          <w:p w14:paraId="586FC2AA" w14:textId="77777777" w:rsidR="00DC6660" w:rsidRPr="00396314" w:rsidRDefault="00DC6660" w:rsidP="00B22696">
            <w:pPr>
              <w:pStyle w:val="EndnoteText"/>
              <w:widowControl w:val="0"/>
              <w:rPr>
                <w:color w:val="000000"/>
                <w:szCs w:val="22"/>
                <w:lang w:val="fi-FI"/>
              </w:rPr>
            </w:pPr>
            <w:r w:rsidRPr="00396314">
              <w:rPr>
                <w:color w:val="000000"/>
                <w:szCs w:val="22"/>
                <w:lang w:val="fi-FI"/>
              </w:rPr>
              <w:t>Foliinihappo (75 mg/m</w:t>
            </w:r>
            <w:r w:rsidRPr="00396314">
              <w:rPr>
                <w:color w:val="000000"/>
                <w:szCs w:val="22"/>
                <w:vertAlign w:val="superscript"/>
                <w:lang w:val="fi-FI"/>
              </w:rPr>
              <w:t>2</w:t>
            </w:r>
            <w:r w:rsidRPr="00396314">
              <w:rPr>
                <w:color w:val="000000"/>
                <w:szCs w:val="22"/>
                <w:lang w:val="fi-FI"/>
              </w:rPr>
              <w:t xml:space="preserve"> 36 tunnin kohdalla, laskimoon; 15 mg/m</w:t>
            </w:r>
            <w:r w:rsidRPr="00396314">
              <w:rPr>
                <w:color w:val="000000"/>
                <w:szCs w:val="22"/>
                <w:vertAlign w:val="superscript"/>
                <w:lang w:val="fi-FI"/>
              </w:rPr>
              <w:t>2</w:t>
            </w:r>
            <w:r w:rsidRPr="00396314">
              <w:rPr>
                <w:color w:val="000000"/>
                <w:szCs w:val="22"/>
                <w:lang w:val="fi-FI"/>
              </w:rPr>
              <w:t xml:space="preserve"> laskimoon tai suun kautta 6 h välein, 6 annosta)iii: päivät 2 ja 3</w:t>
            </w:r>
          </w:p>
          <w:p w14:paraId="586FC2AB" w14:textId="77777777" w:rsidR="00DC6660" w:rsidRPr="00396314" w:rsidRDefault="00DC6660" w:rsidP="00B22696">
            <w:pPr>
              <w:pStyle w:val="EndnoteText"/>
              <w:widowControl w:val="0"/>
              <w:rPr>
                <w:color w:val="000000"/>
                <w:szCs w:val="22"/>
                <w:lang w:val="fi-FI"/>
              </w:rPr>
            </w:pPr>
            <w:r w:rsidRPr="00396314">
              <w:rPr>
                <w:color w:val="000000"/>
                <w:szCs w:val="22"/>
                <w:lang w:val="fi-FI"/>
              </w:rPr>
              <w:t>Intratekaalinen kolmoishoito (mukautettu iän mukaan): päivä 1</w:t>
            </w:r>
          </w:p>
          <w:p w14:paraId="586FC2AC" w14:textId="77777777" w:rsidR="00DC6660" w:rsidRPr="00396314" w:rsidRDefault="00DC6660" w:rsidP="00B22696">
            <w:pPr>
              <w:pStyle w:val="EndnoteText"/>
              <w:widowControl w:val="0"/>
              <w:rPr>
                <w:color w:val="000000"/>
                <w:szCs w:val="22"/>
                <w:lang w:val="fi-FI"/>
              </w:rPr>
            </w:pPr>
            <w:r w:rsidRPr="00396314">
              <w:rPr>
                <w:color w:val="000000"/>
                <w:szCs w:val="22"/>
                <w:lang w:val="fi-FI"/>
              </w:rPr>
              <w:t>Sytarabiini (3 g/m</w:t>
            </w:r>
            <w:r w:rsidRPr="00396314">
              <w:rPr>
                <w:color w:val="000000"/>
                <w:szCs w:val="22"/>
                <w:vertAlign w:val="superscript"/>
                <w:lang w:val="fi-FI"/>
              </w:rPr>
              <w:t>2</w:t>
            </w:r>
            <w:r w:rsidRPr="00396314">
              <w:rPr>
                <w:color w:val="000000"/>
                <w:szCs w:val="22"/>
                <w:lang w:val="fi-FI"/>
              </w:rPr>
              <w:t>/annos 12 h välein x 4, laskimoon): päivät 2 ja 3</w:t>
            </w:r>
          </w:p>
          <w:p w14:paraId="586FC2AD" w14:textId="77777777" w:rsidR="00DC6660" w:rsidRPr="00396314" w:rsidRDefault="00DC6660" w:rsidP="00B22696">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 xml:space="preserve">g/kg, ihon alle): päivät 4–13 tai kunnes ANC &gt; 1 500 </w:t>
            </w:r>
            <w:r w:rsidR="004B2127">
              <w:rPr>
                <w:color w:val="000000"/>
                <w:szCs w:val="22"/>
                <w:lang w:val="fi-FI"/>
              </w:rPr>
              <w:t>neutropenian</w:t>
            </w:r>
            <w:r w:rsidR="004B2127" w:rsidRPr="00396314">
              <w:rPr>
                <w:color w:val="000000"/>
                <w:szCs w:val="22"/>
                <w:lang w:val="fi-FI"/>
              </w:rPr>
              <w:t xml:space="preserve"> </w:t>
            </w:r>
            <w:r w:rsidRPr="00396314">
              <w:rPr>
                <w:color w:val="000000"/>
                <w:szCs w:val="22"/>
                <w:lang w:val="fi-FI"/>
              </w:rPr>
              <w:t>jälkeen</w:t>
            </w:r>
          </w:p>
        </w:tc>
      </w:tr>
      <w:tr w:rsidR="00DC6660" w:rsidRPr="00396314" w14:paraId="586FC2B8" w14:textId="77777777" w:rsidTr="00F71263">
        <w:trPr>
          <w:cantSplit/>
        </w:trPr>
        <w:tc>
          <w:tcPr>
            <w:tcW w:w="2358" w:type="dxa"/>
            <w:shd w:val="clear" w:color="auto" w:fill="auto"/>
          </w:tcPr>
          <w:p w14:paraId="586FC2AF" w14:textId="77777777" w:rsidR="00DC6660" w:rsidRPr="00396314" w:rsidRDefault="00DC6660" w:rsidP="00B22696">
            <w:pPr>
              <w:pStyle w:val="EndnoteText"/>
              <w:widowControl w:val="0"/>
              <w:rPr>
                <w:color w:val="000000"/>
                <w:szCs w:val="22"/>
                <w:lang w:val="fi-FI"/>
              </w:rPr>
            </w:pPr>
            <w:r w:rsidRPr="00396314">
              <w:rPr>
                <w:color w:val="000000"/>
                <w:szCs w:val="22"/>
                <w:lang w:val="fi-FI"/>
              </w:rPr>
              <w:t>Uudelleeninduktio</w:t>
            </w:r>
            <w:r>
              <w:rPr>
                <w:color w:val="000000"/>
                <w:szCs w:val="22"/>
                <w:lang w:val="fi-FI"/>
              </w:rPr>
              <w:softHyphen/>
            </w:r>
            <w:r w:rsidRPr="00396314">
              <w:rPr>
                <w:color w:val="000000"/>
                <w:szCs w:val="22"/>
                <w:lang w:val="fi-FI"/>
              </w:rPr>
              <w:t>jakso 1</w:t>
            </w:r>
          </w:p>
          <w:p w14:paraId="586FC2B0" w14:textId="77777777" w:rsidR="00DC6660" w:rsidRPr="00396314" w:rsidRDefault="00DC6660" w:rsidP="00B22696">
            <w:pPr>
              <w:pStyle w:val="EndnoteText"/>
              <w:widowControl w:val="0"/>
              <w:rPr>
                <w:color w:val="000000"/>
                <w:szCs w:val="22"/>
                <w:lang w:val="fi-FI"/>
              </w:rPr>
            </w:pPr>
            <w:r w:rsidRPr="00396314">
              <w:rPr>
                <w:color w:val="000000"/>
                <w:szCs w:val="22"/>
                <w:lang w:val="fi-FI"/>
              </w:rPr>
              <w:t>(3 viikkoa)</w:t>
            </w:r>
          </w:p>
        </w:tc>
        <w:tc>
          <w:tcPr>
            <w:tcW w:w="6929" w:type="dxa"/>
            <w:shd w:val="clear" w:color="auto" w:fill="auto"/>
          </w:tcPr>
          <w:p w14:paraId="586FC2B1" w14:textId="77777777" w:rsidR="00DC6660" w:rsidRPr="00396314" w:rsidRDefault="00DC6660" w:rsidP="00B22696">
            <w:pPr>
              <w:pStyle w:val="EndnoteT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/vrk, laskimoon): päivät 1, 8 ja 15</w:t>
            </w:r>
          </w:p>
          <w:p w14:paraId="586FC2B2" w14:textId="77777777" w:rsidR="00DC6660" w:rsidRPr="00396314" w:rsidRDefault="00DC6660" w:rsidP="00B22696">
            <w:pPr>
              <w:pStyle w:val="EndnoteText"/>
              <w:widowControl w:val="0"/>
              <w:rPr>
                <w:color w:val="000000"/>
                <w:szCs w:val="22"/>
                <w:lang w:val="fi-FI"/>
              </w:rPr>
            </w:pPr>
            <w:r w:rsidRPr="00396314">
              <w:rPr>
                <w:color w:val="000000"/>
                <w:szCs w:val="22"/>
                <w:lang w:val="fi-FI"/>
              </w:rPr>
              <w:t>Daunorubisiini (45 mg/m</w:t>
            </w:r>
            <w:r w:rsidRPr="00396314">
              <w:rPr>
                <w:color w:val="000000"/>
                <w:szCs w:val="22"/>
                <w:vertAlign w:val="superscript"/>
                <w:lang w:val="fi-FI"/>
              </w:rPr>
              <w:t>2</w:t>
            </w:r>
            <w:r w:rsidRPr="00396314">
              <w:rPr>
                <w:color w:val="000000"/>
                <w:szCs w:val="22"/>
                <w:lang w:val="fi-FI"/>
              </w:rPr>
              <w:t>/vrk boluksena, laskimoon): päivät 1 ja 2</w:t>
            </w:r>
          </w:p>
          <w:p w14:paraId="586FC2B3" w14:textId="77777777" w:rsidR="00DC6660" w:rsidRPr="00396314" w:rsidRDefault="00DC6660" w:rsidP="00B22696">
            <w:pPr>
              <w:pStyle w:val="EndnoteText"/>
              <w:widowControl w:val="0"/>
              <w:rPr>
                <w:color w:val="000000"/>
                <w:szCs w:val="22"/>
                <w:lang w:val="fi-FI"/>
              </w:rPr>
            </w:pPr>
            <w:r w:rsidRPr="00396314">
              <w:rPr>
                <w:color w:val="000000"/>
                <w:szCs w:val="22"/>
                <w:lang w:val="fi-FI"/>
              </w:rPr>
              <w:t>Syklofosfamidi (250 mg/m</w:t>
            </w:r>
            <w:r w:rsidRPr="00396314">
              <w:rPr>
                <w:color w:val="000000"/>
                <w:szCs w:val="22"/>
                <w:vertAlign w:val="superscript"/>
                <w:lang w:val="fi-FI"/>
              </w:rPr>
              <w:t>2</w:t>
            </w:r>
            <w:r w:rsidRPr="00396314">
              <w:rPr>
                <w:color w:val="000000"/>
                <w:szCs w:val="22"/>
                <w:lang w:val="fi-FI"/>
              </w:rPr>
              <w:t>/annos 12 h välein, 4 annosta, laskimoon): päivät 3 ja 4</w:t>
            </w:r>
          </w:p>
          <w:p w14:paraId="586FC2B4" w14:textId="77777777" w:rsidR="00DC6660" w:rsidRPr="00396314" w:rsidRDefault="00DC6660" w:rsidP="00B22696">
            <w:pPr>
              <w:pStyle w:val="EndnoteText"/>
              <w:widowControl w:val="0"/>
              <w:rPr>
                <w:color w:val="000000"/>
                <w:szCs w:val="22"/>
                <w:lang w:val="fi-FI"/>
              </w:rPr>
            </w:pPr>
            <w:r w:rsidRPr="00396314">
              <w:rPr>
                <w:color w:val="000000"/>
                <w:szCs w:val="22"/>
                <w:lang w:val="fi-FI"/>
              </w:rPr>
              <w:t>PEG-asparaginaasi (2 500 ky/m</w:t>
            </w:r>
            <w:r w:rsidRPr="00396314">
              <w:rPr>
                <w:color w:val="000000"/>
                <w:szCs w:val="22"/>
                <w:vertAlign w:val="superscript"/>
                <w:lang w:val="fi-FI"/>
              </w:rPr>
              <w:t>2</w:t>
            </w:r>
            <w:r w:rsidRPr="00396314">
              <w:rPr>
                <w:color w:val="000000"/>
                <w:szCs w:val="22"/>
                <w:lang w:val="fi-FI"/>
              </w:rPr>
              <w:t>, lihakseen): päivä 4</w:t>
            </w:r>
          </w:p>
          <w:p w14:paraId="586FC2B5" w14:textId="77777777" w:rsidR="00DC6660" w:rsidRPr="00396314" w:rsidRDefault="00DC6660" w:rsidP="00B22696">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g/kg, ihon alle): päivät 5</w:t>
            </w:r>
            <w:r w:rsidRPr="001678D7">
              <w:rPr>
                <w:szCs w:val="22"/>
                <w:lang w:val="fi-FI"/>
              </w:rPr>
              <w:t>–</w:t>
            </w:r>
            <w:r w:rsidRPr="00396314">
              <w:rPr>
                <w:color w:val="000000"/>
                <w:szCs w:val="22"/>
                <w:lang w:val="fi-FI"/>
              </w:rPr>
              <w:t xml:space="preserve">14 tai kunnes ANC &gt; 1 500 </w:t>
            </w:r>
            <w:r w:rsidR="004B2127">
              <w:rPr>
                <w:color w:val="000000"/>
                <w:szCs w:val="22"/>
                <w:lang w:val="fi-FI"/>
              </w:rPr>
              <w:t>neutropenian</w:t>
            </w:r>
            <w:r w:rsidR="004B2127" w:rsidRPr="00396314">
              <w:rPr>
                <w:color w:val="000000"/>
                <w:szCs w:val="22"/>
                <w:lang w:val="fi-FI"/>
              </w:rPr>
              <w:t xml:space="preserve"> </w:t>
            </w:r>
            <w:r w:rsidRPr="00396314">
              <w:rPr>
                <w:color w:val="000000"/>
                <w:szCs w:val="22"/>
                <w:lang w:val="fi-FI"/>
              </w:rPr>
              <w:t>jälkeen</w:t>
            </w:r>
          </w:p>
          <w:p w14:paraId="586FC2B6" w14:textId="77777777" w:rsidR="00DC6660" w:rsidRPr="00396314" w:rsidRDefault="00DC6660" w:rsidP="00B22696">
            <w:pPr>
              <w:pStyle w:val="EndnoteText"/>
              <w:widowControl w:val="0"/>
              <w:rPr>
                <w:color w:val="000000"/>
                <w:szCs w:val="22"/>
                <w:lang w:val="fi-FI"/>
              </w:rPr>
            </w:pPr>
            <w:r w:rsidRPr="00396314">
              <w:rPr>
                <w:color w:val="000000"/>
                <w:szCs w:val="22"/>
                <w:lang w:val="fi-FI"/>
              </w:rPr>
              <w:t>Intratekaalinen kolmoishoito (mukautettu iän mukaan): päivät 1 ja 15</w:t>
            </w:r>
          </w:p>
          <w:p w14:paraId="586FC2B7" w14:textId="77777777" w:rsidR="00DC6660" w:rsidRPr="00396314" w:rsidRDefault="00DC6660" w:rsidP="00B22696">
            <w:pPr>
              <w:pStyle w:val="EndnoteT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7 ja 15</w:t>
            </w:r>
            <w:r w:rsidRPr="001678D7">
              <w:rPr>
                <w:szCs w:val="22"/>
                <w:lang w:val="fi-FI"/>
              </w:rPr>
              <w:t>–</w:t>
            </w:r>
            <w:r w:rsidRPr="00396314">
              <w:rPr>
                <w:color w:val="000000"/>
                <w:szCs w:val="22"/>
                <w:lang w:val="fi-FI"/>
              </w:rPr>
              <w:t>21</w:t>
            </w:r>
          </w:p>
        </w:tc>
      </w:tr>
      <w:tr w:rsidR="00DC6660" w:rsidRPr="00396314" w14:paraId="586FC2C4" w14:textId="77777777" w:rsidTr="00F71263">
        <w:trPr>
          <w:cantSplit/>
        </w:trPr>
        <w:tc>
          <w:tcPr>
            <w:tcW w:w="2358" w:type="dxa"/>
            <w:shd w:val="clear" w:color="auto" w:fill="auto"/>
          </w:tcPr>
          <w:p w14:paraId="586FC2B9" w14:textId="77777777" w:rsidR="00DC6660" w:rsidRPr="00396314" w:rsidRDefault="00DC6660" w:rsidP="00B22696">
            <w:pPr>
              <w:pStyle w:val="EndnoteText"/>
              <w:widowControl w:val="0"/>
              <w:rPr>
                <w:color w:val="000000"/>
                <w:szCs w:val="22"/>
                <w:lang w:val="fi-FI"/>
              </w:rPr>
            </w:pPr>
            <w:r w:rsidRPr="00396314">
              <w:rPr>
                <w:color w:val="000000"/>
                <w:szCs w:val="22"/>
                <w:lang w:val="fi-FI"/>
              </w:rPr>
              <w:t>Tehostusjakso 1</w:t>
            </w:r>
          </w:p>
          <w:p w14:paraId="586FC2BA" w14:textId="77777777" w:rsidR="00DC6660" w:rsidRPr="00396314" w:rsidRDefault="00DC6660" w:rsidP="00B22696">
            <w:pPr>
              <w:pStyle w:val="EndnoteText"/>
              <w:widowControl w:val="0"/>
              <w:rPr>
                <w:color w:val="000000"/>
                <w:szCs w:val="22"/>
                <w:lang w:val="fi-FI"/>
              </w:rPr>
            </w:pPr>
            <w:r w:rsidRPr="00396314">
              <w:rPr>
                <w:color w:val="000000"/>
                <w:szCs w:val="22"/>
                <w:lang w:val="fi-FI"/>
              </w:rPr>
              <w:t>(9 viikkoa)</w:t>
            </w:r>
          </w:p>
        </w:tc>
        <w:tc>
          <w:tcPr>
            <w:tcW w:w="6929" w:type="dxa"/>
            <w:shd w:val="clear" w:color="auto" w:fill="auto"/>
          </w:tcPr>
          <w:p w14:paraId="586FC2BB" w14:textId="77777777" w:rsidR="00DC6660" w:rsidRPr="00396314" w:rsidRDefault="00DC6660" w:rsidP="00B22696">
            <w:pPr>
              <w:pStyle w:val="EndnoteText"/>
              <w:widowControl w:val="0"/>
              <w:rPr>
                <w:color w:val="000000"/>
                <w:szCs w:val="22"/>
                <w:lang w:val="fi-FI"/>
              </w:rPr>
            </w:pPr>
            <w:r w:rsidRPr="00396314">
              <w:rPr>
                <w:color w:val="000000"/>
                <w:szCs w:val="22"/>
                <w:lang w:val="fi-FI"/>
              </w:rPr>
              <w:t>Metotreksaatti (5 g/m</w:t>
            </w:r>
            <w:r w:rsidRPr="00396314">
              <w:rPr>
                <w:color w:val="000000"/>
                <w:szCs w:val="22"/>
                <w:vertAlign w:val="superscript"/>
                <w:lang w:val="fi-FI"/>
              </w:rPr>
              <w:t>2</w:t>
            </w:r>
            <w:r w:rsidRPr="00396314">
              <w:rPr>
                <w:color w:val="000000"/>
                <w:szCs w:val="22"/>
                <w:lang w:val="fi-FI"/>
              </w:rPr>
              <w:t xml:space="preserve"> 24 tunnin aikana, laskimoon): päivät 1 ja 15</w:t>
            </w:r>
          </w:p>
          <w:p w14:paraId="586FC2BC" w14:textId="77777777" w:rsidR="00DC6660" w:rsidRPr="00396314" w:rsidRDefault="00DC6660" w:rsidP="00B22696">
            <w:pPr>
              <w:pStyle w:val="EndnoteText"/>
              <w:widowControl w:val="0"/>
              <w:rPr>
                <w:color w:val="000000"/>
                <w:szCs w:val="22"/>
                <w:lang w:val="fi-FI"/>
              </w:rPr>
            </w:pPr>
            <w:r w:rsidRPr="00396314">
              <w:rPr>
                <w:color w:val="000000"/>
                <w:szCs w:val="22"/>
                <w:lang w:val="fi-FI"/>
              </w:rPr>
              <w:t>Foliinihappo (75 mg/m</w:t>
            </w:r>
            <w:r w:rsidRPr="00396314">
              <w:rPr>
                <w:color w:val="000000"/>
                <w:szCs w:val="22"/>
                <w:vertAlign w:val="superscript"/>
                <w:lang w:val="fi-FI"/>
              </w:rPr>
              <w:t>2</w:t>
            </w:r>
            <w:r w:rsidRPr="00396314">
              <w:rPr>
                <w:color w:val="000000"/>
                <w:szCs w:val="22"/>
                <w:lang w:val="fi-FI"/>
              </w:rPr>
              <w:t xml:space="preserve"> 36 tunnin kohdalla, laskimoon; 15 mg/m</w:t>
            </w:r>
            <w:r w:rsidRPr="00396314">
              <w:rPr>
                <w:color w:val="000000"/>
                <w:szCs w:val="22"/>
                <w:vertAlign w:val="superscript"/>
                <w:lang w:val="fi-FI"/>
              </w:rPr>
              <w:t>2</w:t>
            </w:r>
            <w:r w:rsidRPr="00396314">
              <w:rPr>
                <w:color w:val="000000"/>
                <w:szCs w:val="22"/>
                <w:lang w:val="fi-FI"/>
              </w:rPr>
              <w:t xml:space="preserve"> laskimoon tai suun kautta 6 h välein, 6 annosta)iii: päivät 2, 3, 16 ja 17</w:t>
            </w:r>
          </w:p>
          <w:p w14:paraId="586FC2BD" w14:textId="77777777" w:rsidR="00DC6660" w:rsidRPr="00396314" w:rsidRDefault="00DC6660" w:rsidP="00B22696">
            <w:pPr>
              <w:pStyle w:val="EndnoteText"/>
              <w:widowControl w:val="0"/>
              <w:rPr>
                <w:color w:val="000000"/>
                <w:szCs w:val="22"/>
                <w:lang w:val="fi-FI"/>
              </w:rPr>
            </w:pPr>
            <w:r w:rsidRPr="00396314">
              <w:rPr>
                <w:color w:val="000000"/>
                <w:szCs w:val="22"/>
                <w:lang w:val="fi-FI"/>
              </w:rPr>
              <w:t>Intratekaalinen kolmoishoito (mukautettu iän mukaan): päivät 1 ja 22</w:t>
            </w:r>
          </w:p>
          <w:p w14:paraId="586FC2BE" w14:textId="77777777" w:rsidR="00DC6660" w:rsidRPr="00396314" w:rsidRDefault="00DC6660" w:rsidP="00B22696">
            <w:pPr>
              <w:pStyle w:val="EndnoteText"/>
              <w:widowControl w:val="0"/>
              <w:rPr>
                <w:color w:val="000000"/>
                <w:szCs w:val="22"/>
                <w:lang w:val="fi-FI"/>
              </w:rPr>
            </w:pPr>
            <w:r w:rsidRPr="00396314">
              <w:rPr>
                <w:color w:val="000000"/>
                <w:szCs w:val="22"/>
                <w:lang w:val="fi-FI"/>
              </w:rPr>
              <w:t>Etoposidi (100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2BF" w14:textId="77777777" w:rsidR="00DC6660" w:rsidRPr="00396314" w:rsidRDefault="00DC6660" w:rsidP="00B22696">
            <w:pPr>
              <w:pStyle w:val="EndnoteText"/>
              <w:widowControl w:val="0"/>
              <w:rPr>
                <w:color w:val="000000"/>
                <w:szCs w:val="22"/>
                <w:lang w:val="fi-FI"/>
              </w:rPr>
            </w:pPr>
            <w:r w:rsidRPr="00396314">
              <w:rPr>
                <w:color w:val="000000"/>
                <w:szCs w:val="22"/>
                <w:lang w:val="fi-FI"/>
              </w:rPr>
              <w:t>Syklofosfamidi (300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2C0" w14:textId="77777777" w:rsidR="00DC6660" w:rsidRPr="00396314" w:rsidRDefault="00DC6660" w:rsidP="00B22696">
            <w:pPr>
              <w:pStyle w:val="EndnoteText"/>
              <w:widowControl w:val="0"/>
              <w:rPr>
                <w:color w:val="000000"/>
                <w:szCs w:val="22"/>
                <w:lang w:val="fi-FI"/>
              </w:rPr>
            </w:pPr>
            <w:r w:rsidRPr="00396314">
              <w:rPr>
                <w:color w:val="000000"/>
                <w:szCs w:val="22"/>
                <w:lang w:val="fi-FI"/>
              </w:rPr>
              <w:t>MESNA (150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2C1" w14:textId="77777777" w:rsidR="00DC6660" w:rsidRPr="00396314" w:rsidRDefault="00DC6660" w:rsidP="00B22696">
            <w:pPr>
              <w:pStyle w:val="EndnoteText"/>
              <w:widowControl w:val="0"/>
              <w:rPr>
                <w:color w:val="000000"/>
                <w:szCs w:val="22"/>
                <w:lang w:val="fi-FI"/>
              </w:rPr>
            </w:pPr>
            <w:r w:rsidRPr="00396314">
              <w:rPr>
                <w:color w:val="000000"/>
                <w:szCs w:val="22"/>
                <w:lang w:val="fi-FI"/>
              </w:rPr>
              <w:t xml:space="preserve">Granulosyyttikasvutekijä </w:t>
            </w:r>
            <w:r w:rsidRPr="001678D7">
              <w:rPr>
                <w:color w:val="000000"/>
                <w:szCs w:val="22"/>
                <w:lang w:val="fi-FI"/>
              </w:rPr>
              <w:t>(5 µg/kg, ihon alle): päivät 27–</w:t>
            </w:r>
            <w:r w:rsidRPr="00396314">
              <w:rPr>
                <w:color w:val="000000"/>
                <w:szCs w:val="22"/>
                <w:lang w:val="fi-FI"/>
              </w:rPr>
              <w:t xml:space="preserve">36 tai kunnes ANC &gt; 1 500 </w:t>
            </w:r>
            <w:r w:rsidR="004B2127">
              <w:rPr>
                <w:color w:val="000000"/>
                <w:szCs w:val="22"/>
                <w:lang w:val="fi-FI"/>
              </w:rPr>
              <w:t>neutropenian</w:t>
            </w:r>
            <w:r w:rsidR="004B2127" w:rsidRPr="00396314">
              <w:rPr>
                <w:color w:val="000000"/>
                <w:szCs w:val="22"/>
                <w:lang w:val="fi-FI"/>
              </w:rPr>
              <w:t xml:space="preserve"> </w:t>
            </w:r>
            <w:r w:rsidRPr="00396314">
              <w:rPr>
                <w:color w:val="000000"/>
                <w:szCs w:val="22"/>
                <w:lang w:val="fi-FI"/>
              </w:rPr>
              <w:t>jälkeen</w:t>
            </w:r>
          </w:p>
          <w:p w14:paraId="586FC2C2" w14:textId="77777777" w:rsidR="00DC6660" w:rsidRPr="00396314" w:rsidRDefault="00DC6660" w:rsidP="00B22696">
            <w:pPr>
              <w:pStyle w:val="EndnoteText"/>
              <w:widowControl w:val="0"/>
              <w:rPr>
                <w:color w:val="000000"/>
                <w:szCs w:val="22"/>
                <w:lang w:val="fi-FI"/>
              </w:rPr>
            </w:pPr>
            <w:r w:rsidRPr="00396314">
              <w:rPr>
                <w:color w:val="000000"/>
                <w:szCs w:val="22"/>
                <w:lang w:val="fi-FI"/>
              </w:rPr>
              <w:t>Sytarabiini (3 g/m</w:t>
            </w:r>
            <w:r w:rsidRPr="00396314">
              <w:rPr>
                <w:color w:val="000000"/>
                <w:szCs w:val="22"/>
                <w:vertAlign w:val="superscript"/>
                <w:lang w:val="fi-FI"/>
              </w:rPr>
              <w:t>2</w:t>
            </w:r>
            <w:r w:rsidRPr="00396314">
              <w:rPr>
                <w:color w:val="000000"/>
                <w:szCs w:val="22"/>
                <w:lang w:val="fi-FI"/>
              </w:rPr>
              <w:t>, 12 h välein, laskimoon): päivät 43, 44</w:t>
            </w:r>
          </w:p>
          <w:p w14:paraId="586FC2C3" w14:textId="77777777" w:rsidR="00DC6660" w:rsidRPr="00396314" w:rsidRDefault="00DC6660" w:rsidP="00B22696">
            <w:pPr>
              <w:pStyle w:val="EndnoteText"/>
              <w:widowControl w:val="0"/>
              <w:rPr>
                <w:color w:val="000000"/>
                <w:szCs w:val="22"/>
                <w:lang w:val="fi-FI"/>
              </w:rPr>
            </w:pPr>
            <w:r w:rsidRPr="00396314">
              <w:rPr>
                <w:color w:val="000000"/>
                <w:szCs w:val="22"/>
                <w:lang w:val="fi-FI"/>
              </w:rPr>
              <w:t>L-asparaginaasi (6 000 ky/m</w:t>
            </w:r>
            <w:r w:rsidRPr="00396314">
              <w:rPr>
                <w:color w:val="000000"/>
                <w:szCs w:val="22"/>
                <w:vertAlign w:val="superscript"/>
                <w:lang w:val="fi-FI"/>
              </w:rPr>
              <w:t>2</w:t>
            </w:r>
            <w:r w:rsidRPr="00396314">
              <w:rPr>
                <w:color w:val="000000"/>
                <w:szCs w:val="22"/>
                <w:lang w:val="fi-FI"/>
              </w:rPr>
              <w:t>, lihakseen): päivä 44</w:t>
            </w:r>
          </w:p>
        </w:tc>
      </w:tr>
      <w:tr w:rsidR="00DC6660" w:rsidRPr="00396314" w14:paraId="586FC2CE" w14:textId="77777777" w:rsidTr="00F71263">
        <w:trPr>
          <w:cantSplit/>
        </w:trPr>
        <w:tc>
          <w:tcPr>
            <w:tcW w:w="2358" w:type="dxa"/>
            <w:shd w:val="clear" w:color="auto" w:fill="auto"/>
          </w:tcPr>
          <w:p w14:paraId="586FC2C5" w14:textId="77777777" w:rsidR="00DC6660" w:rsidRPr="00396314" w:rsidRDefault="00DC6660" w:rsidP="00B22696">
            <w:pPr>
              <w:pStyle w:val="EndnoteText"/>
              <w:widowControl w:val="0"/>
              <w:rPr>
                <w:color w:val="000000"/>
                <w:szCs w:val="22"/>
                <w:lang w:val="fi-FI"/>
              </w:rPr>
            </w:pPr>
            <w:r w:rsidRPr="00396314">
              <w:rPr>
                <w:color w:val="000000"/>
                <w:szCs w:val="22"/>
                <w:lang w:val="fi-FI"/>
              </w:rPr>
              <w:t>Uudelleeninduktio</w:t>
            </w:r>
            <w:r>
              <w:rPr>
                <w:color w:val="000000"/>
                <w:szCs w:val="22"/>
                <w:lang w:val="fi-FI"/>
              </w:rPr>
              <w:softHyphen/>
            </w:r>
            <w:r w:rsidRPr="00396314">
              <w:rPr>
                <w:color w:val="000000"/>
                <w:szCs w:val="22"/>
                <w:lang w:val="fi-FI"/>
              </w:rPr>
              <w:t>jakso 2</w:t>
            </w:r>
          </w:p>
          <w:p w14:paraId="586FC2C6" w14:textId="77777777" w:rsidR="00DC6660" w:rsidRPr="00396314" w:rsidRDefault="00DC6660" w:rsidP="00B22696">
            <w:pPr>
              <w:pStyle w:val="EndnoteText"/>
              <w:widowControl w:val="0"/>
              <w:rPr>
                <w:color w:val="000000"/>
                <w:szCs w:val="22"/>
                <w:lang w:val="fi-FI"/>
              </w:rPr>
            </w:pPr>
            <w:r w:rsidRPr="00396314">
              <w:rPr>
                <w:color w:val="000000"/>
                <w:szCs w:val="22"/>
                <w:lang w:val="fi-FI"/>
              </w:rPr>
              <w:t>(3 viikkoa)</w:t>
            </w:r>
          </w:p>
        </w:tc>
        <w:tc>
          <w:tcPr>
            <w:tcW w:w="6929" w:type="dxa"/>
            <w:shd w:val="clear" w:color="auto" w:fill="auto"/>
          </w:tcPr>
          <w:p w14:paraId="586FC2C7" w14:textId="77777777" w:rsidR="00DC6660" w:rsidRPr="00396314" w:rsidRDefault="00DC6660" w:rsidP="00B22696">
            <w:pPr>
              <w:pStyle w:val="EndnoteT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/vrk, laskimoon): päivät 1, 8 ja 15</w:t>
            </w:r>
          </w:p>
          <w:p w14:paraId="586FC2C8" w14:textId="77777777" w:rsidR="00DC6660" w:rsidRPr="00396314" w:rsidRDefault="00DC6660" w:rsidP="00B22696">
            <w:pPr>
              <w:pStyle w:val="EndnoteText"/>
              <w:widowControl w:val="0"/>
              <w:rPr>
                <w:color w:val="000000"/>
                <w:szCs w:val="22"/>
                <w:lang w:val="fi-FI"/>
              </w:rPr>
            </w:pPr>
            <w:r w:rsidRPr="00396314">
              <w:rPr>
                <w:color w:val="000000"/>
                <w:szCs w:val="22"/>
                <w:lang w:val="fi-FI"/>
              </w:rPr>
              <w:t>Daunorubisiini (45 mg/m</w:t>
            </w:r>
            <w:r w:rsidRPr="00396314">
              <w:rPr>
                <w:color w:val="000000"/>
                <w:szCs w:val="22"/>
                <w:vertAlign w:val="superscript"/>
                <w:lang w:val="fi-FI"/>
              </w:rPr>
              <w:t>2</w:t>
            </w:r>
            <w:r w:rsidRPr="00396314">
              <w:rPr>
                <w:color w:val="000000"/>
                <w:szCs w:val="22"/>
                <w:lang w:val="fi-FI"/>
              </w:rPr>
              <w:t>/vrk boluksena, laskimoon): päivät 1 ja 2</w:t>
            </w:r>
          </w:p>
          <w:p w14:paraId="586FC2C9" w14:textId="77777777" w:rsidR="00DC6660" w:rsidRPr="00396314" w:rsidRDefault="00DC6660" w:rsidP="00B22696">
            <w:pPr>
              <w:pStyle w:val="EndnoteText"/>
              <w:widowControl w:val="0"/>
              <w:rPr>
                <w:color w:val="000000"/>
                <w:szCs w:val="22"/>
                <w:lang w:val="fi-FI"/>
              </w:rPr>
            </w:pPr>
            <w:r w:rsidRPr="00396314">
              <w:rPr>
                <w:color w:val="000000"/>
                <w:szCs w:val="22"/>
                <w:lang w:val="fi-FI"/>
              </w:rPr>
              <w:t>Syklofosfamidi (250 mg/m</w:t>
            </w:r>
            <w:r w:rsidRPr="00396314">
              <w:rPr>
                <w:color w:val="000000"/>
                <w:szCs w:val="22"/>
                <w:vertAlign w:val="superscript"/>
                <w:lang w:val="fi-FI"/>
              </w:rPr>
              <w:t>2</w:t>
            </w:r>
            <w:r w:rsidRPr="00396314">
              <w:rPr>
                <w:color w:val="000000"/>
                <w:szCs w:val="22"/>
                <w:lang w:val="fi-FI"/>
              </w:rPr>
              <w:t>/annos 12 h välein, 4 annosta, laskimoon): päivät 3 ja 4</w:t>
            </w:r>
          </w:p>
          <w:p w14:paraId="586FC2CA" w14:textId="77777777" w:rsidR="00DC6660" w:rsidRPr="00396314" w:rsidRDefault="00DC6660" w:rsidP="00B22696">
            <w:pPr>
              <w:pStyle w:val="EndnoteText"/>
              <w:widowControl w:val="0"/>
              <w:rPr>
                <w:color w:val="000000"/>
                <w:szCs w:val="22"/>
                <w:lang w:val="fi-FI"/>
              </w:rPr>
            </w:pPr>
            <w:r w:rsidRPr="00396314">
              <w:rPr>
                <w:color w:val="000000"/>
                <w:szCs w:val="22"/>
                <w:lang w:val="fi-FI"/>
              </w:rPr>
              <w:t>PEG-asparaginaasi (2 500 ky/m</w:t>
            </w:r>
            <w:r w:rsidRPr="00396314">
              <w:rPr>
                <w:color w:val="000000"/>
                <w:szCs w:val="22"/>
                <w:vertAlign w:val="superscript"/>
                <w:lang w:val="fi-FI"/>
              </w:rPr>
              <w:t>2</w:t>
            </w:r>
            <w:r w:rsidRPr="00396314">
              <w:rPr>
                <w:color w:val="000000"/>
                <w:szCs w:val="22"/>
                <w:lang w:val="fi-FI"/>
              </w:rPr>
              <w:t>, lihakseen): päivä 4</w:t>
            </w:r>
          </w:p>
          <w:p w14:paraId="586FC2CB" w14:textId="77777777" w:rsidR="00DC6660" w:rsidRPr="00396314" w:rsidRDefault="00DC6660" w:rsidP="00B22696">
            <w:pPr>
              <w:pStyle w:val="EndnoteText"/>
              <w:widowControl w:val="0"/>
              <w:rPr>
                <w:color w:val="000000"/>
                <w:szCs w:val="22"/>
                <w:lang w:val="fi-FI"/>
              </w:rPr>
            </w:pPr>
            <w:r w:rsidRPr="00396314">
              <w:rPr>
                <w:color w:val="000000"/>
                <w:szCs w:val="22"/>
                <w:lang w:val="fi-FI"/>
              </w:rPr>
              <w:t>Granulosyyttikasvutekijä</w:t>
            </w:r>
            <w:r w:rsidRPr="001678D7">
              <w:rPr>
                <w:color w:val="000000"/>
                <w:szCs w:val="22"/>
                <w:lang w:val="fi-FI"/>
              </w:rPr>
              <w:t xml:space="preserve"> (5 µg/kg, ihon alle): päivät 5–</w:t>
            </w:r>
            <w:r w:rsidRPr="00396314">
              <w:rPr>
                <w:color w:val="000000"/>
                <w:szCs w:val="22"/>
                <w:lang w:val="fi-FI"/>
              </w:rPr>
              <w:t xml:space="preserve">14 tai kunnes ANC &gt; 1 500 </w:t>
            </w:r>
            <w:r w:rsidR="004B2127">
              <w:rPr>
                <w:color w:val="000000"/>
                <w:szCs w:val="22"/>
                <w:lang w:val="fi-FI"/>
              </w:rPr>
              <w:t>neutropenian</w:t>
            </w:r>
            <w:r w:rsidR="004B2127" w:rsidRPr="00396314">
              <w:rPr>
                <w:color w:val="000000"/>
                <w:szCs w:val="22"/>
                <w:lang w:val="fi-FI"/>
              </w:rPr>
              <w:t xml:space="preserve"> </w:t>
            </w:r>
            <w:r w:rsidRPr="00396314">
              <w:rPr>
                <w:color w:val="000000"/>
                <w:szCs w:val="22"/>
                <w:lang w:val="fi-FI"/>
              </w:rPr>
              <w:t>jälkeen</w:t>
            </w:r>
          </w:p>
          <w:p w14:paraId="586FC2CC" w14:textId="77777777" w:rsidR="00DC6660" w:rsidRPr="00396314" w:rsidRDefault="00DC6660" w:rsidP="00B22696">
            <w:pPr>
              <w:pStyle w:val="EndnoteText"/>
              <w:widowControl w:val="0"/>
              <w:rPr>
                <w:color w:val="000000"/>
                <w:szCs w:val="22"/>
                <w:lang w:val="fi-FI"/>
              </w:rPr>
            </w:pPr>
            <w:r w:rsidRPr="00396314">
              <w:rPr>
                <w:color w:val="000000"/>
                <w:szCs w:val="22"/>
                <w:lang w:val="fi-FI"/>
              </w:rPr>
              <w:t>Intratekaalinen kolmoishoito (mukautettu iän mukaan): päivät 1 ja 15</w:t>
            </w:r>
          </w:p>
          <w:p w14:paraId="586FC2CD" w14:textId="77777777" w:rsidR="00DC6660" w:rsidRPr="00396314" w:rsidRDefault="00DC6660" w:rsidP="00B22696">
            <w:pPr>
              <w:pStyle w:val="EndnoteT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7 ja 15</w:t>
            </w:r>
            <w:r w:rsidRPr="001678D7">
              <w:rPr>
                <w:szCs w:val="22"/>
                <w:lang w:val="fi-FI"/>
              </w:rPr>
              <w:t>–</w:t>
            </w:r>
            <w:r w:rsidRPr="00396314">
              <w:rPr>
                <w:color w:val="000000"/>
                <w:szCs w:val="22"/>
                <w:lang w:val="fi-FI"/>
              </w:rPr>
              <w:t>21</w:t>
            </w:r>
          </w:p>
        </w:tc>
      </w:tr>
      <w:tr w:rsidR="00DC6660" w:rsidRPr="00396314" w14:paraId="586FC2DA" w14:textId="77777777" w:rsidTr="00F71263">
        <w:trPr>
          <w:cantSplit/>
        </w:trPr>
        <w:tc>
          <w:tcPr>
            <w:tcW w:w="2358" w:type="dxa"/>
            <w:shd w:val="clear" w:color="auto" w:fill="auto"/>
          </w:tcPr>
          <w:p w14:paraId="586FC2CF" w14:textId="77777777" w:rsidR="00DC6660" w:rsidRPr="00396314" w:rsidRDefault="00DC6660" w:rsidP="00B22696">
            <w:pPr>
              <w:pStyle w:val="EndnoteText"/>
              <w:widowControl w:val="0"/>
              <w:rPr>
                <w:color w:val="000000"/>
                <w:szCs w:val="22"/>
                <w:lang w:val="fi-FI"/>
              </w:rPr>
            </w:pPr>
            <w:r w:rsidRPr="00396314">
              <w:rPr>
                <w:color w:val="000000"/>
                <w:szCs w:val="22"/>
                <w:lang w:val="fi-FI"/>
              </w:rPr>
              <w:t>Tehostusjakso 2</w:t>
            </w:r>
          </w:p>
          <w:p w14:paraId="586FC2D0" w14:textId="77777777" w:rsidR="00DC6660" w:rsidRPr="00396314" w:rsidRDefault="00DC6660" w:rsidP="00B22696">
            <w:pPr>
              <w:pStyle w:val="EndnoteText"/>
              <w:widowControl w:val="0"/>
              <w:rPr>
                <w:color w:val="000000"/>
                <w:szCs w:val="22"/>
                <w:lang w:val="fi-FI"/>
              </w:rPr>
            </w:pPr>
            <w:r w:rsidRPr="00396314">
              <w:rPr>
                <w:color w:val="000000"/>
                <w:szCs w:val="22"/>
                <w:lang w:val="fi-FI"/>
              </w:rPr>
              <w:t>(9 viikkoa)</w:t>
            </w:r>
          </w:p>
        </w:tc>
        <w:tc>
          <w:tcPr>
            <w:tcW w:w="6929" w:type="dxa"/>
            <w:shd w:val="clear" w:color="auto" w:fill="auto"/>
          </w:tcPr>
          <w:p w14:paraId="586FC2D1" w14:textId="77777777" w:rsidR="00DC6660" w:rsidRPr="00396314" w:rsidRDefault="00DC6660" w:rsidP="00B22696">
            <w:pPr>
              <w:pStyle w:val="EndnoteText"/>
              <w:widowControl w:val="0"/>
              <w:rPr>
                <w:color w:val="000000"/>
                <w:szCs w:val="22"/>
                <w:lang w:val="fi-FI"/>
              </w:rPr>
            </w:pPr>
            <w:r w:rsidRPr="00396314">
              <w:rPr>
                <w:color w:val="000000"/>
                <w:szCs w:val="22"/>
                <w:lang w:val="fi-FI"/>
              </w:rPr>
              <w:t>Metotreksaatti (5 g/m</w:t>
            </w:r>
            <w:r w:rsidRPr="00396314">
              <w:rPr>
                <w:color w:val="000000"/>
                <w:szCs w:val="22"/>
                <w:vertAlign w:val="superscript"/>
                <w:lang w:val="fi-FI"/>
              </w:rPr>
              <w:t>2</w:t>
            </w:r>
            <w:r w:rsidRPr="00396314">
              <w:rPr>
                <w:color w:val="000000"/>
                <w:szCs w:val="22"/>
                <w:lang w:val="fi-FI"/>
              </w:rPr>
              <w:t xml:space="preserve"> 24 tunnin aikana, laskimoon): päivät 1 ja 15</w:t>
            </w:r>
          </w:p>
          <w:p w14:paraId="586FC2D2" w14:textId="77777777" w:rsidR="00DC6660" w:rsidRPr="00396314" w:rsidRDefault="00DC6660" w:rsidP="00B22696">
            <w:pPr>
              <w:pStyle w:val="EndnoteText"/>
              <w:widowControl w:val="0"/>
              <w:rPr>
                <w:color w:val="000000"/>
                <w:szCs w:val="22"/>
                <w:lang w:val="fi-FI"/>
              </w:rPr>
            </w:pPr>
            <w:r w:rsidRPr="00396314">
              <w:rPr>
                <w:color w:val="000000"/>
                <w:szCs w:val="22"/>
                <w:lang w:val="fi-FI"/>
              </w:rPr>
              <w:t>Foliinihappo (75 mg/m</w:t>
            </w:r>
            <w:r w:rsidRPr="00396314">
              <w:rPr>
                <w:color w:val="000000"/>
                <w:szCs w:val="22"/>
                <w:vertAlign w:val="superscript"/>
                <w:lang w:val="fi-FI"/>
              </w:rPr>
              <w:t>2</w:t>
            </w:r>
            <w:r w:rsidRPr="00396314">
              <w:rPr>
                <w:color w:val="000000"/>
                <w:szCs w:val="22"/>
                <w:lang w:val="fi-FI"/>
              </w:rPr>
              <w:t xml:space="preserve"> 36 tunnin kohdalla, laskimoon; 15 mg/m</w:t>
            </w:r>
            <w:r w:rsidRPr="00396314">
              <w:rPr>
                <w:color w:val="000000"/>
                <w:szCs w:val="22"/>
                <w:vertAlign w:val="superscript"/>
                <w:lang w:val="fi-FI"/>
              </w:rPr>
              <w:t>2</w:t>
            </w:r>
            <w:r w:rsidRPr="00396314">
              <w:rPr>
                <w:color w:val="000000"/>
                <w:szCs w:val="22"/>
                <w:lang w:val="fi-FI"/>
              </w:rPr>
              <w:t xml:space="preserve"> laskimoon tai suun kautta 6 h välein, 6 annosta)iii: päivät 2, 3, 16 ja 17</w:t>
            </w:r>
          </w:p>
          <w:p w14:paraId="586FC2D3" w14:textId="77777777" w:rsidR="00DC6660" w:rsidRPr="00396314" w:rsidRDefault="00DC6660" w:rsidP="00B22696">
            <w:pPr>
              <w:pStyle w:val="EndnoteText"/>
              <w:widowControl w:val="0"/>
              <w:rPr>
                <w:color w:val="000000"/>
                <w:szCs w:val="22"/>
                <w:lang w:val="fi-FI"/>
              </w:rPr>
            </w:pPr>
            <w:r w:rsidRPr="00396314">
              <w:rPr>
                <w:color w:val="000000"/>
                <w:szCs w:val="22"/>
                <w:lang w:val="fi-FI"/>
              </w:rPr>
              <w:t>Intratekaalinen kolmoishoito (mukautettu iän mukaan): päivät 1 ja 22</w:t>
            </w:r>
          </w:p>
          <w:p w14:paraId="586FC2D4" w14:textId="77777777" w:rsidR="00DC6660" w:rsidRPr="00396314" w:rsidRDefault="00DC6660" w:rsidP="00B22696">
            <w:pPr>
              <w:pStyle w:val="EndnoteText"/>
              <w:widowControl w:val="0"/>
              <w:rPr>
                <w:color w:val="000000"/>
                <w:szCs w:val="22"/>
                <w:lang w:val="fi-FI"/>
              </w:rPr>
            </w:pPr>
            <w:r w:rsidRPr="00396314">
              <w:rPr>
                <w:color w:val="000000"/>
                <w:szCs w:val="22"/>
                <w:lang w:val="fi-FI"/>
              </w:rPr>
              <w:t>Etoposidi (100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2D5" w14:textId="77777777" w:rsidR="00DC6660" w:rsidRPr="00396314" w:rsidRDefault="00DC6660" w:rsidP="00B22696">
            <w:pPr>
              <w:pStyle w:val="EndnoteText"/>
              <w:widowControl w:val="0"/>
              <w:rPr>
                <w:color w:val="000000"/>
                <w:szCs w:val="22"/>
                <w:lang w:val="fi-FI"/>
              </w:rPr>
            </w:pPr>
            <w:r w:rsidRPr="00396314">
              <w:rPr>
                <w:color w:val="000000"/>
                <w:szCs w:val="22"/>
                <w:lang w:val="fi-FI"/>
              </w:rPr>
              <w:t>Syklofosfamidi (300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2D6" w14:textId="77777777" w:rsidR="00DC6660" w:rsidRPr="00396314" w:rsidRDefault="00DC6660" w:rsidP="00B22696">
            <w:pPr>
              <w:pStyle w:val="EndnoteText"/>
              <w:widowControl w:val="0"/>
              <w:rPr>
                <w:color w:val="000000"/>
                <w:szCs w:val="22"/>
                <w:lang w:val="fi-FI"/>
              </w:rPr>
            </w:pPr>
            <w:r w:rsidRPr="00396314">
              <w:rPr>
                <w:color w:val="000000"/>
                <w:szCs w:val="22"/>
                <w:lang w:val="fi-FI"/>
              </w:rPr>
              <w:t>MESNA (150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2D7" w14:textId="77777777" w:rsidR="00DC6660" w:rsidRPr="00396314" w:rsidRDefault="00DC6660" w:rsidP="00B22696">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g/kg, ihon alle): päivät 27</w:t>
            </w:r>
            <w:r w:rsidRPr="001678D7">
              <w:rPr>
                <w:szCs w:val="22"/>
                <w:lang w:val="fi-FI"/>
              </w:rPr>
              <w:t>–</w:t>
            </w:r>
            <w:r w:rsidRPr="00396314">
              <w:rPr>
                <w:color w:val="000000"/>
                <w:szCs w:val="22"/>
                <w:lang w:val="fi-FI"/>
              </w:rPr>
              <w:t xml:space="preserve">36 tai kunnes ANC &gt; 1 500 </w:t>
            </w:r>
            <w:r w:rsidR="004B2127">
              <w:rPr>
                <w:color w:val="000000"/>
                <w:szCs w:val="22"/>
                <w:lang w:val="fi-FI"/>
              </w:rPr>
              <w:t>neutropenian</w:t>
            </w:r>
            <w:r w:rsidR="004B2127" w:rsidRPr="00396314">
              <w:rPr>
                <w:color w:val="000000"/>
                <w:szCs w:val="22"/>
                <w:lang w:val="fi-FI"/>
              </w:rPr>
              <w:t xml:space="preserve"> </w:t>
            </w:r>
            <w:r w:rsidRPr="00396314">
              <w:rPr>
                <w:color w:val="000000"/>
                <w:szCs w:val="22"/>
                <w:lang w:val="fi-FI"/>
              </w:rPr>
              <w:t>jälkeen</w:t>
            </w:r>
          </w:p>
          <w:p w14:paraId="586FC2D8" w14:textId="77777777" w:rsidR="00DC6660" w:rsidRPr="00396314" w:rsidRDefault="00DC6660" w:rsidP="00B22696">
            <w:pPr>
              <w:pStyle w:val="EndnoteText"/>
              <w:widowControl w:val="0"/>
              <w:rPr>
                <w:color w:val="000000"/>
                <w:szCs w:val="22"/>
                <w:lang w:val="fi-FI"/>
              </w:rPr>
            </w:pPr>
            <w:r w:rsidRPr="00396314">
              <w:rPr>
                <w:color w:val="000000"/>
                <w:szCs w:val="22"/>
                <w:lang w:val="fi-FI"/>
              </w:rPr>
              <w:t>Sytarabiini (3 g/m</w:t>
            </w:r>
            <w:r w:rsidRPr="00396314">
              <w:rPr>
                <w:color w:val="000000"/>
                <w:szCs w:val="22"/>
                <w:vertAlign w:val="superscript"/>
                <w:lang w:val="fi-FI"/>
              </w:rPr>
              <w:t>2</w:t>
            </w:r>
            <w:r w:rsidRPr="00396314">
              <w:rPr>
                <w:color w:val="000000"/>
                <w:szCs w:val="22"/>
                <w:lang w:val="fi-FI"/>
              </w:rPr>
              <w:t>, 12 h välein, laskimoon): päivät 43, 44</w:t>
            </w:r>
          </w:p>
          <w:p w14:paraId="586FC2D9" w14:textId="77777777" w:rsidR="00DC6660" w:rsidRPr="00396314" w:rsidRDefault="00DC6660" w:rsidP="00B22696">
            <w:pPr>
              <w:pStyle w:val="EndnoteText"/>
              <w:widowControl w:val="0"/>
              <w:rPr>
                <w:color w:val="000000"/>
                <w:szCs w:val="22"/>
                <w:lang w:val="fi-FI"/>
              </w:rPr>
            </w:pPr>
            <w:r w:rsidRPr="00396314">
              <w:rPr>
                <w:color w:val="000000"/>
                <w:szCs w:val="22"/>
                <w:lang w:val="fi-FI"/>
              </w:rPr>
              <w:t>L-asparaginaasi (6 000 ky/m</w:t>
            </w:r>
            <w:r w:rsidRPr="00396314">
              <w:rPr>
                <w:color w:val="000000"/>
                <w:szCs w:val="22"/>
                <w:vertAlign w:val="superscript"/>
                <w:lang w:val="fi-FI"/>
              </w:rPr>
              <w:t>2</w:t>
            </w:r>
            <w:r w:rsidRPr="00396314">
              <w:rPr>
                <w:color w:val="000000"/>
                <w:szCs w:val="22"/>
                <w:lang w:val="fi-FI"/>
              </w:rPr>
              <w:t>, lihakseen): päivä 44</w:t>
            </w:r>
          </w:p>
        </w:tc>
      </w:tr>
      <w:tr w:rsidR="00DC6660" w:rsidRPr="00396314" w14:paraId="586FC2E9" w14:textId="77777777" w:rsidTr="00F71263">
        <w:trPr>
          <w:cantSplit/>
        </w:trPr>
        <w:tc>
          <w:tcPr>
            <w:tcW w:w="2358" w:type="dxa"/>
            <w:shd w:val="clear" w:color="auto" w:fill="auto"/>
          </w:tcPr>
          <w:p w14:paraId="586FC2DB" w14:textId="77777777" w:rsidR="00DC6660" w:rsidRPr="00396314" w:rsidRDefault="00DC6660" w:rsidP="00B22696">
            <w:pPr>
              <w:pStyle w:val="EndnoteText"/>
              <w:widowControl w:val="0"/>
              <w:rPr>
                <w:color w:val="000000"/>
                <w:szCs w:val="22"/>
                <w:lang w:val="fi-FI"/>
              </w:rPr>
            </w:pPr>
            <w:r w:rsidRPr="00396314">
              <w:rPr>
                <w:color w:val="000000"/>
                <w:szCs w:val="22"/>
                <w:lang w:val="fi-FI"/>
              </w:rPr>
              <w:lastRenderedPageBreak/>
              <w:t>Ylläpito</w:t>
            </w:r>
          </w:p>
          <w:p w14:paraId="586FC2DC" w14:textId="77777777" w:rsidR="00DC6660" w:rsidRPr="00396314" w:rsidRDefault="00DC6660" w:rsidP="00B22696">
            <w:pPr>
              <w:pStyle w:val="EndnoteText"/>
              <w:widowControl w:val="0"/>
              <w:rPr>
                <w:color w:val="000000"/>
                <w:szCs w:val="22"/>
                <w:lang w:val="fi-FI"/>
              </w:rPr>
            </w:pPr>
            <w:r w:rsidRPr="00396314">
              <w:rPr>
                <w:color w:val="000000"/>
                <w:szCs w:val="22"/>
                <w:lang w:val="fi-FI"/>
              </w:rPr>
              <w:t>(8 viikon hoitojaksot)</w:t>
            </w:r>
          </w:p>
          <w:p w14:paraId="586FC2DD" w14:textId="77777777" w:rsidR="00DC6660" w:rsidRPr="00396314" w:rsidRDefault="00DC6660" w:rsidP="00B22696">
            <w:pPr>
              <w:pStyle w:val="EndnoteText"/>
              <w:widowControl w:val="0"/>
              <w:rPr>
                <w:color w:val="000000"/>
                <w:szCs w:val="22"/>
                <w:lang w:val="fi-FI"/>
              </w:rPr>
            </w:pPr>
            <w:r w:rsidRPr="00396314">
              <w:rPr>
                <w:color w:val="000000"/>
                <w:szCs w:val="22"/>
                <w:lang w:val="fi-FI"/>
              </w:rPr>
              <w:t>Hoitojaksot 1–4</w:t>
            </w:r>
          </w:p>
        </w:tc>
        <w:tc>
          <w:tcPr>
            <w:tcW w:w="6929" w:type="dxa"/>
            <w:shd w:val="clear" w:color="auto" w:fill="auto"/>
          </w:tcPr>
          <w:p w14:paraId="586FC2DE" w14:textId="77777777" w:rsidR="00DC6660" w:rsidRPr="00396314" w:rsidRDefault="00DC6660" w:rsidP="00B22696">
            <w:pPr>
              <w:pStyle w:val="EndnoteText"/>
              <w:widowControl w:val="0"/>
              <w:rPr>
                <w:color w:val="000000"/>
                <w:szCs w:val="22"/>
                <w:lang w:val="fi-FI"/>
              </w:rPr>
            </w:pPr>
            <w:r w:rsidRPr="00396314">
              <w:rPr>
                <w:color w:val="000000"/>
                <w:szCs w:val="22"/>
                <w:lang w:val="fi-FI"/>
              </w:rPr>
              <w:t>Metotreksaatti (5 g/m</w:t>
            </w:r>
            <w:r w:rsidRPr="00396314">
              <w:rPr>
                <w:color w:val="000000"/>
                <w:szCs w:val="22"/>
                <w:vertAlign w:val="superscript"/>
                <w:lang w:val="fi-FI"/>
              </w:rPr>
              <w:t>2</w:t>
            </w:r>
            <w:r w:rsidRPr="00396314">
              <w:rPr>
                <w:color w:val="000000"/>
                <w:szCs w:val="22"/>
                <w:lang w:val="fi-FI"/>
              </w:rPr>
              <w:t xml:space="preserve"> 24 tunnin aikana, laskimoon): päivä 1</w:t>
            </w:r>
          </w:p>
          <w:p w14:paraId="586FC2DF" w14:textId="77777777" w:rsidR="00DC6660" w:rsidRPr="00396314" w:rsidRDefault="00DC6660" w:rsidP="00B22696">
            <w:pPr>
              <w:pStyle w:val="EndnoteText"/>
              <w:widowControl w:val="0"/>
              <w:rPr>
                <w:color w:val="000000"/>
                <w:szCs w:val="22"/>
                <w:lang w:val="fi-FI"/>
              </w:rPr>
            </w:pPr>
            <w:r w:rsidRPr="00396314">
              <w:rPr>
                <w:color w:val="000000"/>
                <w:szCs w:val="22"/>
                <w:lang w:val="fi-FI"/>
              </w:rPr>
              <w:t>Foliinihappo (75 mg/m</w:t>
            </w:r>
            <w:r w:rsidRPr="00396314">
              <w:rPr>
                <w:color w:val="000000"/>
                <w:szCs w:val="22"/>
                <w:vertAlign w:val="superscript"/>
                <w:lang w:val="fi-FI"/>
              </w:rPr>
              <w:t>2</w:t>
            </w:r>
            <w:r w:rsidRPr="00396314">
              <w:rPr>
                <w:color w:val="000000"/>
                <w:szCs w:val="22"/>
                <w:lang w:val="fi-FI"/>
              </w:rPr>
              <w:t xml:space="preserve"> 36 tunnin kohdalla, laskimoon; 15 mg/m</w:t>
            </w:r>
            <w:r w:rsidRPr="00396314">
              <w:rPr>
                <w:color w:val="000000"/>
                <w:szCs w:val="22"/>
                <w:vertAlign w:val="superscript"/>
                <w:lang w:val="fi-FI"/>
              </w:rPr>
              <w:t>2</w:t>
            </w:r>
            <w:r w:rsidRPr="00396314">
              <w:rPr>
                <w:color w:val="000000"/>
                <w:szCs w:val="22"/>
                <w:lang w:val="fi-FI"/>
              </w:rPr>
              <w:t xml:space="preserve"> laskimoon tai suun kautta 6 h välein, 6 annosta)iii: päivät 2 ja 3</w:t>
            </w:r>
          </w:p>
          <w:p w14:paraId="586FC2E0" w14:textId="77777777" w:rsidR="00DC6660" w:rsidRPr="00396314" w:rsidRDefault="00DC6660" w:rsidP="00B22696">
            <w:pPr>
              <w:pStyle w:val="EndnoteText"/>
              <w:widowControl w:val="0"/>
              <w:rPr>
                <w:color w:val="000000"/>
                <w:szCs w:val="22"/>
                <w:lang w:val="fi-FI"/>
              </w:rPr>
            </w:pPr>
            <w:r w:rsidRPr="00396314">
              <w:rPr>
                <w:color w:val="000000"/>
                <w:szCs w:val="22"/>
                <w:lang w:val="fi-FI"/>
              </w:rPr>
              <w:t>Intratekaalinen kolmoishoito (mukautettu iän mukaan): päivät 1, 29</w:t>
            </w:r>
          </w:p>
          <w:p w14:paraId="586FC2E1" w14:textId="77777777" w:rsidR="00DC6660" w:rsidRPr="00396314" w:rsidRDefault="00DC6660" w:rsidP="00B22696">
            <w:pPr>
              <w:pStyle w:val="EndnoteT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 laskimoon): päivät 1, 29</w:t>
            </w:r>
          </w:p>
          <w:p w14:paraId="586FC2E2" w14:textId="77777777" w:rsidR="00DC6660" w:rsidRPr="00396314" w:rsidRDefault="00DC6660" w:rsidP="00B22696">
            <w:pPr>
              <w:pStyle w:val="EndnoteT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5; 29</w:t>
            </w:r>
            <w:r w:rsidRPr="001678D7">
              <w:rPr>
                <w:szCs w:val="22"/>
                <w:lang w:val="fi-FI"/>
              </w:rPr>
              <w:t>–</w:t>
            </w:r>
            <w:r w:rsidRPr="00396314">
              <w:rPr>
                <w:color w:val="000000"/>
                <w:szCs w:val="22"/>
                <w:lang w:val="fi-FI"/>
              </w:rPr>
              <w:t>33</w:t>
            </w:r>
          </w:p>
          <w:p w14:paraId="586FC2E3" w14:textId="77777777" w:rsidR="00DC6660" w:rsidRPr="00396314" w:rsidRDefault="00DC6660" w:rsidP="00B22696">
            <w:pPr>
              <w:pStyle w:val="EndnoteText"/>
              <w:widowControl w:val="0"/>
              <w:rPr>
                <w:color w:val="000000"/>
                <w:szCs w:val="22"/>
                <w:lang w:val="fi-FI"/>
              </w:rPr>
            </w:pPr>
            <w:r w:rsidRPr="00396314">
              <w:rPr>
                <w:color w:val="000000"/>
                <w:szCs w:val="22"/>
                <w:lang w:val="fi-FI"/>
              </w:rPr>
              <w:t>6-merkaptopuriini (75 mg/m</w:t>
            </w:r>
            <w:r w:rsidRPr="00396314">
              <w:rPr>
                <w:color w:val="000000"/>
                <w:szCs w:val="22"/>
                <w:vertAlign w:val="superscript"/>
                <w:lang w:val="fi-FI"/>
              </w:rPr>
              <w:t>2</w:t>
            </w:r>
            <w:r w:rsidRPr="00396314">
              <w:rPr>
                <w:color w:val="000000"/>
                <w:szCs w:val="22"/>
                <w:lang w:val="fi-FI"/>
              </w:rPr>
              <w:t>/vrk, suun kautta): päivät 8–28</w:t>
            </w:r>
          </w:p>
          <w:p w14:paraId="586FC2E4" w14:textId="77777777" w:rsidR="00DC6660" w:rsidRPr="00396314" w:rsidRDefault="00DC6660" w:rsidP="00B22696">
            <w:pPr>
              <w:pStyle w:val="EndnoteText"/>
              <w:widowControl w:val="0"/>
              <w:rPr>
                <w:color w:val="000000"/>
                <w:szCs w:val="22"/>
                <w:lang w:val="fi-FI"/>
              </w:rPr>
            </w:pPr>
            <w:r w:rsidRPr="00396314">
              <w:rPr>
                <w:color w:val="000000"/>
                <w:szCs w:val="22"/>
                <w:lang w:val="fi-FI"/>
              </w:rPr>
              <w:t>Metotreksaatti (20 mg/m</w:t>
            </w:r>
            <w:r w:rsidRPr="00396314">
              <w:rPr>
                <w:color w:val="000000"/>
                <w:szCs w:val="22"/>
                <w:vertAlign w:val="superscript"/>
                <w:lang w:val="fi-FI"/>
              </w:rPr>
              <w:t>2</w:t>
            </w:r>
            <w:r w:rsidRPr="00396314">
              <w:rPr>
                <w:color w:val="000000"/>
                <w:szCs w:val="22"/>
                <w:lang w:val="fi-FI"/>
              </w:rPr>
              <w:t>/vrk, suun kautta): päivät 8, 15, 22</w:t>
            </w:r>
          </w:p>
          <w:p w14:paraId="586FC2E5" w14:textId="77777777" w:rsidR="00DC6660" w:rsidRPr="00396314" w:rsidRDefault="00DC6660" w:rsidP="00B22696">
            <w:pPr>
              <w:pStyle w:val="EndnoteText"/>
              <w:widowControl w:val="0"/>
              <w:rPr>
                <w:color w:val="000000"/>
                <w:szCs w:val="22"/>
                <w:lang w:val="fi-FI"/>
              </w:rPr>
            </w:pPr>
            <w:r w:rsidRPr="00396314">
              <w:rPr>
                <w:color w:val="000000"/>
                <w:szCs w:val="22"/>
                <w:lang w:val="fi-FI"/>
              </w:rPr>
              <w:t>Etoposidi (100 mg/m</w:t>
            </w:r>
            <w:r w:rsidRPr="00396314">
              <w:rPr>
                <w:color w:val="000000"/>
                <w:szCs w:val="22"/>
                <w:vertAlign w:val="superscript"/>
                <w:lang w:val="fi-FI"/>
              </w:rPr>
              <w:t>2</w:t>
            </w:r>
            <w:r w:rsidRPr="00396314">
              <w:rPr>
                <w:color w:val="000000"/>
                <w:szCs w:val="22"/>
                <w:lang w:val="fi-FI"/>
              </w:rPr>
              <w:t>, laskimoon): päivät 29</w:t>
            </w:r>
            <w:r w:rsidRPr="001678D7">
              <w:rPr>
                <w:szCs w:val="22"/>
                <w:lang w:val="fi-FI"/>
              </w:rPr>
              <w:t>–</w:t>
            </w:r>
            <w:r w:rsidRPr="00396314">
              <w:rPr>
                <w:color w:val="000000"/>
                <w:szCs w:val="22"/>
                <w:lang w:val="fi-FI"/>
              </w:rPr>
              <w:t>33</w:t>
            </w:r>
          </w:p>
          <w:p w14:paraId="586FC2E6" w14:textId="77777777" w:rsidR="00DC6660" w:rsidRPr="00396314" w:rsidRDefault="00DC6660" w:rsidP="00B22696">
            <w:pPr>
              <w:pStyle w:val="EndnoteText"/>
              <w:widowControl w:val="0"/>
              <w:rPr>
                <w:color w:val="000000"/>
                <w:szCs w:val="22"/>
                <w:lang w:val="fi-FI"/>
              </w:rPr>
            </w:pPr>
            <w:r w:rsidRPr="00396314">
              <w:rPr>
                <w:color w:val="000000"/>
                <w:szCs w:val="22"/>
                <w:lang w:val="fi-FI"/>
              </w:rPr>
              <w:t>Syklofosfamidi (300 mg/m</w:t>
            </w:r>
            <w:r w:rsidRPr="00396314">
              <w:rPr>
                <w:color w:val="000000"/>
                <w:szCs w:val="22"/>
                <w:vertAlign w:val="superscript"/>
                <w:lang w:val="fi-FI"/>
              </w:rPr>
              <w:t>2</w:t>
            </w:r>
            <w:r w:rsidRPr="00396314">
              <w:rPr>
                <w:color w:val="000000"/>
                <w:szCs w:val="22"/>
                <w:lang w:val="fi-FI"/>
              </w:rPr>
              <w:t>, laskimoon): päivät 29</w:t>
            </w:r>
            <w:r w:rsidRPr="001678D7">
              <w:rPr>
                <w:szCs w:val="22"/>
                <w:lang w:val="fi-FI"/>
              </w:rPr>
              <w:t>–</w:t>
            </w:r>
            <w:r w:rsidRPr="00396314">
              <w:rPr>
                <w:color w:val="000000"/>
                <w:szCs w:val="22"/>
                <w:lang w:val="fi-FI"/>
              </w:rPr>
              <w:t>33</w:t>
            </w:r>
          </w:p>
          <w:p w14:paraId="586FC2E7" w14:textId="77777777" w:rsidR="00DC6660" w:rsidRPr="00396314" w:rsidRDefault="00DC6660" w:rsidP="00B22696">
            <w:pPr>
              <w:pStyle w:val="EndnoteText"/>
              <w:widowControl w:val="0"/>
              <w:rPr>
                <w:color w:val="000000"/>
                <w:szCs w:val="22"/>
                <w:lang w:val="fi-FI"/>
              </w:rPr>
            </w:pPr>
            <w:r w:rsidRPr="00396314">
              <w:rPr>
                <w:color w:val="000000"/>
                <w:szCs w:val="22"/>
                <w:lang w:val="fi-FI"/>
              </w:rPr>
              <w:t>MESNA laskimoon, päivät 29</w:t>
            </w:r>
            <w:r w:rsidRPr="001678D7">
              <w:rPr>
                <w:szCs w:val="22"/>
                <w:lang w:val="fi-FI"/>
              </w:rPr>
              <w:t>–</w:t>
            </w:r>
            <w:r w:rsidRPr="00396314">
              <w:rPr>
                <w:color w:val="000000"/>
                <w:szCs w:val="22"/>
                <w:lang w:val="fi-FI"/>
              </w:rPr>
              <w:t>33</w:t>
            </w:r>
          </w:p>
          <w:p w14:paraId="586FC2E8" w14:textId="77777777" w:rsidR="00DC6660" w:rsidRPr="00396314" w:rsidRDefault="00DC6660" w:rsidP="00B22696">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g/kg, ihon alle): päivät 34</w:t>
            </w:r>
            <w:r w:rsidRPr="001678D7">
              <w:rPr>
                <w:szCs w:val="22"/>
                <w:lang w:val="fi-FI"/>
              </w:rPr>
              <w:t>–</w:t>
            </w:r>
            <w:r w:rsidRPr="00396314">
              <w:rPr>
                <w:color w:val="000000"/>
                <w:szCs w:val="22"/>
                <w:lang w:val="fi-FI"/>
              </w:rPr>
              <w:t>43</w:t>
            </w:r>
          </w:p>
        </w:tc>
      </w:tr>
      <w:tr w:rsidR="00DC6660" w:rsidRPr="00396314" w14:paraId="586FC2F4" w14:textId="77777777" w:rsidTr="00F71263">
        <w:trPr>
          <w:cantSplit/>
        </w:trPr>
        <w:tc>
          <w:tcPr>
            <w:tcW w:w="2358" w:type="dxa"/>
            <w:shd w:val="clear" w:color="auto" w:fill="auto"/>
          </w:tcPr>
          <w:p w14:paraId="586FC2EA" w14:textId="77777777" w:rsidR="00DC6660" w:rsidRPr="00396314" w:rsidRDefault="00DC6660" w:rsidP="00B22696">
            <w:pPr>
              <w:pStyle w:val="EndnoteText"/>
              <w:widowControl w:val="0"/>
              <w:rPr>
                <w:color w:val="000000"/>
                <w:szCs w:val="22"/>
                <w:lang w:val="fi-FI"/>
              </w:rPr>
            </w:pPr>
            <w:r w:rsidRPr="00396314">
              <w:rPr>
                <w:color w:val="000000"/>
                <w:szCs w:val="22"/>
                <w:lang w:val="fi-FI"/>
              </w:rPr>
              <w:t>Ylläpito</w:t>
            </w:r>
          </w:p>
          <w:p w14:paraId="586FC2EB" w14:textId="77777777" w:rsidR="00DC6660" w:rsidRPr="00396314" w:rsidRDefault="00DC6660" w:rsidP="00B22696">
            <w:pPr>
              <w:pStyle w:val="EndnoteText"/>
              <w:widowControl w:val="0"/>
              <w:rPr>
                <w:color w:val="000000"/>
                <w:szCs w:val="22"/>
                <w:lang w:val="fi-FI"/>
              </w:rPr>
            </w:pPr>
            <w:r w:rsidRPr="00396314">
              <w:rPr>
                <w:color w:val="000000"/>
                <w:szCs w:val="22"/>
                <w:lang w:val="fi-FI"/>
              </w:rPr>
              <w:t>(8 viikon hoitojaksot)</w:t>
            </w:r>
          </w:p>
          <w:p w14:paraId="586FC2EC" w14:textId="77777777" w:rsidR="00DC6660" w:rsidRPr="00396314" w:rsidRDefault="00DC6660" w:rsidP="00B22696">
            <w:pPr>
              <w:pStyle w:val="EndnoteText"/>
              <w:widowControl w:val="0"/>
              <w:rPr>
                <w:color w:val="000000"/>
                <w:szCs w:val="22"/>
                <w:lang w:val="fi-FI"/>
              </w:rPr>
            </w:pPr>
            <w:r w:rsidRPr="00396314">
              <w:rPr>
                <w:color w:val="000000"/>
                <w:szCs w:val="22"/>
                <w:lang w:val="fi-FI"/>
              </w:rPr>
              <w:t>Hoitojakso 5</w:t>
            </w:r>
          </w:p>
        </w:tc>
        <w:tc>
          <w:tcPr>
            <w:tcW w:w="6929" w:type="dxa"/>
            <w:shd w:val="clear" w:color="auto" w:fill="auto"/>
          </w:tcPr>
          <w:p w14:paraId="586FC2ED" w14:textId="77777777" w:rsidR="00DC6660" w:rsidRPr="00396314" w:rsidRDefault="00DC6660" w:rsidP="00B22696">
            <w:pPr>
              <w:pStyle w:val="EndnoteText"/>
              <w:widowControl w:val="0"/>
              <w:rPr>
                <w:color w:val="000000"/>
                <w:szCs w:val="22"/>
                <w:lang w:val="fi-FI"/>
              </w:rPr>
            </w:pPr>
            <w:r w:rsidRPr="00396314">
              <w:rPr>
                <w:color w:val="000000"/>
                <w:szCs w:val="22"/>
                <w:lang w:val="fi-FI"/>
              </w:rPr>
              <w:t>Pään sädehoito (vain jakso 5)</w:t>
            </w:r>
          </w:p>
          <w:p w14:paraId="586FC2EE" w14:textId="77777777" w:rsidR="00DC6660" w:rsidRPr="00396314" w:rsidRDefault="00DC6660" w:rsidP="00B22696">
            <w:pPr>
              <w:pStyle w:val="EndnoteText"/>
              <w:widowControl w:val="0"/>
              <w:rPr>
                <w:color w:val="000000"/>
                <w:szCs w:val="22"/>
                <w:lang w:val="fi-FI"/>
              </w:rPr>
            </w:pPr>
            <w:r w:rsidRPr="00396314">
              <w:rPr>
                <w:color w:val="000000"/>
                <w:szCs w:val="22"/>
                <w:lang w:val="fi-FI"/>
              </w:rPr>
              <w:t>12 Gy 8 fraktiossa kaikille potilaille, joiden tila toteamishetkellä CNS1 tai CNS2</w:t>
            </w:r>
          </w:p>
          <w:p w14:paraId="586FC2EF" w14:textId="77777777" w:rsidR="00DC6660" w:rsidRPr="00396314" w:rsidRDefault="00DC6660" w:rsidP="00B22696">
            <w:pPr>
              <w:pStyle w:val="EndnoteText"/>
              <w:widowControl w:val="0"/>
              <w:rPr>
                <w:color w:val="000000"/>
                <w:szCs w:val="22"/>
                <w:lang w:val="fi-FI"/>
              </w:rPr>
            </w:pPr>
            <w:r w:rsidRPr="00396314">
              <w:rPr>
                <w:color w:val="000000"/>
                <w:szCs w:val="22"/>
                <w:lang w:val="fi-FI"/>
              </w:rPr>
              <w:t>18 Gy 10 fraktiossa potilaille, joiden tila toteamishetkellä CNS3</w:t>
            </w:r>
          </w:p>
          <w:p w14:paraId="586FC2F0" w14:textId="77777777" w:rsidR="00DC6660" w:rsidRPr="00396314" w:rsidRDefault="00DC6660" w:rsidP="00B22696">
            <w:pPr>
              <w:pStyle w:val="EndnoteT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/vrk, laskimoon): päivät 1, 29</w:t>
            </w:r>
          </w:p>
          <w:p w14:paraId="586FC2F1" w14:textId="77777777" w:rsidR="00DC6660" w:rsidRPr="00396314" w:rsidRDefault="00DC6660" w:rsidP="00B22696">
            <w:pPr>
              <w:pStyle w:val="EndnoteT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5; 29</w:t>
            </w:r>
            <w:r w:rsidRPr="001678D7">
              <w:rPr>
                <w:szCs w:val="22"/>
                <w:lang w:val="fi-FI"/>
              </w:rPr>
              <w:t>–</w:t>
            </w:r>
            <w:r w:rsidRPr="00396314">
              <w:rPr>
                <w:color w:val="000000"/>
                <w:szCs w:val="22"/>
                <w:lang w:val="fi-FI"/>
              </w:rPr>
              <w:t>33</w:t>
            </w:r>
          </w:p>
          <w:p w14:paraId="586FC2F2" w14:textId="77777777" w:rsidR="00DC6660" w:rsidRPr="00396314" w:rsidRDefault="00DC6660" w:rsidP="00B22696">
            <w:pPr>
              <w:pStyle w:val="EndnoteText"/>
              <w:widowControl w:val="0"/>
              <w:rPr>
                <w:color w:val="000000"/>
                <w:szCs w:val="22"/>
                <w:lang w:val="fi-FI"/>
              </w:rPr>
            </w:pPr>
            <w:r w:rsidRPr="00396314">
              <w:rPr>
                <w:color w:val="000000"/>
                <w:szCs w:val="22"/>
                <w:lang w:val="fi-FI"/>
              </w:rPr>
              <w:t>6-merkaptopuriini (75 mg/m</w:t>
            </w:r>
            <w:r w:rsidRPr="00396314">
              <w:rPr>
                <w:color w:val="000000"/>
                <w:szCs w:val="22"/>
                <w:vertAlign w:val="superscript"/>
                <w:lang w:val="fi-FI"/>
              </w:rPr>
              <w:t>2</w:t>
            </w:r>
            <w:r w:rsidRPr="00396314">
              <w:rPr>
                <w:color w:val="000000"/>
                <w:szCs w:val="22"/>
                <w:lang w:val="fi-FI"/>
              </w:rPr>
              <w:t>/vrk, suun kautta): päivät 11</w:t>
            </w:r>
            <w:r w:rsidRPr="001678D7">
              <w:rPr>
                <w:szCs w:val="22"/>
                <w:lang w:val="fi-FI"/>
              </w:rPr>
              <w:t>–</w:t>
            </w:r>
            <w:r w:rsidRPr="00396314">
              <w:rPr>
                <w:color w:val="000000"/>
                <w:szCs w:val="22"/>
                <w:lang w:val="fi-FI"/>
              </w:rPr>
              <w:t>56 (6-merkaptopuriini tauotetaan 6</w:t>
            </w:r>
            <w:r w:rsidRPr="001678D7">
              <w:rPr>
                <w:szCs w:val="22"/>
                <w:lang w:val="fi-FI"/>
              </w:rPr>
              <w:t>–</w:t>
            </w:r>
            <w:r w:rsidRPr="00396314">
              <w:rPr>
                <w:color w:val="000000"/>
                <w:szCs w:val="22"/>
                <w:lang w:val="fi-FI"/>
              </w:rPr>
              <w:t>10 päivän pään sädehoidon ajaksi alkaen hoitojakson 5 päivästä 1. 6-merkaptopuriini aloitetaan ensimmäisenä päivänä pään sädehoidon päättymisen jälkeen.)</w:t>
            </w:r>
          </w:p>
          <w:p w14:paraId="586FC2F3" w14:textId="77777777" w:rsidR="00DC6660" w:rsidRPr="00396314" w:rsidRDefault="00DC6660" w:rsidP="00B22696">
            <w:pPr>
              <w:pStyle w:val="EndnoteText"/>
              <w:widowControl w:val="0"/>
              <w:rPr>
                <w:color w:val="000000"/>
                <w:szCs w:val="22"/>
                <w:lang w:val="fi-FI"/>
              </w:rPr>
            </w:pPr>
            <w:r w:rsidRPr="00396314">
              <w:rPr>
                <w:color w:val="000000"/>
                <w:szCs w:val="22"/>
                <w:lang w:val="fi-FI"/>
              </w:rPr>
              <w:t>Metotreksaatti (20 mg/m</w:t>
            </w:r>
            <w:r w:rsidRPr="00396314">
              <w:rPr>
                <w:color w:val="000000"/>
                <w:szCs w:val="22"/>
                <w:vertAlign w:val="superscript"/>
                <w:lang w:val="fi-FI"/>
              </w:rPr>
              <w:t>2</w:t>
            </w:r>
            <w:r w:rsidRPr="00396314">
              <w:rPr>
                <w:color w:val="000000"/>
                <w:szCs w:val="22"/>
                <w:lang w:val="fi-FI"/>
              </w:rPr>
              <w:t>/viikko, suun kautta): päivät 8, 15, 22, 29, 36, 43, 50</w:t>
            </w:r>
          </w:p>
        </w:tc>
      </w:tr>
      <w:tr w:rsidR="00DC6660" w:rsidRPr="00396314" w14:paraId="586FC2FC" w14:textId="77777777" w:rsidTr="00F71263">
        <w:trPr>
          <w:cantSplit/>
        </w:trPr>
        <w:tc>
          <w:tcPr>
            <w:tcW w:w="2358" w:type="dxa"/>
            <w:shd w:val="clear" w:color="auto" w:fill="auto"/>
          </w:tcPr>
          <w:p w14:paraId="586FC2F5" w14:textId="77777777" w:rsidR="00DC6660" w:rsidRPr="00396314" w:rsidRDefault="00DC6660" w:rsidP="00F71263">
            <w:pPr>
              <w:pStyle w:val="EndnoteText"/>
              <w:keepNext/>
              <w:widowControl w:val="0"/>
              <w:rPr>
                <w:color w:val="000000"/>
                <w:szCs w:val="22"/>
                <w:lang w:val="fi-FI"/>
              </w:rPr>
            </w:pPr>
            <w:r w:rsidRPr="00396314">
              <w:rPr>
                <w:color w:val="000000"/>
                <w:szCs w:val="22"/>
                <w:lang w:val="fi-FI"/>
              </w:rPr>
              <w:t>Ylläpito</w:t>
            </w:r>
          </w:p>
          <w:p w14:paraId="586FC2F6" w14:textId="77777777" w:rsidR="00DC6660" w:rsidRPr="00396314" w:rsidRDefault="00DC6660" w:rsidP="00F71263">
            <w:pPr>
              <w:pStyle w:val="EndnoteText"/>
              <w:keepNext/>
              <w:widowControl w:val="0"/>
              <w:rPr>
                <w:color w:val="000000"/>
                <w:szCs w:val="22"/>
                <w:lang w:val="fi-FI"/>
              </w:rPr>
            </w:pPr>
            <w:r w:rsidRPr="00396314">
              <w:rPr>
                <w:color w:val="000000"/>
                <w:szCs w:val="22"/>
                <w:lang w:val="fi-FI"/>
              </w:rPr>
              <w:t>(8 viikon hoitojaksot)</w:t>
            </w:r>
          </w:p>
          <w:p w14:paraId="586FC2F7" w14:textId="77777777" w:rsidR="00DC6660" w:rsidRPr="00396314" w:rsidRDefault="00DC6660" w:rsidP="00F71263">
            <w:pPr>
              <w:pStyle w:val="EndnoteText"/>
              <w:keepNext/>
              <w:widowControl w:val="0"/>
              <w:rPr>
                <w:color w:val="000000"/>
                <w:szCs w:val="22"/>
                <w:lang w:val="fi-FI"/>
              </w:rPr>
            </w:pPr>
            <w:r w:rsidRPr="00396314">
              <w:rPr>
                <w:color w:val="000000"/>
                <w:szCs w:val="22"/>
                <w:lang w:val="fi-FI"/>
              </w:rPr>
              <w:t>Hoitojaksot 6</w:t>
            </w:r>
            <w:r w:rsidRPr="00396314">
              <w:rPr>
                <w:szCs w:val="22"/>
              </w:rPr>
              <w:t>–</w:t>
            </w:r>
            <w:r w:rsidRPr="00396314">
              <w:rPr>
                <w:color w:val="000000"/>
                <w:szCs w:val="22"/>
                <w:lang w:val="fi-FI"/>
              </w:rPr>
              <w:t>12</w:t>
            </w:r>
          </w:p>
        </w:tc>
        <w:tc>
          <w:tcPr>
            <w:tcW w:w="6929" w:type="dxa"/>
            <w:shd w:val="clear" w:color="auto" w:fill="auto"/>
          </w:tcPr>
          <w:p w14:paraId="586FC2F8" w14:textId="77777777" w:rsidR="00DC6660" w:rsidRPr="00396314" w:rsidRDefault="00DC6660" w:rsidP="00F71263">
            <w:pPr>
              <w:pStyle w:val="EndnoteText"/>
              <w:keepN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/vrk, laskimoon): päivät 1, 29</w:t>
            </w:r>
          </w:p>
          <w:p w14:paraId="586FC2F9" w14:textId="77777777" w:rsidR="00DC6660" w:rsidRPr="00396314" w:rsidRDefault="00DC6660" w:rsidP="00F71263">
            <w:pPr>
              <w:pStyle w:val="EndnoteText"/>
              <w:keepN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5; 29</w:t>
            </w:r>
            <w:r w:rsidRPr="001678D7">
              <w:rPr>
                <w:szCs w:val="22"/>
                <w:lang w:val="fi-FI"/>
              </w:rPr>
              <w:t>–</w:t>
            </w:r>
            <w:r w:rsidRPr="00396314">
              <w:rPr>
                <w:color w:val="000000"/>
                <w:szCs w:val="22"/>
                <w:lang w:val="fi-FI"/>
              </w:rPr>
              <w:t>33</w:t>
            </w:r>
          </w:p>
          <w:p w14:paraId="586FC2FA" w14:textId="77777777" w:rsidR="00DC6660" w:rsidRPr="00396314" w:rsidRDefault="00DC6660" w:rsidP="00F71263">
            <w:pPr>
              <w:pStyle w:val="EndnoteText"/>
              <w:keepNext/>
              <w:widowControl w:val="0"/>
              <w:rPr>
                <w:color w:val="000000"/>
                <w:szCs w:val="22"/>
                <w:lang w:val="fi-FI"/>
              </w:rPr>
            </w:pPr>
            <w:r w:rsidRPr="00396314">
              <w:rPr>
                <w:color w:val="000000"/>
                <w:szCs w:val="22"/>
                <w:lang w:val="fi-FI"/>
              </w:rPr>
              <w:t>6-merkaptopuriini (75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56</w:t>
            </w:r>
          </w:p>
          <w:p w14:paraId="586FC2FB" w14:textId="77777777" w:rsidR="00DC6660" w:rsidRPr="00396314" w:rsidRDefault="00DC6660" w:rsidP="00F71263">
            <w:pPr>
              <w:pStyle w:val="EndnoteText"/>
              <w:keepNext/>
              <w:widowControl w:val="0"/>
              <w:rPr>
                <w:color w:val="000000"/>
                <w:szCs w:val="22"/>
                <w:lang w:val="fi-FI"/>
              </w:rPr>
            </w:pPr>
            <w:r w:rsidRPr="00396314">
              <w:rPr>
                <w:color w:val="000000"/>
                <w:szCs w:val="22"/>
                <w:lang w:val="fi-FI"/>
              </w:rPr>
              <w:t>Metotreksaatti (20 mg/m</w:t>
            </w:r>
            <w:r w:rsidRPr="00396314">
              <w:rPr>
                <w:color w:val="000000"/>
                <w:szCs w:val="22"/>
                <w:vertAlign w:val="superscript"/>
                <w:lang w:val="fi-FI"/>
              </w:rPr>
              <w:t>2</w:t>
            </w:r>
            <w:r w:rsidRPr="00396314">
              <w:rPr>
                <w:color w:val="000000"/>
                <w:szCs w:val="22"/>
                <w:lang w:val="fi-FI"/>
              </w:rPr>
              <w:t>/viikko, suun kautta): päivät 1, 8, 15, 22, 29, 36, 43, 50</w:t>
            </w:r>
          </w:p>
        </w:tc>
      </w:tr>
    </w:tbl>
    <w:p w14:paraId="586FC2FD" w14:textId="77777777" w:rsidR="00DC6660" w:rsidRPr="00396314" w:rsidRDefault="00DC6660" w:rsidP="00F71263">
      <w:pPr>
        <w:pStyle w:val="EndnoteText"/>
        <w:keepLines/>
        <w:widowControl w:val="0"/>
        <w:rPr>
          <w:color w:val="000000"/>
          <w:szCs w:val="22"/>
          <w:lang w:val="fi-FI"/>
        </w:rPr>
      </w:pPr>
      <w:r w:rsidRPr="00396314">
        <w:rPr>
          <w:color w:val="000000"/>
          <w:szCs w:val="22"/>
          <w:lang w:val="fi-FI"/>
        </w:rPr>
        <w:t>MESNA = 2-merkaptoetaanisulfonaattinatrium, iii = tai kunnes me</w:t>
      </w:r>
      <w:r w:rsidRPr="001678D7">
        <w:rPr>
          <w:color w:val="000000"/>
          <w:szCs w:val="22"/>
          <w:lang w:val="fi-FI"/>
        </w:rPr>
        <w:t>totreksaattipitoisuus on &lt; 0,1 µ</w:t>
      </w:r>
      <w:r w:rsidRPr="00396314">
        <w:rPr>
          <w:color w:val="000000"/>
          <w:szCs w:val="22"/>
          <w:lang w:val="fi-FI"/>
        </w:rPr>
        <w:t>mol, Gy = gray</w:t>
      </w:r>
    </w:p>
    <w:p w14:paraId="586FC2FE" w14:textId="77777777" w:rsidR="00DC6660" w:rsidRPr="00396314" w:rsidRDefault="00DC6660" w:rsidP="00DC6660">
      <w:pPr>
        <w:pStyle w:val="EndnoteText"/>
        <w:widowControl w:val="0"/>
        <w:jc w:val="both"/>
        <w:rPr>
          <w:color w:val="000000"/>
          <w:szCs w:val="22"/>
          <w:lang w:val="fi-FI"/>
        </w:rPr>
      </w:pPr>
    </w:p>
    <w:p w14:paraId="586FC2FF" w14:textId="77777777" w:rsidR="00DC6660" w:rsidRPr="00396314" w:rsidRDefault="00DC6660" w:rsidP="00DC6660">
      <w:pPr>
        <w:pStyle w:val="EndnoteText"/>
        <w:widowControl w:val="0"/>
        <w:rPr>
          <w:color w:val="000000"/>
          <w:szCs w:val="22"/>
          <w:lang w:val="fi-FI"/>
        </w:rPr>
      </w:pPr>
      <w:r w:rsidRPr="00396314">
        <w:rPr>
          <w:color w:val="000000"/>
          <w:szCs w:val="22"/>
          <w:lang w:val="fi-FI"/>
        </w:rPr>
        <w:t xml:space="preserve">AIT07-tutkimus oli avoin, satunnaistettu, vaiheen II/III monikeskustutkimus, johon osallistui 128 potilasta (1–&lt; 18 v), jotka saivat imatinibin ja kemoterapian yhdistelmähoitoa. Tutkimuksen turvallisuustiedot </w:t>
      </w:r>
      <w:r w:rsidR="00913E55">
        <w:rPr>
          <w:color w:val="000000"/>
          <w:szCs w:val="22"/>
          <w:lang w:val="fi-FI"/>
        </w:rPr>
        <w:t>näyttävät olevan yhdenmukaiset</w:t>
      </w:r>
      <w:r w:rsidRPr="00396314">
        <w:rPr>
          <w:color w:val="000000"/>
          <w:szCs w:val="22"/>
          <w:lang w:val="fi-FI"/>
        </w:rPr>
        <w:t xml:space="preserve"> imatinibin </w:t>
      </w:r>
      <w:r w:rsidRPr="00913E55">
        <w:rPr>
          <w:color w:val="000000"/>
          <w:szCs w:val="22"/>
          <w:lang w:val="fi-FI"/>
        </w:rPr>
        <w:t>turvallisuusprofiili</w:t>
      </w:r>
      <w:r w:rsidR="00913E55">
        <w:rPr>
          <w:color w:val="000000"/>
          <w:szCs w:val="22"/>
          <w:lang w:val="fi-FI"/>
        </w:rPr>
        <w:t>n kanssa</w:t>
      </w:r>
      <w:r w:rsidRPr="00913E55">
        <w:rPr>
          <w:color w:val="000000"/>
          <w:szCs w:val="22"/>
          <w:lang w:val="fi-FI"/>
        </w:rPr>
        <w:t xml:space="preserve"> Ph+ ALL</w:t>
      </w:r>
      <w:r w:rsidR="00913E55">
        <w:rPr>
          <w:color w:val="000000"/>
          <w:szCs w:val="22"/>
          <w:lang w:val="fi-FI"/>
        </w:rPr>
        <w:t> -</w:t>
      </w:r>
      <w:r w:rsidRPr="00396314">
        <w:rPr>
          <w:color w:val="000000"/>
          <w:szCs w:val="22"/>
          <w:lang w:val="fi-FI"/>
        </w:rPr>
        <w:t>potilailla.</w:t>
      </w:r>
    </w:p>
    <w:p w14:paraId="586FC300" w14:textId="77777777" w:rsidR="00DC6660" w:rsidRPr="00912A5D" w:rsidRDefault="00DC6660">
      <w:pPr>
        <w:pStyle w:val="EndnoteText"/>
        <w:widowControl w:val="0"/>
        <w:tabs>
          <w:tab w:val="clear" w:pos="567"/>
        </w:tabs>
        <w:rPr>
          <w:color w:val="000000"/>
          <w:szCs w:val="22"/>
          <w:lang w:val="fi-FI"/>
        </w:rPr>
      </w:pPr>
    </w:p>
    <w:p w14:paraId="586FC301" w14:textId="77777777" w:rsidR="00AE3698" w:rsidRPr="00912A5D" w:rsidRDefault="00AE3698">
      <w:pPr>
        <w:pStyle w:val="EndnoteText"/>
        <w:widowControl w:val="0"/>
        <w:tabs>
          <w:tab w:val="clear" w:pos="567"/>
        </w:tabs>
        <w:rPr>
          <w:color w:val="000000"/>
          <w:lang w:val="fi-FI"/>
        </w:rPr>
      </w:pPr>
      <w:r w:rsidRPr="00912A5D">
        <w:rPr>
          <w:i/>
          <w:iCs/>
          <w:color w:val="000000"/>
          <w:szCs w:val="22"/>
          <w:lang w:val="fi-FI"/>
        </w:rPr>
        <w:t xml:space="preserve">Uusiutunut/vaikeahoitoinen Ph+ </w:t>
      </w:r>
      <w:smartTag w:uri="urn:schemas-microsoft-com:office:smarttags" w:element="State">
        <w:r w:rsidRPr="00912A5D">
          <w:rPr>
            <w:i/>
            <w:iCs/>
            <w:color w:val="000000"/>
            <w:szCs w:val="22"/>
            <w:lang w:val="fi-FI"/>
          </w:rPr>
          <w:t>ALL</w:t>
        </w:r>
      </w:smartTag>
      <w:r w:rsidRPr="00912A5D">
        <w:rPr>
          <w:i/>
          <w:iCs/>
          <w:color w:val="000000"/>
          <w:szCs w:val="22"/>
          <w:lang w:val="fi-FI"/>
        </w:rPr>
        <w:t>:</w:t>
      </w:r>
      <w:r w:rsidRPr="00912A5D">
        <w:rPr>
          <w:color w:val="000000"/>
          <w:szCs w:val="22"/>
          <w:lang w:val="fi-FI"/>
        </w:rPr>
        <w:t xml:space="preserve"> Kun imatinibia annettiin monoterapiana potilaille, joilla oli uusiutunut/vaikeahoitoinen Ph+ </w:t>
      </w:r>
      <w:smartTag w:uri="urn:schemas-microsoft-com:office:smarttags" w:element="State">
        <w:r w:rsidRPr="00912A5D">
          <w:rPr>
            <w:color w:val="000000"/>
            <w:szCs w:val="22"/>
            <w:lang w:val="fi-FI"/>
          </w:rPr>
          <w:t>ALL</w:t>
        </w:r>
      </w:smartTag>
      <w:r w:rsidRPr="00912A5D">
        <w:rPr>
          <w:color w:val="000000"/>
          <w:szCs w:val="22"/>
          <w:lang w:val="fi-FI"/>
        </w:rPr>
        <w:t xml:space="preserve">, saavutettiin hematologinen vaste 30 %:lla (täydellinen vaste, 9 %) ja huomattava sytogeneettinen vaste 23 %:lla. Kaikkiaan 53 potilasta 411:sta oli arviointikelpoisia. 353 potilaalta ei kerätty ensisijaisia vastetietoja (an expanded access program). Koko potilasjoukossa (411 potilasta, joilla oli uusiutunut/vaikeahoitoinen Ph+ </w:t>
      </w:r>
      <w:smartTag w:uri="urn:schemas-microsoft-com:office:smarttags" w:element="State">
        <w:r w:rsidRPr="00912A5D">
          <w:rPr>
            <w:color w:val="000000"/>
            <w:szCs w:val="22"/>
            <w:lang w:val="fi-FI"/>
          </w:rPr>
          <w:t>ALL</w:t>
        </w:r>
      </w:smartTag>
      <w:r w:rsidRPr="00912A5D">
        <w:rPr>
          <w:color w:val="000000"/>
          <w:szCs w:val="22"/>
          <w:lang w:val="fi-FI"/>
        </w:rPr>
        <w:t>), taudin etenemiseen kulunut mediaaniaika vaihteli 2,6 kuukaudesta 3,1 kuukauteen, ja kokonaiselossaoloajan mediaani 401 arviointikelpoisella potilaalla vaihteli 4,9 kuukaudesta 9 kuukauteen.</w:t>
      </w:r>
      <w:r w:rsidRPr="00912A5D">
        <w:rPr>
          <w:color w:val="000000"/>
          <w:lang w:val="fi-FI"/>
        </w:rPr>
        <w:t xml:space="preserve"> Tiedot olivat samanlaiset, kun analyysi tehtiin uudelleen ja mukaan otettiin vain 55-vuotiaat ja sitä vanhemmat potilaat.</w:t>
      </w:r>
    </w:p>
    <w:p w14:paraId="586FC302" w14:textId="77777777" w:rsidR="00AE3698" w:rsidRPr="00912A5D" w:rsidRDefault="00AE3698">
      <w:pPr>
        <w:pStyle w:val="EndnoteText"/>
        <w:widowControl w:val="0"/>
        <w:tabs>
          <w:tab w:val="clear" w:pos="567"/>
        </w:tabs>
        <w:rPr>
          <w:color w:val="000000"/>
          <w:lang w:val="fi-FI"/>
        </w:rPr>
      </w:pPr>
    </w:p>
    <w:p w14:paraId="586FC303" w14:textId="77777777" w:rsidR="00AE3698" w:rsidRPr="00912A5D" w:rsidRDefault="00AE3698" w:rsidP="00F71263">
      <w:pPr>
        <w:pStyle w:val="EndnoteText"/>
        <w:keepNext/>
        <w:widowControl w:val="0"/>
        <w:tabs>
          <w:tab w:val="clear" w:pos="567"/>
        </w:tabs>
        <w:rPr>
          <w:color w:val="000000"/>
          <w:szCs w:val="22"/>
          <w:u w:val="single"/>
          <w:lang w:val="fi-FI"/>
        </w:rPr>
      </w:pPr>
      <w:r w:rsidRPr="00912A5D">
        <w:rPr>
          <w:color w:val="000000"/>
          <w:szCs w:val="22"/>
          <w:u w:val="single"/>
          <w:lang w:val="fi-FI"/>
        </w:rPr>
        <w:t>Kliiniset tutkimukset myelodysplastisessa oireyhtymässä / myeloproliferatiivisissa sairauksissa (</w:t>
      </w:r>
      <w:smartTag w:uri="urn:schemas-microsoft-com:office:smarttags" w:element="State">
        <w:r w:rsidRPr="00912A5D">
          <w:rPr>
            <w:color w:val="000000"/>
            <w:szCs w:val="22"/>
            <w:u w:val="single"/>
            <w:lang w:val="fi-FI"/>
          </w:rPr>
          <w:t>MDS</w:t>
        </w:r>
      </w:smartTag>
      <w:r w:rsidRPr="00912A5D">
        <w:rPr>
          <w:color w:val="000000"/>
          <w:szCs w:val="22"/>
          <w:u w:val="single"/>
          <w:lang w:val="fi-FI"/>
        </w:rPr>
        <w:t>/MPD)</w:t>
      </w:r>
    </w:p>
    <w:p w14:paraId="586FC304" w14:textId="77777777" w:rsidR="004177D4" w:rsidRDefault="00AE3698">
      <w:pPr>
        <w:pStyle w:val="EndnoteText"/>
        <w:widowControl w:val="0"/>
        <w:tabs>
          <w:tab w:val="clear" w:pos="567"/>
        </w:tabs>
        <w:rPr>
          <w:color w:val="000000"/>
          <w:szCs w:val="22"/>
          <w:lang w:val="fi-FI" w:eastAsia="ja-JP"/>
        </w:rPr>
      </w:pPr>
      <w:r w:rsidRPr="00912A5D">
        <w:rPr>
          <w:color w:val="000000"/>
          <w:szCs w:val="22"/>
          <w:lang w:val="fi-FI"/>
        </w:rPr>
        <w:t>Glivecin käytöstä tässä käyttöaiheessa on hyvin vähän kokemusta, ja se perustuu hematologisten ja sytogeneettisten vasteiden määrään. Kliinistä hyötyä tai elinajan pitenemistä ei ole osoitettu yhdessäkään kliinisessä tutkimuksessa. Yhdessä avoimessa vaiheen II kliinisessä monikeskustutkimuksessa (tutkimus B2225) Gliveciä annettiin monentyyppisille potilaille, joilla oli hengenvaarallisia sairauksia liittyneenä Abl</w:t>
      </w:r>
      <w:r w:rsidRPr="00912A5D">
        <w:rPr>
          <w:color w:val="000000"/>
          <w:szCs w:val="22"/>
          <w:lang w:val="fi-FI"/>
        </w:rPr>
        <w:noBreakHyphen/>
        <w:t xml:space="preserve">, Kit- tai PDGFR-proteiinityrosiinikinaaseihin. Tähän tutkimukseen osallistui myös 7 potilasta, joilla oli myelodysplastinen oireyhtymä/myeloproliferatiivinen tauti. He saivat Gliveciä annoksena 400 mg/vrk. Kolme potilasta saavutti täydellisen hematologisen vasteen ja yksi potilas osittaisen hematologisen vasteen. </w:t>
      </w:r>
      <w:r w:rsidRPr="00912A5D">
        <w:rPr>
          <w:color w:val="000000"/>
          <w:szCs w:val="22"/>
          <w:lang w:val="fi-FI"/>
        </w:rPr>
        <w:lastRenderedPageBreak/>
        <w:t xml:space="preserve">Alkuperäisen analyysin tekemisvaiheessa neljällä potilaalla todettiin PDGFR-geenin uudelleenjärjestäytymistä, ja näistä potilaista kolme saavutti hematologisen vasteen (2 täydellisen ja 1 osittaisen hematologisen vasteen). </w:t>
      </w:r>
      <w:r w:rsidRPr="00912A5D">
        <w:rPr>
          <w:color w:val="000000"/>
          <w:szCs w:val="22"/>
          <w:lang w:val="fi-FI" w:eastAsia="ja-JP"/>
        </w:rPr>
        <w:t>Nämä potilaat olivat 20</w:t>
      </w:r>
      <w:r w:rsidRPr="00912A5D">
        <w:rPr>
          <w:color w:val="000000"/>
          <w:szCs w:val="22"/>
          <w:lang w:val="fi-FI" w:eastAsia="ja-JP"/>
        </w:rPr>
        <w:noBreakHyphen/>
        <w:t>72-vuotiaita.</w:t>
      </w:r>
    </w:p>
    <w:p w14:paraId="586FC305" w14:textId="77777777" w:rsidR="004177D4" w:rsidRPr="004177D4" w:rsidRDefault="004177D4">
      <w:pPr>
        <w:pStyle w:val="EndnoteText"/>
        <w:widowControl w:val="0"/>
        <w:tabs>
          <w:tab w:val="clear" w:pos="567"/>
        </w:tabs>
        <w:rPr>
          <w:color w:val="000000"/>
          <w:szCs w:val="22"/>
          <w:lang w:val="fi-FI" w:eastAsia="ja-JP"/>
        </w:rPr>
      </w:pPr>
    </w:p>
    <w:p w14:paraId="586FC306" w14:textId="77777777" w:rsidR="004177D4" w:rsidRPr="004177D4" w:rsidRDefault="004177D4">
      <w:pPr>
        <w:pStyle w:val="EndnoteText"/>
        <w:widowControl w:val="0"/>
        <w:tabs>
          <w:tab w:val="clear" w:pos="567"/>
        </w:tabs>
        <w:rPr>
          <w:color w:val="000000"/>
          <w:szCs w:val="22"/>
          <w:lang w:val="fi-FI" w:eastAsia="ja-JP"/>
        </w:rPr>
      </w:pPr>
      <w:r w:rsidRPr="004177D4">
        <w:rPr>
          <w:color w:val="000000"/>
          <w:szCs w:val="22"/>
          <w:lang w:val="fi-FI" w:eastAsia="ja-JP"/>
        </w:rPr>
        <w:t>Hoidon pitkäaikaisturvallisuus- ja tehotietojen keräämiseksi toteutettiin havainnoiva rekisteritutkimus (tutkimus L2401). Siihen otettiin Glivec-hoitoa saavia potilaita, joilla oli myeloproliferatiivisia kasvaimia ja PDGFR-β-geenin uudelleenjärjest</w:t>
      </w:r>
      <w:r w:rsidR="00626B96">
        <w:rPr>
          <w:color w:val="000000"/>
          <w:szCs w:val="22"/>
          <w:lang w:val="fi-FI" w:eastAsia="ja-JP"/>
        </w:rPr>
        <w:t>ymä</w:t>
      </w:r>
      <w:r w:rsidR="00A873AE">
        <w:rPr>
          <w:color w:val="000000"/>
          <w:szCs w:val="22"/>
          <w:lang w:val="fi-FI" w:eastAsia="ja-JP"/>
        </w:rPr>
        <w:t>. Rekisteri</w:t>
      </w:r>
      <w:r w:rsidR="00626B96">
        <w:rPr>
          <w:color w:val="000000"/>
          <w:szCs w:val="22"/>
          <w:lang w:val="fi-FI" w:eastAsia="ja-JP"/>
        </w:rPr>
        <w:t xml:space="preserve"> sisälsi</w:t>
      </w:r>
      <w:r w:rsidR="00A873AE">
        <w:rPr>
          <w:color w:val="000000"/>
          <w:szCs w:val="22"/>
          <w:lang w:val="fi-FI" w:eastAsia="ja-JP"/>
        </w:rPr>
        <w:t xml:space="preserve"> 23 </w:t>
      </w:r>
      <w:r w:rsidRPr="004177D4">
        <w:rPr>
          <w:color w:val="000000"/>
          <w:szCs w:val="22"/>
          <w:lang w:val="fi-FI" w:eastAsia="ja-JP"/>
        </w:rPr>
        <w:t>potilasta, joiden Glivec-vuoroka</w:t>
      </w:r>
      <w:r w:rsidR="00A873AE">
        <w:rPr>
          <w:color w:val="000000"/>
          <w:szCs w:val="22"/>
          <w:lang w:val="fi-FI" w:eastAsia="ja-JP"/>
        </w:rPr>
        <w:t>usiannoksen mediaani oli 264 mg (vaihteluväli 100–400 </w:t>
      </w:r>
      <w:r w:rsidRPr="004177D4">
        <w:rPr>
          <w:color w:val="000000"/>
          <w:szCs w:val="22"/>
          <w:lang w:val="fi-FI" w:eastAsia="ja-JP"/>
        </w:rPr>
        <w:t>mg) ja hoidon mediaanikesto 7,2</w:t>
      </w:r>
      <w:r w:rsidR="00A873AE">
        <w:rPr>
          <w:color w:val="000000"/>
          <w:szCs w:val="22"/>
          <w:lang w:val="fi-FI" w:eastAsia="ja-JP"/>
        </w:rPr>
        <w:t> </w:t>
      </w:r>
      <w:r w:rsidRPr="004177D4">
        <w:rPr>
          <w:color w:val="000000"/>
          <w:szCs w:val="22"/>
          <w:lang w:val="fi-FI" w:eastAsia="ja-JP"/>
        </w:rPr>
        <w:t>v (vaihteluväli 0,1–12,7</w:t>
      </w:r>
      <w:r w:rsidR="00A873AE">
        <w:rPr>
          <w:color w:val="000000"/>
          <w:szCs w:val="22"/>
          <w:lang w:val="fi-FI" w:eastAsia="ja-JP"/>
        </w:rPr>
        <w:t> </w:t>
      </w:r>
      <w:r w:rsidR="00446DC8">
        <w:rPr>
          <w:color w:val="000000"/>
          <w:szCs w:val="22"/>
          <w:lang w:val="fi-FI" w:eastAsia="ja-JP"/>
        </w:rPr>
        <w:t>v). K</w:t>
      </w:r>
      <w:r w:rsidR="00626B96">
        <w:rPr>
          <w:color w:val="000000"/>
          <w:szCs w:val="22"/>
          <w:lang w:val="fi-FI" w:eastAsia="ja-JP"/>
        </w:rPr>
        <w:t>oska k</w:t>
      </w:r>
      <w:r w:rsidR="00446DC8">
        <w:rPr>
          <w:color w:val="000000"/>
          <w:szCs w:val="22"/>
          <w:lang w:val="fi-FI" w:eastAsia="ja-JP"/>
        </w:rPr>
        <w:t>ysee</w:t>
      </w:r>
      <w:r w:rsidR="00626B96">
        <w:rPr>
          <w:color w:val="000000"/>
          <w:szCs w:val="22"/>
          <w:lang w:val="fi-FI" w:eastAsia="ja-JP"/>
        </w:rPr>
        <w:t xml:space="preserve">ssä </w:t>
      </w:r>
      <w:r w:rsidRPr="004177D4">
        <w:rPr>
          <w:color w:val="000000"/>
          <w:szCs w:val="22"/>
          <w:lang w:val="fi-FI" w:eastAsia="ja-JP"/>
        </w:rPr>
        <w:t>oli havainnoiva</w:t>
      </w:r>
      <w:r w:rsidR="00626B96">
        <w:rPr>
          <w:color w:val="000000"/>
          <w:szCs w:val="22"/>
          <w:lang w:val="fi-FI" w:eastAsia="ja-JP"/>
        </w:rPr>
        <w:t xml:space="preserve"> rekisteri</w:t>
      </w:r>
      <w:r w:rsidRPr="004177D4">
        <w:rPr>
          <w:color w:val="000000"/>
          <w:szCs w:val="22"/>
          <w:lang w:val="fi-FI" w:eastAsia="ja-JP"/>
        </w:rPr>
        <w:t>,</w:t>
      </w:r>
      <w:r w:rsidR="00626B96">
        <w:rPr>
          <w:color w:val="000000"/>
          <w:szCs w:val="22"/>
          <w:lang w:val="fi-FI" w:eastAsia="ja-JP"/>
        </w:rPr>
        <w:t xml:space="preserve"> oli</w:t>
      </w:r>
      <w:r w:rsidRPr="004177D4">
        <w:rPr>
          <w:color w:val="000000"/>
          <w:szCs w:val="22"/>
          <w:lang w:val="fi-FI" w:eastAsia="ja-JP"/>
        </w:rPr>
        <w:t xml:space="preserve"> hematologis</w:t>
      </w:r>
      <w:r w:rsidR="00626B96">
        <w:rPr>
          <w:color w:val="000000"/>
          <w:szCs w:val="22"/>
          <w:lang w:val="fi-FI" w:eastAsia="ja-JP"/>
        </w:rPr>
        <w:t>ia</w:t>
      </w:r>
      <w:r w:rsidRPr="004177D4">
        <w:rPr>
          <w:color w:val="000000"/>
          <w:szCs w:val="22"/>
          <w:lang w:val="fi-FI" w:eastAsia="ja-JP"/>
        </w:rPr>
        <w:t xml:space="preserve"> arvioi</w:t>
      </w:r>
      <w:r w:rsidR="00D376D9">
        <w:rPr>
          <w:color w:val="000000"/>
          <w:szCs w:val="22"/>
          <w:lang w:val="fi-FI" w:eastAsia="ja-JP"/>
        </w:rPr>
        <w:t>nt</w:t>
      </w:r>
      <w:r w:rsidR="00626B96">
        <w:rPr>
          <w:color w:val="000000"/>
          <w:szCs w:val="22"/>
          <w:lang w:val="fi-FI" w:eastAsia="ja-JP"/>
        </w:rPr>
        <w:t>eja</w:t>
      </w:r>
      <w:r w:rsidR="00D376D9">
        <w:rPr>
          <w:color w:val="000000"/>
          <w:szCs w:val="22"/>
          <w:lang w:val="fi-FI" w:eastAsia="ja-JP"/>
        </w:rPr>
        <w:t xml:space="preserve"> saatavilla 22</w:t>
      </w:r>
      <w:r w:rsidRPr="004177D4">
        <w:rPr>
          <w:color w:val="000000"/>
          <w:szCs w:val="22"/>
          <w:lang w:val="fi-FI" w:eastAsia="ja-JP"/>
        </w:rPr>
        <w:t>, sytogenee</w:t>
      </w:r>
      <w:r w:rsidR="00D376D9">
        <w:rPr>
          <w:color w:val="000000"/>
          <w:szCs w:val="22"/>
          <w:lang w:val="fi-FI" w:eastAsia="ja-JP"/>
        </w:rPr>
        <w:t>ttis</w:t>
      </w:r>
      <w:r w:rsidR="00626B96">
        <w:rPr>
          <w:color w:val="000000"/>
          <w:szCs w:val="22"/>
          <w:lang w:val="fi-FI" w:eastAsia="ja-JP"/>
        </w:rPr>
        <w:t>iä</w:t>
      </w:r>
      <w:r w:rsidR="00D376D9">
        <w:rPr>
          <w:color w:val="000000"/>
          <w:szCs w:val="22"/>
          <w:lang w:val="fi-FI" w:eastAsia="ja-JP"/>
        </w:rPr>
        <w:t xml:space="preserve"> arvioint</w:t>
      </w:r>
      <w:r w:rsidR="00626B96">
        <w:rPr>
          <w:color w:val="000000"/>
          <w:szCs w:val="22"/>
          <w:lang w:val="fi-FI" w:eastAsia="ja-JP"/>
        </w:rPr>
        <w:t>eja</w:t>
      </w:r>
      <w:r w:rsidR="00D376D9">
        <w:rPr>
          <w:color w:val="000000"/>
          <w:szCs w:val="22"/>
          <w:lang w:val="fi-FI" w:eastAsia="ja-JP"/>
        </w:rPr>
        <w:t xml:space="preserve"> 9 </w:t>
      </w:r>
      <w:r w:rsidRPr="004177D4">
        <w:rPr>
          <w:color w:val="000000"/>
          <w:szCs w:val="22"/>
          <w:lang w:val="fi-FI" w:eastAsia="ja-JP"/>
        </w:rPr>
        <w:t xml:space="preserve">ja </w:t>
      </w:r>
      <w:r w:rsidR="00D376D9">
        <w:rPr>
          <w:color w:val="000000"/>
          <w:szCs w:val="22"/>
          <w:lang w:val="fi-FI" w:eastAsia="ja-JP"/>
        </w:rPr>
        <w:t>molek</w:t>
      </w:r>
      <w:r w:rsidR="00627B27">
        <w:rPr>
          <w:color w:val="000000"/>
          <w:szCs w:val="22"/>
          <w:lang w:val="fi-FI" w:eastAsia="ja-JP"/>
        </w:rPr>
        <w:t>ulaaris</w:t>
      </w:r>
      <w:r w:rsidR="00626B96">
        <w:rPr>
          <w:color w:val="000000"/>
          <w:szCs w:val="22"/>
          <w:lang w:val="fi-FI" w:eastAsia="ja-JP"/>
        </w:rPr>
        <w:t>ia</w:t>
      </w:r>
      <w:r w:rsidR="00627B27">
        <w:rPr>
          <w:color w:val="000000"/>
          <w:szCs w:val="22"/>
          <w:lang w:val="fi-FI" w:eastAsia="ja-JP"/>
        </w:rPr>
        <w:t xml:space="preserve"> a</w:t>
      </w:r>
      <w:r w:rsidR="00D376D9">
        <w:rPr>
          <w:color w:val="000000"/>
          <w:szCs w:val="22"/>
          <w:lang w:val="fi-FI" w:eastAsia="ja-JP"/>
        </w:rPr>
        <w:t>rvioint</w:t>
      </w:r>
      <w:r w:rsidR="00626B96">
        <w:rPr>
          <w:color w:val="000000"/>
          <w:szCs w:val="22"/>
          <w:lang w:val="fi-FI" w:eastAsia="ja-JP"/>
        </w:rPr>
        <w:t>eja</w:t>
      </w:r>
      <w:r w:rsidR="00D376D9">
        <w:rPr>
          <w:color w:val="000000"/>
          <w:szCs w:val="22"/>
          <w:lang w:val="fi-FI" w:eastAsia="ja-JP"/>
        </w:rPr>
        <w:t xml:space="preserve"> 17 </w:t>
      </w:r>
      <w:r w:rsidR="001C13A3">
        <w:rPr>
          <w:color w:val="000000"/>
          <w:szCs w:val="22"/>
          <w:lang w:val="fi-FI" w:eastAsia="ja-JP"/>
        </w:rPr>
        <w:t>tutkimukseen otetuista 23</w:t>
      </w:r>
      <w:r w:rsidR="00680E36">
        <w:rPr>
          <w:color w:val="000000"/>
          <w:szCs w:val="22"/>
          <w:lang w:val="fi-FI" w:eastAsia="ja-JP"/>
        </w:rPr>
        <w:t> </w:t>
      </w:r>
      <w:r w:rsidRPr="004177D4">
        <w:rPr>
          <w:color w:val="000000"/>
          <w:szCs w:val="22"/>
          <w:lang w:val="fi-FI" w:eastAsia="ja-JP"/>
        </w:rPr>
        <w:t xml:space="preserve">potilaasta. </w:t>
      </w:r>
      <w:r w:rsidR="001549D9">
        <w:rPr>
          <w:color w:val="000000"/>
          <w:szCs w:val="22"/>
          <w:lang w:val="fi-FI" w:eastAsia="ja-JP"/>
        </w:rPr>
        <w:t xml:space="preserve">Jos </w:t>
      </w:r>
      <w:r w:rsidR="00684B56" w:rsidRPr="004177D4">
        <w:rPr>
          <w:color w:val="000000"/>
          <w:szCs w:val="22"/>
          <w:lang w:val="fi-FI" w:eastAsia="ja-JP"/>
        </w:rPr>
        <w:t xml:space="preserve">konservatiivisesti </w:t>
      </w:r>
      <w:r w:rsidRPr="004177D4">
        <w:rPr>
          <w:color w:val="000000"/>
          <w:szCs w:val="22"/>
          <w:lang w:val="fi-FI" w:eastAsia="ja-JP"/>
        </w:rPr>
        <w:t xml:space="preserve">oletetaan, että </w:t>
      </w:r>
      <w:r w:rsidR="00684B56">
        <w:rPr>
          <w:color w:val="000000"/>
          <w:szCs w:val="22"/>
          <w:lang w:val="fi-FI" w:eastAsia="ja-JP"/>
        </w:rPr>
        <w:t xml:space="preserve">ne </w:t>
      </w:r>
      <w:r w:rsidRPr="004177D4">
        <w:rPr>
          <w:color w:val="000000"/>
          <w:szCs w:val="22"/>
          <w:lang w:val="fi-FI" w:eastAsia="ja-JP"/>
        </w:rPr>
        <w:t xml:space="preserve">potilaat joilta </w:t>
      </w:r>
      <w:r w:rsidR="00684B56" w:rsidRPr="004177D4">
        <w:rPr>
          <w:color w:val="000000"/>
          <w:szCs w:val="22"/>
          <w:lang w:val="fi-FI" w:eastAsia="ja-JP"/>
        </w:rPr>
        <w:t xml:space="preserve">tietoja </w:t>
      </w:r>
      <w:r w:rsidR="00684B56">
        <w:rPr>
          <w:color w:val="000000"/>
          <w:szCs w:val="22"/>
          <w:lang w:val="fi-FI" w:eastAsia="ja-JP"/>
        </w:rPr>
        <w:t>ei ollut saatavilla</w:t>
      </w:r>
      <w:r w:rsidRPr="004177D4">
        <w:rPr>
          <w:color w:val="000000"/>
          <w:szCs w:val="22"/>
          <w:lang w:val="fi-FI" w:eastAsia="ja-JP"/>
        </w:rPr>
        <w:t xml:space="preserve"> </w:t>
      </w:r>
      <w:r w:rsidR="000331C9">
        <w:rPr>
          <w:color w:val="000000"/>
          <w:szCs w:val="22"/>
          <w:lang w:val="fi-FI" w:eastAsia="ja-JP"/>
        </w:rPr>
        <w:t xml:space="preserve">eivät saavuttaneet vastetta, </w:t>
      </w:r>
      <w:r w:rsidR="00684B56">
        <w:rPr>
          <w:color w:val="000000"/>
          <w:szCs w:val="22"/>
          <w:lang w:val="fi-FI" w:eastAsia="ja-JP"/>
        </w:rPr>
        <w:t xml:space="preserve">niin </w:t>
      </w:r>
      <w:r w:rsidR="000331C9">
        <w:rPr>
          <w:color w:val="000000"/>
          <w:szCs w:val="22"/>
          <w:lang w:val="fi-FI" w:eastAsia="ja-JP"/>
        </w:rPr>
        <w:t>20 </w:t>
      </w:r>
      <w:r w:rsidRPr="004177D4">
        <w:rPr>
          <w:color w:val="000000"/>
          <w:szCs w:val="22"/>
          <w:lang w:val="fi-FI" w:eastAsia="ja-JP"/>
        </w:rPr>
        <w:t>potilasta 23:sta (87</w:t>
      </w:r>
      <w:r w:rsidR="00600229">
        <w:rPr>
          <w:color w:val="000000"/>
          <w:szCs w:val="22"/>
          <w:lang w:val="fi-FI" w:eastAsia="ja-JP"/>
        </w:rPr>
        <w:t> </w:t>
      </w:r>
      <w:r w:rsidRPr="004177D4">
        <w:rPr>
          <w:color w:val="000000"/>
          <w:szCs w:val="22"/>
          <w:lang w:val="fi-FI" w:eastAsia="ja-JP"/>
        </w:rPr>
        <w:t>%) saavutti täydellisen hematologisen vast</w:t>
      </w:r>
      <w:r w:rsidR="000331C9">
        <w:rPr>
          <w:color w:val="000000"/>
          <w:szCs w:val="22"/>
          <w:lang w:val="fi-FI" w:eastAsia="ja-JP"/>
        </w:rPr>
        <w:t>een, 9 </w:t>
      </w:r>
      <w:r w:rsidRPr="004177D4">
        <w:rPr>
          <w:color w:val="000000"/>
          <w:szCs w:val="22"/>
          <w:lang w:val="fi-FI" w:eastAsia="ja-JP"/>
        </w:rPr>
        <w:t>potilasta 23:sta (39,1</w:t>
      </w:r>
      <w:r w:rsidR="00F91010">
        <w:rPr>
          <w:color w:val="000000"/>
          <w:szCs w:val="22"/>
          <w:lang w:val="fi-FI" w:eastAsia="ja-JP"/>
        </w:rPr>
        <w:t> </w:t>
      </w:r>
      <w:r w:rsidRPr="004177D4">
        <w:rPr>
          <w:color w:val="000000"/>
          <w:szCs w:val="22"/>
          <w:lang w:val="fi-FI" w:eastAsia="ja-JP"/>
        </w:rPr>
        <w:t>%) saavutti täydellisen sytogeneettisen vaste</w:t>
      </w:r>
      <w:r w:rsidR="000331C9">
        <w:rPr>
          <w:color w:val="000000"/>
          <w:szCs w:val="22"/>
          <w:lang w:val="fi-FI" w:eastAsia="ja-JP"/>
        </w:rPr>
        <w:t>en ja 11 </w:t>
      </w:r>
      <w:r w:rsidR="00F91010">
        <w:rPr>
          <w:color w:val="000000"/>
          <w:szCs w:val="22"/>
          <w:lang w:val="fi-FI" w:eastAsia="ja-JP"/>
        </w:rPr>
        <w:t>potilasta 23:sta (47,8 </w:t>
      </w:r>
      <w:r w:rsidRPr="004177D4">
        <w:rPr>
          <w:color w:val="000000"/>
          <w:szCs w:val="22"/>
          <w:lang w:val="fi-FI" w:eastAsia="ja-JP"/>
        </w:rPr>
        <w:t xml:space="preserve">%) saavutti molekulaarisen vasteen. </w:t>
      </w:r>
      <w:r w:rsidR="00457898">
        <w:rPr>
          <w:color w:val="000000"/>
          <w:szCs w:val="22"/>
          <w:lang w:val="fi-FI" w:eastAsia="ja-JP"/>
        </w:rPr>
        <w:t>Jos</w:t>
      </w:r>
      <w:r w:rsidRPr="004177D4">
        <w:rPr>
          <w:color w:val="000000"/>
          <w:szCs w:val="22"/>
          <w:lang w:val="fi-FI" w:eastAsia="ja-JP"/>
        </w:rPr>
        <w:t xml:space="preserve"> vasteprosentit lasketaan potilaista, joilta on tiedossa vähintään yksi validi arviointitulos, täydellisen hematologisen vasteen saavutti </w:t>
      </w:r>
      <w:r w:rsidR="00AA460D">
        <w:rPr>
          <w:color w:val="000000"/>
          <w:szCs w:val="22"/>
          <w:lang w:val="fi-FI" w:eastAsia="ja-JP"/>
        </w:rPr>
        <w:t>20</w:t>
      </w:r>
      <w:r w:rsidR="009A294D">
        <w:rPr>
          <w:color w:val="000000"/>
          <w:szCs w:val="22"/>
          <w:lang w:val="fi-FI" w:eastAsia="ja-JP"/>
        </w:rPr>
        <w:t> </w:t>
      </w:r>
      <w:r w:rsidRPr="004177D4">
        <w:rPr>
          <w:color w:val="000000"/>
          <w:szCs w:val="22"/>
          <w:lang w:val="fi-FI" w:eastAsia="ja-JP"/>
        </w:rPr>
        <w:t>potilasta 22:sta (90,9</w:t>
      </w:r>
      <w:r w:rsidR="009A294D">
        <w:rPr>
          <w:color w:val="000000"/>
          <w:szCs w:val="22"/>
          <w:lang w:val="fi-FI" w:eastAsia="ja-JP"/>
        </w:rPr>
        <w:t> </w:t>
      </w:r>
      <w:r w:rsidRPr="004177D4">
        <w:rPr>
          <w:color w:val="000000"/>
          <w:szCs w:val="22"/>
          <w:lang w:val="fi-FI" w:eastAsia="ja-JP"/>
        </w:rPr>
        <w:t>%), täydellisen sytogeneettisen vasteen 9</w:t>
      </w:r>
      <w:r w:rsidR="00025C76">
        <w:rPr>
          <w:color w:val="000000"/>
          <w:szCs w:val="22"/>
          <w:lang w:val="fi-FI" w:eastAsia="ja-JP"/>
        </w:rPr>
        <w:t> potilasta 9:stä (100 </w:t>
      </w:r>
      <w:r w:rsidR="00BB5464">
        <w:rPr>
          <w:color w:val="000000"/>
          <w:szCs w:val="22"/>
          <w:lang w:val="fi-FI" w:eastAsia="ja-JP"/>
        </w:rPr>
        <w:t>%) ja molekulaarisen vasteen 11 </w:t>
      </w:r>
      <w:r w:rsidRPr="004177D4">
        <w:rPr>
          <w:color w:val="000000"/>
          <w:szCs w:val="22"/>
          <w:lang w:val="fi-FI" w:eastAsia="ja-JP"/>
        </w:rPr>
        <w:t>potilasta 17:stä (64,7</w:t>
      </w:r>
      <w:r w:rsidR="00BB5464">
        <w:rPr>
          <w:color w:val="000000"/>
          <w:szCs w:val="22"/>
          <w:lang w:val="fi-FI" w:eastAsia="ja-JP"/>
        </w:rPr>
        <w:t> </w:t>
      </w:r>
      <w:r w:rsidRPr="004177D4">
        <w:rPr>
          <w:color w:val="000000"/>
          <w:szCs w:val="22"/>
          <w:lang w:val="fi-FI" w:eastAsia="ja-JP"/>
        </w:rPr>
        <w:t>%).</w:t>
      </w:r>
    </w:p>
    <w:p w14:paraId="586FC307" w14:textId="77777777" w:rsidR="004177D4" w:rsidRPr="004177D4" w:rsidRDefault="004177D4">
      <w:pPr>
        <w:pStyle w:val="EndnoteText"/>
        <w:widowControl w:val="0"/>
        <w:tabs>
          <w:tab w:val="clear" w:pos="567"/>
        </w:tabs>
        <w:rPr>
          <w:color w:val="000000"/>
          <w:szCs w:val="22"/>
          <w:lang w:val="fi-FI" w:eastAsia="ja-JP"/>
        </w:rPr>
      </w:pPr>
    </w:p>
    <w:p w14:paraId="586FC308" w14:textId="77777777" w:rsidR="00933AD7" w:rsidRPr="00912A5D" w:rsidRDefault="00AE3698">
      <w:pPr>
        <w:pStyle w:val="EndnoteText"/>
        <w:widowControl w:val="0"/>
        <w:tabs>
          <w:tab w:val="clear" w:pos="567"/>
        </w:tabs>
        <w:rPr>
          <w:color w:val="000000"/>
          <w:szCs w:val="22"/>
          <w:lang w:val="fi-FI"/>
        </w:rPr>
      </w:pPr>
      <w:r w:rsidRPr="00912A5D">
        <w:rPr>
          <w:color w:val="000000"/>
          <w:szCs w:val="22"/>
          <w:lang w:val="fi-FI"/>
        </w:rPr>
        <w:t>Lisäksi 13 julkaisussa on annettu tietoa 24 potilaasta, joilla oli myelodysplastinen oireyhtymä/myeloproliferatiivinen tauti. 21 potilasta sai Gliveciä annoksena 400 mg/vrk, ja loput kolme saivat pienempiä annoksia. Yhdellätoista potilaalla todettiin PDGFR-geenin uudelleenjärjestäytymistä. Heistä 9 saavutti täydellisen hematologisen vasteen ja 1 osittaisen hematologisen vasteen. Nämä potilaat olivat 2</w:t>
      </w:r>
      <w:r w:rsidRPr="00912A5D">
        <w:rPr>
          <w:color w:val="000000"/>
          <w:szCs w:val="22"/>
          <w:lang w:val="fi-FI"/>
        </w:rPr>
        <w:noBreakHyphen/>
        <w:t>79-vuotiaita. Eräässä julkaisussa annettiin äskettäin uutta tietoa kuudesta näistä 11 potilaasta, ja tietojen mukaan kaikki kuusi ovat edelleen sytogeneettisessä remissiossa (vaihteluväli 32–38 kuukautta). Samassa julkaisussa raportoitiin pitkäaikaisseurantatietoja 12 potilaasta, joilla oli myelodysplastinen oireyhtymä/myeloproliferatiivinen tauti ja PDGFR-geenin uudelleenjärjestäytymistä (5 potilasta B2225-tutkimuksesta). Näillä potilailla Glivec-hoidon mediaanikesto oli 47 kuukautta (vaihteluväli 24 vuorokautta – 60 kuukautta). Näistä potilaista kuutta on nyt seurattu yli 4 vuoden ajan. Yksitoista potilasta saavutti nopeasti täydellisen hematologisen vasteen. Kymmenellä potilaalla sytogeneettiset poikkeavuudet korjaantuivat täysin ja RT-</w:t>
      </w:r>
      <w:smartTag w:uri="urn:schemas-microsoft-com:office:smarttags" w:element="State">
        <w:r w:rsidRPr="00912A5D">
          <w:rPr>
            <w:color w:val="000000"/>
            <w:szCs w:val="22"/>
            <w:lang w:val="fi-FI"/>
          </w:rPr>
          <w:t>PCR</w:t>
        </w:r>
      </w:smartTag>
      <w:r w:rsidRPr="00912A5D">
        <w:rPr>
          <w:color w:val="000000"/>
          <w:szCs w:val="22"/>
          <w:lang w:val="fi-FI"/>
        </w:rPr>
        <w:t>-tutkimuksella määritettävät fuusiotranskriptit joko vähenivät tai hävisivät täysin. Hematologisten vasteiden mediaanikesto on ollut 49 kuukautta (vaihteluväli 19</w:t>
      </w:r>
      <w:r w:rsidRPr="00912A5D">
        <w:rPr>
          <w:color w:val="000000"/>
          <w:szCs w:val="22"/>
          <w:lang w:val="fi-FI"/>
        </w:rPr>
        <w:noBreakHyphen/>
        <w:t>60 kuukautta) ja sytogeneettisten vasteiden 47 kuukautta (vaihteluväli 16</w:t>
      </w:r>
      <w:r w:rsidRPr="00912A5D">
        <w:rPr>
          <w:color w:val="000000"/>
          <w:szCs w:val="22"/>
          <w:lang w:val="fi-FI"/>
        </w:rPr>
        <w:noBreakHyphen/>
        <w:t>59 kuukautta). Kokonaiselinaika on 65 kuukautta diagnoosista (vaihteluväli 25</w:t>
      </w:r>
      <w:r w:rsidRPr="00912A5D">
        <w:rPr>
          <w:color w:val="000000"/>
          <w:szCs w:val="22"/>
          <w:lang w:val="fi-FI"/>
        </w:rPr>
        <w:noBreakHyphen/>
        <w:t>234 kuukautta). Jos potilaalla ei ole todettu tätä geenin translokaatiota, ei Glivec-hoidon antamisesta ole hyötyä.</w:t>
      </w:r>
    </w:p>
    <w:p w14:paraId="586FC309" w14:textId="77777777" w:rsidR="00AE3698" w:rsidRPr="00912A5D" w:rsidRDefault="00AE3698">
      <w:pPr>
        <w:pStyle w:val="EndnoteText"/>
        <w:widowControl w:val="0"/>
        <w:tabs>
          <w:tab w:val="clear" w:pos="567"/>
        </w:tabs>
        <w:rPr>
          <w:color w:val="000000"/>
          <w:szCs w:val="22"/>
          <w:lang w:val="fi-FI"/>
        </w:rPr>
      </w:pPr>
    </w:p>
    <w:p w14:paraId="586FC30A" w14:textId="77777777" w:rsidR="005A317A" w:rsidRDefault="005E4D97">
      <w:pPr>
        <w:pStyle w:val="EndnoteText"/>
        <w:widowControl w:val="0"/>
        <w:tabs>
          <w:tab w:val="clear" w:pos="567"/>
        </w:tabs>
        <w:rPr>
          <w:color w:val="000000"/>
          <w:szCs w:val="22"/>
          <w:lang w:val="fi-FI"/>
        </w:rPr>
      </w:pPr>
      <w:r>
        <w:rPr>
          <w:color w:val="000000"/>
          <w:szCs w:val="22"/>
          <w:lang w:val="fi-FI"/>
        </w:rPr>
        <w:t>Pediatrisilla potilailla, joilla on m</w:t>
      </w:r>
      <w:r w:rsidRPr="00912A5D">
        <w:rPr>
          <w:color w:val="000000"/>
          <w:szCs w:val="22"/>
          <w:lang w:val="fi-FI"/>
        </w:rPr>
        <w:t>yelodysplasti</w:t>
      </w:r>
      <w:r>
        <w:rPr>
          <w:color w:val="000000"/>
          <w:szCs w:val="22"/>
          <w:lang w:val="fi-FI"/>
        </w:rPr>
        <w:t>nen</w:t>
      </w:r>
      <w:r w:rsidRPr="00912A5D">
        <w:rPr>
          <w:color w:val="000000"/>
          <w:szCs w:val="22"/>
          <w:lang w:val="fi-FI"/>
        </w:rPr>
        <w:t xml:space="preserve"> oireyhtymä</w:t>
      </w:r>
      <w:r>
        <w:rPr>
          <w:color w:val="000000"/>
          <w:szCs w:val="22"/>
          <w:lang w:val="fi-FI"/>
        </w:rPr>
        <w:t>/</w:t>
      </w:r>
      <w:r w:rsidRPr="00912A5D">
        <w:rPr>
          <w:color w:val="000000"/>
          <w:szCs w:val="22"/>
          <w:lang w:val="fi-FI"/>
        </w:rPr>
        <w:t>myeloproliferatiivi</w:t>
      </w:r>
      <w:r>
        <w:rPr>
          <w:color w:val="000000"/>
          <w:szCs w:val="22"/>
          <w:lang w:val="fi-FI"/>
        </w:rPr>
        <w:t>nen</w:t>
      </w:r>
      <w:r w:rsidRPr="00912A5D">
        <w:rPr>
          <w:color w:val="000000"/>
          <w:szCs w:val="22"/>
          <w:lang w:val="fi-FI"/>
        </w:rPr>
        <w:t xml:space="preserve"> sairau</w:t>
      </w:r>
      <w:r>
        <w:rPr>
          <w:color w:val="000000"/>
          <w:szCs w:val="22"/>
          <w:lang w:val="fi-FI"/>
        </w:rPr>
        <w:t>s,</w:t>
      </w:r>
      <w:r w:rsidRPr="00C3684E">
        <w:rPr>
          <w:color w:val="000000"/>
          <w:szCs w:val="22"/>
          <w:lang w:val="fi-FI"/>
        </w:rPr>
        <w:t xml:space="preserve"> </w:t>
      </w:r>
      <w:r>
        <w:rPr>
          <w:color w:val="000000"/>
          <w:szCs w:val="22"/>
          <w:lang w:val="fi-FI"/>
        </w:rPr>
        <w:t xml:space="preserve">ei ole tehty kontrolloituja kliinisiä tutkimuksia. Viisi MDS/MPD-tapausta, joihin liittyi </w:t>
      </w:r>
      <w:r w:rsidRPr="00912A5D">
        <w:rPr>
          <w:color w:val="000000"/>
          <w:szCs w:val="22"/>
          <w:lang w:val="fi-FI"/>
        </w:rPr>
        <w:t>PDGFR</w:t>
      </w:r>
      <w:r>
        <w:rPr>
          <w:color w:val="000000"/>
          <w:szCs w:val="22"/>
          <w:lang w:val="fi-FI"/>
        </w:rPr>
        <w:t>-geenin</w:t>
      </w:r>
      <w:r w:rsidRPr="00912A5D">
        <w:rPr>
          <w:color w:val="000000"/>
          <w:szCs w:val="22"/>
          <w:lang w:val="fi-FI"/>
        </w:rPr>
        <w:t xml:space="preserve"> uudelleenjärjestäytymis</w:t>
      </w:r>
      <w:r>
        <w:rPr>
          <w:color w:val="000000"/>
          <w:szCs w:val="22"/>
          <w:lang w:val="fi-FI"/>
        </w:rPr>
        <w:t>tä, on raportoitu neljässä eri julkaisussa</w:t>
      </w:r>
      <w:r w:rsidRPr="00912A5D">
        <w:rPr>
          <w:color w:val="000000"/>
          <w:szCs w:val="22"/>
          <w:lang w:val="fi-FI"/>
        </w:rPr>
        <w:t>.</w:t>
      </w:r>
      <w:r>
        <w:rPr>
          <w:color w:val="000000"/>
          <w:szCs w:val="22"/>
          <w:lang w:val="fi-FI"/>
        </w:rPr>
        <w:t xml:space="preserve"> Nämä potilaat olivat iältään 3</w:t>
      </w:r>
      <w:r w:rsidR="00BC3CFC">
        <w:rPr>
          <w:color w:val="000000"/>
          <w:szCs w:val="22"/>
          <w:lang w:val="fi-FI"/>
        </w:rPr>
        <w:t> </w:t>
      </w:r>
      <w:r>
        <w:rPr>
          <w:color w:val="000000"/>
          <w:szCs w:val="22"/>
          <w:lang w:val="fi-FI"/>
        </w:rPr>
        <w:t xml:space="preserve">kk </w:t>
      </w:r>
      <w:r w:rsidR="00BC3CFC">
        <w:rPr>
          <w:color w:val="000000"/>
          <w:szCs w:val="22"/>
          <w:lang w:val="fi-FI"/>
        </w:rPr>
        <w:t>–</w:t>
      </w:r>
      <w:r>
        <w:rPr>
          <w:color w:val="000000"/>
          <w:szCs w:val="22"/>
          <w:lang w:val="fi-FI"/>
        </w:rPr>
        <w:t xml:space="preserve"> 4</w:t>
      </w:r>
      <w:r w:rsidR="00BC3CFC">
        <w:rPr>
          <w:color w:val="000000"/>
          <w:szCs w:val="22"/>
          <w:lang w:val="fi-FI"/>
        </w:rPr>
        <w:t> </w:t>
      </w:r>
      <w:r>
        <w:rPr>
          <w:color w:val="000000"/>
          <w:szCs w:val="22"/>
          <w:lang w:val="fi-FI"/>
        </w:rPr>
        <w:t xml:space="preserve">vuotta ja imatinibia annettiin annoksin </w:t>
      </w:r>
      <w:r w:rsidR="00297FFC">
        <w:rPr>
          <w:color w:val="000000"/>
          <w:szCs w:val="22"/>
          <w:lang w:val="fi-FI"/>
        </w:rPr>
        <w:t xml:space="preserve">50 mg/vrk tai </w:t>
      </w:r>
      <w:r>
        <w:rPr>
          <w:color w:val="000000"/>
          <w:szCs w:val="22"/>
          <w:lang w:val="fi-FI"/>
        </w:rPr>
        <w:t>92,5</w:t>
      </w:r>
      <w:r w:rsidR="00BC3CFC">
        <w:rPr>
          <w:color w:val="000000"/>
          <w:szCs w:val="22"/>
          <w:lang w:val="fi-FI"/>
        </w:rPr>
        <w:noBreakHyphen/>
      </w:r>
      <w:r>
        <w:rPr>
          <w:color w:val="000000"/>
          <w:szCs w:val="22"/>
          <w:lang w:val="fi-FI"/>
        </w:rPr>
        <w:t>340 mg/m</w:t>
      </w:r>
      <w:r w:rsidRPr="00933AD7">
        <w:rPr>
          <w:color w:val="000000"/>
          <w:szCs w:val="22"/>
          <w:vertAlign w:val="superscript"/>
          <w:lang w:val="fi-FI"/>
        </w:rPr>
        <w:t>2</w:t>
      </w:r>
      <w:r>
        <w:rPr>
          <w:color w:val="000000"/>
          <w:szCs w:val="22"/>
          <w:lang w:val="fi-FI"/>
        </w:rPr>
        <w:t>/vrk. Kaikki potilaat saavuttivat täydellisen hematologisen vasteen, sytogeneettisen vasteen ja/tai kliinisen vasteen.</w:t>
      </w:r>
    </w:p>
    <w:p w14:paraId="586FC30B" w14:textId="77777777" w:rsidR="005E4D97" w:rsidRDefault="005E4D97">
      <w:pPr>
        <w:pStyle w:val="EndnoteText"/>
        <w:widowControl w:val="0"/>
        <w:tabs>
          <w:tab w:val="clear" w:pos="567"/>
        </w:tabs>
        <w:rPr>
          <w:color w:val="000000"/>
          <w:szCs w:val="22"/>
          <w:u w:val="single"/>
          <w:lang w:val="fi-FI"/>
        </w:rPr>
      </w:pPr>
    </w:p>
    <w:p w14:paraId="586FC30C"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u w:val="single"/>
          <w:lang w:val="fi-FI"/>
        </w:rPr>
        <w:t>Kliiniset tutkimukset koskien hypereosinofiilista oireyhtymää (HES)/kroonista eosinofiilistä leukemiaa (</w:t>
      </w:r>
      <w:smartTag w:uri="urn:schemas-microsoft-com:office:smarttags" w:element="State">
        <w:r w:rsidRPr="00912A5D">
          <w:rPr>
            <w:color w:val="000000"/>
            <w:szCs w:val="22"/>
            <w:u w:val="single"/>
            <w:lang w:val="fi-FI"/>
          </w:rPr>
          <w:t>CEL</w:t>
        </w:r>
      </w:smartTag>
      <w:r w:rsidRPr="00912A5D">
        <w:rPr>
          <w:color w:val="000000"/>
          <w:szCs w:val="22"/>
          <w:u w:val="single"/>
          <w:lang w:val="fi-FI"/>
        </w:rPr>
        <w:t>)</w:t>
      </w:r>
    </w:p>
    <w:p w14:paraId="586FC30D" w14:textId="77777777" w:rsidR="00AE3698" w:rsidRPr="00912A5D" w:rsidRDefault="00AE3698">
      <w:pPr>
        <w:pStyle w:val="Text"/>
        <w:spacing w:before="0"/>
        <w:jc w:val="left"/>
        <w:rPr>
          <w:color w:val="000000"/>
          <w:sz w:val="22"/>
          <w:szCs w:val="22"/>
          <w:lang w:val="fi-FI"/>
        </w:rPr>
      </w:pPr>
      <w:r w:rsidRPr="00912A5D">
        <w:rPr>
          <w:color w:val="000000"/>
          <w:sz w:val="22"/>
          <w:szCs w:val="22"/>
          <w:lang w:val="fi-FI" w:eastAsia="ja-JP"/>
        </w:rPr>
        <w:t xml:space="preserve">Yhdessä avoimessa vaiheen II kliinisessä monikeskustutkimuksessa (tutkimus B2225) Gliveciä annettiin monentyyppisille potilaille, joilla oli hengenvaarallisia sairauksia liittyneenä Abl-, Kit- tai PDGFR-proteiinityrosiinikinaaseihin. Tässä tutkimuksessa 14 potilasta, joilla oli </w:t>
      </w:r>
      <w:r w:rsidRPr="00912A5D">
        <w:rPr>
          <w:color w:val="000000"/>
          <w:sz w:val="22"/>
          <w:szCs w:val="22"/>
          <w:lang w:val="fi-FI"/>
        </w:rPr>
        <w:t>hypereosinofiilinen oireyhtymä/krooninen eosinofiilinen leukemia, sai Gliveciä annoksena 100</w:t>
      </w:r>
      <w:r w:rsidRPr="00912A5D">
        <w:rPr>
          <w:color w:val="000000"/>
          <w:sz w:val="22"/>
          <w:szCs w:val="22"/>
          <w:lang w:val="fi-FI"/>
        </w:rPr>
        <w:noBreakHyphen/>
        <w:t>1 000 mg/vrk.</w:t>
      </w:r>
      <w:r w:rsidRPr="00912A5D">
        <w:rPr>
          <w:color w:val="000000"/>
          <w:sz w:val="22"/>
          <w:szCs w:val="22"/>
          <w:lang w:val="fi-FI" w:eastAsia="ja-JP"/>
        </w:rPr>
        <w:t xml:space="preserve"> Lisäksi 35 julkaistussa tapauskertomuksessa ja tapaussarjassa on annettu tietoa 162 potilaasta, joilla oli </w:t>
      </w:r>
      <w:r w:rsidRPr="00912A5D">
        <w:rPr>
          <w:color w:val="000000"/>
          <w:sz w:val="22"/>
          <w:szCs w:val="22"/>
          <w:lang w:val="fi-FI"/>
        </w:rPr>
        <w:t>hypereosinofiilinen oireyhtymä/krooninen eosinofiilinen leukemia ja jotka saivat Gliveciä annoksena 75</w:t>
      </w:r>
      <w:r w:rsidRPr="00912A5D">
        <w:rPr>
          <w:color w:val="000000"/>
          <w:sz w:val="22"/>
          <w:szCs w:val="22"/>
          <w:lang w:val="fi-FI"/>
        </w:rPr>
        <w:noBreakHyphen/>
        <w:t xml:space="preserve">800 mg/vrk. Sytogeneettiset poikkeavuudet arvioitiin tässä 176 potilaan kokonaispopulaatiossa 117 potilaalta. Näistä 117 potilaasta 61 todettiin FIP1L1-PDGFRα-fuusiokinaasipositiivisiksi. Kolmessa muussa julkaistussa raportissa on kuvattu vielä 4 hypereosinofiilista oireyhtymää sairastavaa potilasta, jotka todettiin FIP1L1-PDGFRα-positiivisiksi. Kaikki 65 FIP1L1-PDGFRα-fuusiokinaasipositiivista potilasta saavuttivat täydellisen hematologisen vasteen, joka säilyi kuukausien ajan (vaihteluväli 1+ – 44+ kuukautta raportointivaiheeseen mennessä). Erään tuoreen julkaisun tietojen mukaan näistä 65 potilaasta 21 saavutti myös täydellisen molekulaarisen remission. </w:t>
      </w:r>
      <w:r w:rsidRPr="00912A5D">
        <w:rPr>
          <w:color w:val="000000"/>
          <w:sz w:val="22"/>
          <w:szCs w:val="22"/>
          <w:lang w:val="fi-FI"/>
        </w:rPr>
        <w:lastRenderedPageBreak/>
        <w:t>Seuranta-ajan mediaani oli 28 kuukautta (vaihteluväli 13</w:t>
      </w:r>
      <w:r w:rsidRPr="00912A5D">
        <w:rPr>
          <w:color w:val="000000"/>
          <w:sz w:val="22"/>
          <w:szCs w:val="22"/>
          <w:lang w:val="fi-FI"/>
        </w:rPr>
        <w:noBreakHyphen/>
        <w:t>67 kuukautta). Nämä potilaat olivat 25</w:t>
      </w:r>
      <w:r w:rsidRPr="00912A5D">
        <w:rPr>
          <w:color w:val="000000"/>
          <w:sz w:val="22"/>
          <w:szCs w:val="22"/>
          <w:lang w:val="fi-FI"/>
        </w:rPr>
        <w:noBreakHyphen/>
        <w:t>72-vuotiaita. Tutkijat ovat raportoineet tapauskertomuksissa myös oireiston ja elinten toimintahäiriöiden paranemista. Paranemista raportoitiin seuraavissa elinjärjestelmissä: sydän, hermosto, iho/ihonalaiskudokset, hengityselimet/rintakehä/välikarsina, tuki- ja liikuntaelimistö/sidekudokset/verisuonet sekä ruoansulatuskanava.</w:t>
      </w:r>
    </w:p>
    <w:p w14:paraId="586FC30E" w14:textId="77777777" w:rsidR="005A317A" w:rsidRDefault="005A317A" w:rsidP="005A317A">
      <w:pPr>
        <w:pStyle w:val="Text"/>
        <w:spacing w:before="0"/>
        <w:jc w:val="left"/>
        <w:rPr>
          <w:color w:val="000000"/>
          <w:sz w:val="22"/>
          <w:szCs w:val="22"/>
          <w:lang w:val="fi-FI"/>
        </w:rPr>
      </w:pPr>
    </w:p>
    <w:p w14:paraId="586FC30F" w14:textId="77777777" w:rsidR="005A317A" w:rsidRDefault="005E4D97" w:rsidP="005A317A">
      <w:pPr>
        <w:pStyle w:val="EndnoteText"/>
        <w:widowControl w:val="0"/>
        <w:tabs>
          <w:tab w:val="clear" w:pos="567"/>
        </w:tabs>
        <w:rPr>
          <w:color w:val="000000"/>
          <w:szCs w:val="22"/>
          <w:lang w:val="fi-FI"/>
        </w:rPr>
      </w:pPr>
      <w:r>
        <w:rPr>
          <w:color w:val="000000"/>
          <w:szCs w:val="22"/>
          <w:lang w:val="fi-FI"/>
        </w:rPr>
        <w:t xml:space="preserve">Kontrolloituja tutkimuksia </w:t>
      </w:r>
      <w:r w:rsidRPr="00912A5D">
        <w:rPr>
          <w:color w:val="000000"/>
          <w:szCs w:val="22"/>
          <w:lang w:val="fi-FI"/>
        </w:rPr>
        <w:t>hypereosinofiili</w:t>
      </w:r>
      <w:r>
        <w:rPr>
          <w:color w:val="000000"/>
          <w:szCs w:val="22"/>
          <w:lang w:val="fi-FI"/>
        </w:rPr>
        <w:t>sta</w:t>
      </w:r>
      <w:r w:rsidRPr="00912A5D">
        <w:rPr>
          <w:color w:val="000000"/>
          <w:szCs w:val="22"/>
          <w:lang w:val="fi-FI"/>
        </w:rPr>
        <w:t xml:space="preserve"> oireyhtymä</w:t>
      </w:r>
      <w:r>
        <w:rPr>
          <w:color w:val="000000"/>
          <w:szCs w:val="22"/>
          <w:lang w:val="fi-FI"/>
        </w:rPr>
        <w:t>ä</w:t>
      </w:r>
      <w:r w:rsidRPr="00912A5D">
        <w:rPr>
          <w:color w:val="000000"/>
          <w:szCs w:val="22"/>
          <w:lang w:val="fi-FI"/>
        </w:rPr>
        <w:t xml:space="preserve"> tai krooni</w:t>
      </w:r>
      <w:r>
        <w:rPr>
          <w:color w:val="000000"/>
          <w:szCs w:val="22"/>
          <w:lang w:val="fi-FI"/>
        </w:rPr>
        <w:t>sta</w:t>
      </w:r>
      <w:r w:rsidRPr="00912A5D">
        <w:rPr>
          <w:color w:val="000000"/>
          <w:szCs w:val="22"/>
          <w:lang w:val="fi-FI"/>
        </w:rPr>
        <w:t xml:space="preserve"> eosinofiili</w:t>
      </w:r>
      <w:r>
        <w:rPr>
          <w:color w:val="000000"/>
          <w:szCs w:val="22"/>
          <w:lang w:val="fi-FI"/>
        </w:rPr>
        <w:t>sta</w:t>
      </w:r>
      <w:r w:rsidRPr="00912A5D">
        <w:rPr>
          <w:color w:val="000000"/>
          <w:szCs w:val="22"/>
          <w:lang w:val="fi-FI"/>
        </w:rPr>
        <w:t xml:space="preserve"> leukemia</w:t>
      </w:r>
      <w:r>
        <w:rPr>
          <w:color w:val="000000"/>
          <w:szCs w:val="22"/>
          <w:lang w:val="fi-FI"/>
        </w:rPr>
        <w:t xml:space="preserve">a sairastavilla pediatrisilla potilailla ei ole tehty. Kolme potilasta, joilla oli </w:t>
      </w:r>
      <w:r w:rsidRPr="001E6A99">
        <w:rPr>
          <w:color w:val="000000"/>
          <w:szCs w:val="22"/>
          <w:lang w:val="fi-FI"/>
        </w:rPr>
        <w:t>hypereosinofiili</w:t>
      </w:r>
      <w:r>
        <w:rPr>
          <w:color w:val="000000"/>
          <w:szCs w:val="22"/>
          <w:lang w:val="fi-FI"/>
        </w:rPr>
        <w:t>nen</w:t>
      </w:r>
      <w:r w:rsidRPr="001E6A99">
        <w:rPr>
          <w:color w:val="000000"/>
          <w:szCs w:val="22"/>
          <w:lang w:val="fi-FI"/>
        </w:rPr>
        <w:t xml:space="preserve"> oireyhtymä </w:t>
      </w:r>
      <w:r>
        <w:rPr>
          <w:color w:val="000000"/>
          <w:szCs w:val="22"/>
          <w:lang w:val="fi-FI"/>
        </w:rPr>
        <w:t xml:space="preserve">ja </w:t>
      </w:r>
      <w:r w:rsidRPr="001E6A99">
        <w:rPr>
          <w:color w:val="000000"/>
          <w:szCs w:val="22"/>
          <w:lang w:val="fi-FI"/>
        </w:rPr>
        <w:t>krooni</w:t>
      </w:r>
      <w:r>
        <w:rPr>
          <w:color w:val="000000"/>
          <w:szCs w:val="22"/>
          <w:lang w:val="fi-FI"/>
        </w:rPr>
        <w:t>nen</w:t>
      </w:r>
      <w:r w:rsidRPr="001E6A99">
        <w:rPr>
          <w:color w:val="000000"/>
          <w:szCs w:val="22"/>
          <w:lang w:val="fi-FI"/>
        </w:rPr>
        <w:t xml:space="preserve"> eosinofiili</w:t>
      </w:r>
      <w:r>
        <w:rPr>
          <w:color w:val="000000"/>
          <w:szCs w:val="22"/>
          <w:lang w:val="fi-FI"/>
        </w:rPr>
        <w:t>nen</w:t>
      </w:r>
      <w:r w:rsidRPr="001E6A99">
        <w:rPr>
          <w:color w:val="000000"/>
          <w:szCs w:val="22"/>
          <w:lang w:val="fi-FI"/>
        </w:rPr>
        <w:t xml:space="preserve"> leukemia</w:t>
      </w:r>
      <w:r>
        <w:rPr>
          <w:color w:val="000000"/>
          <w:szCs w:val="22"/>
          <w:lang w:val="fi-FI"/>
        </w:rPr>
        <w:t xml:space="preserve">, joihin liittyi </w:t>
      </w:r>
      <w:r w:rsidRPr="001E6A99">
        <w:rPr>
          <w:color w:val="000000"/>
          <w:szCs w:val="22"/>
          <w:lang w:val="fi-FI"/>
        </w:rPr>
        <w:t>PDGFR</w:t>
      </w:r>
      <w:r>
        <w:rPr>
          <w:color w:val="000000"/>
          <w:szCs w:val="22"/>
          <w:lang w:val="fi-FI"/>
        </w:rPr>
        <w:t>-geenin</w:t>
      </w:r>
      <w:r w:rsidRPr="001E6A99">
        <w:rPr>
          <w:color w:val="000000"/>
          <w:szCs w:val="22"/>
          <w:lang w:val="fi-FI"/>
        </w:rPr>
        <w:t xml:space="preserve"> uudelleenjärjestäytymis</w:t>
      </w:r>
      <w:r>
        <w:rPr>
          <w:color w:val="000000"/>
          <w:szCs w:val="22"/>
          <w:lang w:val="fi-FI"/>
        </w:rPr>
        <w:t>tä, on raportoitu kolmessa julkaisussa. Nämä potilaat olivat 2</w:t>
      </w:r>
      <w:r w:rsidR="00BC3CFC">
        <w:rPr>
          <w:color w:val="000000"/>
          <w:szCs w:val="22"/>
          <w:lang w:val="fi-FI"/>
        </w:rPr>
        <w:noBreakHyphen/>
      </w:r>
      <w:r>
        <w:rPr>
          <w:color w:val="000000"/>
          <w:szCs w:val="22"/>
          <w:lang w:val="fi-FI"/>
        </w:rPr>
        <w:t>16-vuotiaita ja imatinibia annettiin annoksin</w:t>
      </w:r>
      <w:r w:rsidR="000B122B" w:rsidRPr="000B122B">
        <w:rPr>
          <w:color w:val="000000"/>
          <w:szCs w:val="22"/>
          <w:lang w:val="fi-FI"/>
        </w:rPr>
        <w:t xml:space="preserve"> </w:t>
      </w:r>
      <w:r w:rsidR="000B122B">
        <w:rPr>
          <w:color w:val="000000"/>
          <w:szCs w:val="22"/>
          <w:lang w:val="fi-FI"/>
        </w:rPr>
        <w:t>300 mg/m</w:t>
      </w:r>
      <w:r w:rsidR="000B122B" w:rsidRPr="001E6A99">
        <w:rPr>
          <w:color w:val="000000"/>
          <w:szCs w:val="22"/>
          <w:vertAlign w:val="superscript"/>
          <w:lang w:val="fi-FI"/>
        </w:rPr>
        <w:t>2</w:t>
      </w:r>
      <w:r w:rsidR="000B122B">
        <w:rPr>
          <w:color w:val="000000"/>
          <w:szCs w:val="22"/>
          <w:lang w:val="fi-FI"/>
        </w:rPr>
        <w:t>/vrk tai</w:t>
      </w:r>
      <w:r>
        <w:rPr>
          <w:color w:val="000000"/>
          <w:szCs w:val="22"/>
          <w:lang w:val="fi-FI"/>
        </w:rPr>
        <w:t xml:space="preserve"> 200</w:t>
      </w:r>
      <w:r w:rsidR="00BC3CFC">
        <w:rPr>
          <w:color w:val="000000"/>
          <w:szCs w:val="22"/>
          <w:lang w:val="fi-FI"/>
        </w:rPr>
        <w:noBreakHyphen/>
      </w:r>
      <w:r>
        <w:rPr>
          <w:color w:val="000000"/>
          <w:szCs w:val="22"/>
          <w:lang w:val="fi-FI"/>
        </w:rPr>
        <w:t>400 mg/vrk. Kaikki potilaat saavuttivat täydellisen hematologisen vasteen, täydellisen sytogeneettisen vasteen ja/tai täydellisen molekulaarisen vasteen.</w:t>
      </w:r>
    </w:p>
    <w:p w14:paraId="586FC310" w14:textId="77777777" w:rsidR="005E4D97" w:rsidRPr="00912A5D" w:rsidRDefault="005E4D97" w:rsidP="005A317A">
      <w:pPr>
        <w:pStyle w:val="EndnoteText"/>
        <w:widowControl w:val="0"/>
        <w:tabs>
          <w:tab w:val="clear" w:pos="567"/>
        </w:tabs>
        <w:rPr>
          <w:color w:val="000000"/>
          <w:szCs w:val="22"/>
          <w:u w:val="single"/>
          <w:lang w:val="fi-FI"/>
        </w:rPr>
      </w:pPr>
    </w:p>
    <w:p w14:paraId="586FC311" w14:textId="77777777" w:rsidR="00A627D5" w:rsidRPr="00757264" w:rsidRDefault="00A627D5" w:rsidP="00F71263">
      <w:pPr>
        <w:pStyle w:val="EndnoteText"/>
        <w:keepNext/>
        <w:widowControl w:val="0"/>
        <w:tabs>
          <w:tab w:val="clear" w:pos="567"/>
        </w:tabs>
        <w:rPr>
          <w:color w:val="000000"/>
          <w:szCs w:val="22"/>
          <w:u w:val="single"/>
          <w:lang w:val="fi-FI"/>
        </w:rPr>
      </w:pPr>
      <w:r w:rsidRPr="00912A5D">
        <w:rPr>
          <w:color w:val="000000"/>
          <w:szCs w:val="22"/>
          <w:u w:val="single"/>
          <w:lang w:val="fi-FI"/>
        </w:rPr>
        <w:t>Kliininen tutkimus koskien ruuansulatuskanavan stroomakasvaimia (GIST</w:t>
      </w:r>
      <w:r w:rsidRPr="00757264">
        <w:rPr>
          <w:color w:val="000000"/>
          <w:szCs w:val="22"/>
          <w:u w:val="single"/>
          <w:lang w:val="fi-FI"/>
        </w:rPr>
        <w:t>),</w:t>
      </w:r>
      <w:r w:rsidRPr="00757264">
        <w:rPr>
          <w:szCs w:val="22"/>
          <w:u w:val="single"/>
          <w:lang w:val="fi-FI"/>
        </w:rPr>
        <w:t xml:space="preserve"> jota ei voida leikata ja/tai joka on metastasoitunut</w:t>
      </w:r>
    </w:p>
    <w:p w14:paraId="586FC312"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Pahanlaatuista ruuansulatuskanavan stroomakasvainta (GIST), jota ei voida leikata ja/tai joka on metastasoitunut, sairastavilla potilailla suoritettiin yksi II vaiheen, avoin, kontrolloimaton, satunnaistettu, kansainvälinen tutkimus. Tutkimukseen otettiin 147 potilasta, jotka satunnaistettiin saamaan suun kautta joko 400 mg tai 600 mg imatinibia kerran vuorokaudessa 36 kuukauden ajan. Potilaat olivat 18–83-vuotiaita ja heillä oli histologisesti todettu Kit-positiivinen pahanlaatuinen GIST, jota ei voitu leikata ja/tai joka oli metastasoitunut. Immunohistokemiallinen määritys suoritettiin rutiininomaisesti Kit vasta-aineella (A-4502, kaniinin polyklonaalinen antiseerumi, 1:100; DAKO Corporation, Carpinteria, CA). Antigeenin eristämisen jälkeinen analyysi perustui avidiini-biotiini-peroksidaasi-kompleksi-menetelmään.</w:t>
      </w:r>
    </w:p>
    <w:p w14:paraId="586FC313" w14:textId="77777777" w:rsidR="00AE3698" w:rsidRPr="00912A5D" w:rsidRDefault="00AE3698">
      <w:pPr>
        <w:pStyle w:val="EndnoteText"/>
        <w:widowControl w:val="0"/>
        <w:tabs>
          <w:tab w:val="clear" w:pos="567"/>
        </w:tabs>
        <w:rPr>
          <w:color w:val="000000"/>
          <w:szCs w:val="22"/>
          <w:lang w:val="fi-FI"/>
        </w:rPr>
      </w:pPr>
    </w:p>
    <w:p w14:paraId="586FC314"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Ensisijainen tehon osoitus perustui objektiivisten vasteiden määrään. Kasvainten piti olla mitattavissa ainakin yhdellä kasvainalueella ja vasteen luokittelu perustui SWOG-kriteeriin (Southwestern Oncology Group). Tulokset on esitetty Taulukossa </w:t>
      </w:r>
      <w:r w:rsidR="00170AC1">
        <w:rPr>
          <w:color w:val="000000"/>
          <w:szCs w:val="22"/>
          <w:lang w:val="fi-FI"/>
        </w:rPr>
        <w:t>6</w:t>
      </w:r>
      <w:r w:rsidRPr="00912A5D">
        <w:rPr>
          <w:color w:val="000000"/>
          <w:szCs w:val="22"/>
          <w:lang w:val="fi-FI"/>
        </w:rPr>
        <w:t>.</w:t>
      </w:r>
    </w:p>
    <w:p w14:paraId="586FC315" w14:textId="77777777" w:rsidR="00AE3698" w:rsidRPr="00912A5D" w:rsidRDefault="00AE3698">
      <w:pPr>
        <w:pStyle w:val="EndnoteText"/>
        <w:widowControl w:val="0"/>
        <w:tabs>
          <w:tab w:val="clear" w:pos="567"/>
        </w:tabs>
        <w:rPr>
          <w:color w:val="000000"/>
          <w:szCs w:val="22"/>
          <w:lang w:val="fi-FI"/>
        </w:rPr>
      </w:pPr>
    </w:p>
    <w:p w14:paraId="586FC316" w14:textId="77777777" w:rsidR="00AE3698" w:rsidRPr="00912A5D" w:rsidRDefault="00AE3698" w:rsidP="00F71263">
      <w:pPr>
        <w:pStyle w:val="EndnoteText"/>
        <w:keepNext/>
        <w:widowControl w:val="0"/>
        <w:tabs>
          <w:tab w:val="clear" w:pos="567"/>
        </w:tabs>
        <w:ind w:left="1418" w:hanging="1418"/>
        <w:rPr>
          <w:color w:val="000000"/>
          <w:szCs w:val="22"/>
          <w:lang w:val="fi-FI"/>
        </w:rPr>
      </w:pPr>
      <w:r w:rsidRPr="00912A5D">
        <w:rPr>
          <w:b/>
          <w:color w:val="000000"/>
          <w:szCs w:val="22"/>
          <w:lang w:val="fi-FI"/>
        </w:rPr>
        <w:t>Taulukko </w:t>
      </w:r>
      <w:r w:rsidR="00170AC1">
        <w:rPr>
          <w:b/>
          <w:color w:val="000000"/>
          <w:szCs w:val="22"/>
          <w:lang w:val="fi-FI"/>
        </w:rPr>
        <w:t>6</w:t>
      </w:r>
      <w:r w:rsidRPr="00912A5D">
        <w:rPr>
          <w:b/>
          <w:color w:val="000000"/>
          <w:szCs w:val="22"/>
          <w:lang w:val="fi-FI"/>
        </w:rPr>
        <w:tab/>
        <w:t>Paras hoitovaste (kasvaimiin) GIST-tutkimuksessa STIB2222</w:t>
      </w:r>
    </w:p>
    <w:p w14:paraId="586FC317" w14:textId="77777777" w:rsidR="00AE3698" w:rsidRPr="00912A5D" w:rsidRDefault="00AE3698" w:rsidP="00F71263">
      <w:pPr>
        <w:pStyle w:val="EndnoteText"/>
        <w:keepNext/>
        <w:widowControl w:val="0"/>
        <w:tabs>
          <w:tab w:val="clear" w:pos="567"/>
        </w:tabs>
        <w:rPr>
          <w:color w:val="000000"/>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AE3698" w:rsidRPr="00912A5D" w14:paraId="586FC320" w14:textId="77777777" w:rsidTr="00F71263">
        <w:trPr>
          <w:cantSplit/>
        </w:trPr>
        <w:tc>
          <w:tcPr>
            <w:tcW w:w="4643" w:type="dxa"/>
            <w:tcBorders>
              <w:bottom w:val="nil"/>
            </w:tcBorders>
          </w:tcPr>
          <w:p w14:paraId="586FC318" w14:textId="77777777" w:rsidR="00AE3698" w:rsidRPr="00912A5D" w:rsidRDefault="00AE3698" w:rsidP="00F71263">
            <w:pPr>
              <w:pStyle w:val="EndnoteText"/>
              <w:keepNext/>
              <w:widowControl w:val="0"/>
              <w:tabs>
                <w:tab w:val="clear" w:pos="567"/>
              </w:tabs>
              <w:rPr>
                <w:color w:val="000000"/>
                <w:szCs w:val="22"/>
                <w:lang w:val="fi-FI"/>
              </w:rPr>
            </w:pPr>
          </w:p>
          <w:p w14:paraId="586FC319" w14:textId="77777777" w:rsidR="00AE3698" w:rsidRPr="00912A5D" w:rsidRDefault="00AE3698" w:rsidP="00F71263">
            <w:pPr>
              <w:pStyle w:val="EndnoteText"/>
              <w:keepNext/>
              <w:widowControl w:val="0"/>
              <w:tabs>
                <w:tab w:val="clear" w:pos="567"/>
              </w:tabs>
              <w:rPr>
                <w:color w:val="000000"/>
                <w:szCs w:val="22"/>
                <w:lang w:val="fi-FI"/>
              </w:rPr>
            </w:pPr>
          </w:p>
          <w:p w14:paraId="586FC31A" w14:textId="77777777" w:rsidR="00AE3698" w:rsidRPr="00912A5D" w:rsidRDefault="00AE3698" w:rsidP="00F71263">
            <w:pPr>
              <w:pStyle w:val="EndnoteText"/>
              <w:keepNext/>
              <w:widowControl w:val="0"/>
              <w:tabs>
                <w:tab w:val="clear" w:pos="567"/>
              </w:tabs>
              <w:rPr>
                <w:color w:val="000000"/>
                <w:szCs w:val="22"/>
                <w:lang w:val="fi-FI"/>
              </w:rPr>
            </w:pPr>
          </w:p>
          <w:p w14:paraId="586FC31B"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Paras hoitovaste</w:t>
            </w:r>
          </w:p>
        </w:tc>
        <w:tc>
          <w:tcPr>
            <w:tcW w:w="4643" w:type="dxa"/>
            <w:tcBorders>
              <w:bottom w:val="nil"/>
            </w:tcBorders>
          </w:tcPr>
          <w:p w14:paraId="586FC31C"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Kaikki annokset (n=147)</w:t>
            </w:r>
          </w:p>
          <w:p w14:paraId="586FC31D"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400 mg (n=73)</w:t>
            </w:r>
          </w:p>
          <w:p w14:paraId="586FC31E"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600 mg (n=74)</w:t>
            </w:r>
          </w:p>
          <w:p w14:paraId="586FC31F"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color w:val="000000"/>
                <w:szCs w:val="22"/>
                <w:lang w:val="fi-FI"/>
              </w:rPr>
              <w:t>n (%)</w:t>
            </w:r>
          </w:p>
        </w:tc>
      </w:tr>
      <w:tr w:rsidR="00AE3698" w:rsidRPr="00912A5D" w14:paraId="586FC323" w14:textId="77777777" w:rsidTr="00F71263">
        <w:trPr>
          <w:cantSplit/>
        </w:trPr>
        <w:tc>
          <w:tcPr>
            <w:tcW w:w="4643" w:type="dxa"/>
            <w:tcBorders>
              <w:bottom w:val="nil"/>
            </w:tcBorders>
          </w:tcPr>
          <w:p w14:paraId="586FC321"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Täydellinen vaste</w:t>
            </w:r>
          </w:p>
        </w:tc>
        <w:tc>
          <w:tcPr>
            <w:tcW w:w="4643" w:type="dxa"/>
            <w:tcBorders>
              <w:bottom w:val="nil"/>
            </w:tcBorders>
          </w:tcPr>
          <w:p w14:paraId="586FC322"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rFonts w:eastAsia="MS Mincho"/>
                <w:color w:val="000000"/>
                <w:szCs w:val="22"/>
              </w:rPr>
              <w:t>1 (0,7)</w:t>
            </w:r>
          </w:p>
        </w:tc>
      </w:tr>
      <w:tr w:rsidR="00AE3698" w:rsidRPr="00912A5D" w14:paraId="586FC326" w14:textId="77777777" w:rsidTr="00F71263">
        <w:trPr>
          <w:cantSplit/>
        </w:trPr>
        <w:tc>
          <w:tcPr>
            <w:tcW w:w="4643" w:type="dxa"/>
            <w:tcBorders>
              <w:top w:val="nil"/>
              <w:bottom w:val="nil"/>
            </w:tcBorders>
          </w:tcPr>
          <w:p w14:paraId="586FC324"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Osittainen vaste</w:t>
            </w:r>
          </w:p>
        </w:tc>
        <w:tc>
          <w:tcPr>
            <w:tcW w:w="4643" w:type="dxa"/>
            <w:tcBorders>
              <w:top w:val="nil"/>
              <w:bottom w:val="nil"/>
            </w:tcBorders>
          </w:tcPr>
          <w:p w14:paraId="586FC325"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rFonts w:eastAsia="MS Mincho"/>
                <w:color w:val="000000"/>
                <w:szCs w:val="22"/>
              </w:rPr>
              <w:t>98 (66,7)</w:t>
            </w:r>
          </w:p>
        </w:tc>
      </w:tr>
      <w:tr w:rsidR="00AE3698" w:rsidRPr="00912A5D" w14:paraId="586FC329" w14:textId="77777777" w:rsidTr="00F71263">
        <w:trPr>
          <w:cantSplit/>
        </w:trPr>
        <w:tc>
          <w:tcPr>
            <w:tcW w:w="4643" w:type="dxa"/>
            <w:tcBorders>
              <w:top w:val="nil"/>
              <w:bottom w:val="nil"/>
            </w:tcBorders>
          </w:tcPr>
          <w:p w14:paraId="586FC327"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Vakiintunut sairaus</w:t>
            </w:r>
          </w:p>
        </w:tc>
        <w:tc>
          <w:tcPr>
            <w:tcW w:w="4643" w:type="dxa"/>
            <w:tcBorders>
              <w:top w:val="nil"/>
              <w:bottom w:val="nil"/>
            </w:tcBorders>
          </w:tcPr>
          <w:p w14:paraId="586FC328"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rFonts w:eastAsia="MS Mincho"/>
                <w:color w:val="000000"/>
                <w:szCs w:val="22"/>
              </w:rPr>
              <w:t>23 (15,6)</w:t>
            </w:r>
          </w:p>
        </w:tc>
      </w:tr>
      <w:tr w:rsidR="00AE3698" w:rsidRPr="00912A5D" w14:paraId="586FC32C" w14:textId="77777777" w:rsidTr="00F71263">
        <w:trPr>
          <w:cantSplit/>
        </w:trPr>
        <w:tc>
          <w:tcPr>
            <w:tcW w:w="4643" w:type="dxa"/>
            <w:tcBorders>
              <w:top w:val="nil"/>
              <w:bottom w:val="nil"/>
            </w:tcBorders>
          </w:tcPr>
          <w:p w14:paraId="586FC32A"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Etenevä sairaus</w:t>
            </w:r>
          </w:p>
        </w:tc>
        <w:tc>
          <w:tcPr>
            <w:tcW w:w="4643" w:type="dxa"/>
            <w:tcBorders>
              <w:top w:val="nil"/>
              <w:bottom w:val="nil"/>
            </w:tcBorders>
          </w:tcPr>
          <w:p w14:paraId="586FC32B"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rFonts w:eastAsia="MS Mincho"/>
                <w:color w:val="000000"/>
                <w:szCs w:val="22"/>
              </w:rPr>
              <w:t>18 (12,2)</w:t>
            </w:r>
          </w:p>
        </w:tc>
      </w:tr>
      <w:tr w:rsidR="00AE3698" w:rsidRPr="00912A5D" w14:paraId="586FC32F" w14:textId="77777777" w:rsidTr="00F71263">
        <w:trPr>
          <w:cantSplit/>
        </w:trPr>
        <w:tc>
          <w:tcPr>
            <w:tcW w:w="4643" w:type="dxa"/>
            <w:tcBorders>
              <w:top w:val="nil"/>
              <w:bottom w:val="nil"/>
            </w:tcBorders>
          </w:tcPr>
          <w:p w14:paraId="586FC32D"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Ei mitattavissa</w:t>
            </w:r>
          </w:p>
        </w:tc>
        <w:tc>
          <w:tcPr>
            <w:tcW w:w="4643" w:type="dxa"/>
            <w:tcBorders>
              <w:top w:val="nil"/>
              <w:bottom w:val="nil"/>
            </w:tcBorders>
          </w:tcPr>
          <w:p w14:paraId="586FC32E" w14:textId="77777777" w:rsidR="00AE3698" w:rsidRPr="00912A5D" w:rsidRDefault="00AE3698" w:rsidP="00F71263">
            <w:pPr>
              <w:pStyle w:val="EndnoteText"/>
              <w:keepNext/>
              <w:widowControl w:val="0"/>
              <w:tabs>
                <w:tab w:val="clear" w:pos="567"/>
              </w:tabs>
              <w:jc w:val="center"/>
              <w:rPr>
                <w:color w:val="000000"/>
                <w:szCs w:val="22"/>
                <w:lang w:val="fi-FI"/>
              </w:rPr>
            </w:pPr>
            <w:r w:rsidRPr="00912A5D">
              <w:rPr>
                <w:rFonts w:eastAsia="MS Mincho"/>
                <w:color w:val="000000"/>
                <w:szCs w:val="22"/>
              </w:rPr>
              <w:t>5 (3,4)</w:t>
            </w:r>
          </w:p>
        </w:tc>
      </w:tr>
      <w:tr w:rsidR="00AE3698" w:rsidRPr="00912A5D" w14:paraId="586FC332" w14:textId="77777777" w:rsidTr="00F71263">
        <w:trPr>
          <w:cantSplit/>
        </w:trPr>
        <w:tc>
          <w:tcPr>
            <w:tcW w:w="4643" w:type="dxa"/>
            <w:tcBorders>
              <w:top w:val="nil"/>
            </w:tcBorders>
          </w:tcPr>
          <w:p w14:paraId="586FC330"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Tuntematon</w:t>
            </w:r>
          </w:p>
        </w:tc>
        <w:tc>
          <w:tcPr>
            <w:tcW w:w="4643" w:type="dxa"/>
            <w:tcBorders>
              <w:top w:val="nil"/>
            </w:tcBorders>
          </w:tcPr>
          <w:p w14:paraId="586FC331" w14:textId="77777777" w:rsidR="00AE3698" w:rsidRPr="00912A5D" w:rsidRDefault="00AE3698">
            <w:pPr>
              <w:pStyle w:val="EndnoteText"/>
              <w:widowControl w:val="0"/>
              <w:tabs>
                <w:tab w:val="clear" w:pos="567"/>
              </w:tabs>
              <w:jc w:val="center"/>
              <w:rPr>
                <w:color w:val="000000"/>
                <w:szCs w:val="22"/>
                <w:lang w:val="fi-FI"/>
              </w:rPr>
            </w:pPr>
            <w:r w:rsidRPr="00912A5D">
              <w:rPr>
                <w:color w:val="000000"/>
                <w:szCs w:val="22"/>
                <w:lang w:val="fi-FI"/>
              </w:rPr>
              <w:t>2 (1,4)</w:t>
            </w:r>
          </w:p>
        </w:tc>
      </w:tr>
    </w:tbl>
    <w:p w14:paraId="586FC333" w14:textId="77777777" w:rsidR="00AE3698" w:rsidRPr="00912A5D" w:rsidRDefault="00AE3698">
      <w:pPr>
        <w:pStyle w:val="EndnoteText"/>
        <w:widowControl w:val="0"/>
        <w:tabs>
          <w:tab w:val="clear" w:pos="567"/>
        </w:tabs>
        <w:rPr>
          <w:color w:val="000000"/>
          <w:szCs w:val="22"/>
          <w:lang w:val="fi-FI"/>
        </w:rPr>
      </w:pPr>
    </w:p>
    <w:p w14:paraId="586FC334"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Kahden annosryhmän välillä ei ollut eroja vasteiden määrissä. Huomattava osa potilaista, joilla oli vakiintunut sairaus välianalyysin aikaan, saavuttivat osittaisen vasteen pidemmällä hoidolla (mediaani seuranta-aika 31 kuukautta). Mediaaniaika vasteeseen oli 13 viikkoa 95 %:n luottamusväli 12–23). Mediaaniaika hoidon epäonnistumiseen hoitoon vastanneilla potilailla oli 122 viikkoa (95 %:n luottamusväli 106–147), kun se koko tutkimusjoukossa oli 84 viikkoa (95 %:n luottamusväli 71–109). Mediaania kokonaiskuolleisuutta ei ole vielä saavutettu. Kaplan-Meier estimaatti elossaololle 36 kuukauden seurannan jälkeen on 68 %.</w:t>
      </w:r>
    </w:p>
    <w:p w14:paraId="586FC335" w14:textId="77777777" w:rsidR="00AE3698" w:rsidRPr="00912A5D" w:rsidRDefault="00AE3698">
      <w:pPr>
        <w:pStyle w:val="EndnoteText"/>
        <w:widowControl w:val="0"/>
        <w:tabs>
          <w:tab w:val="clear" w:pos="567"/>
        </w:tabs>
        <w:rPr>
          <w:color w:val="000000"/>
          <w:szCs w:val="22"/>
          <w:lang w:val="fi-FI"/>
        </w:rPr>
      </w:pPr>
    </w:p>
    <w:p w14:paraId="586FC336" w14:textId="77777777" w:rsidR="00A627D5" w:rsidRDefault="00AE3698" w:rsidP="00A627D5">
      <w:pPr>
        <w:pStyle w:val="EndnoteText"/>
        <w:widowControl w:val="0"/>
        <w:tabs>
          <w:tab w:val="clear" w:pos="567"/>
        </w:tabs>
        <w:rPr>
          <w:color w:val="000000"/>
          <w:szCs w:val="22"/>
          <w:lang w:val="fi-FI"/>
        </w:rPr>
      </w:pPr>
      <w:r w:rsidRPr="00912A5D">
        <w:rPr>
          <w:color w:val="000000"/>
          <w:szCs w:val="22"/>
          <w:lang w:val="fi-FI"/>
        </w:rPr>
        <w:t>Kahdessa kliinisessä tutkimuksessa (tutkimus B2222 ja ryhmän sisäinen tutkimus S0033) Glivecin päivittäinen annos suurennettiin 800 mg:aan niillä potilailla, joilla tauti eteni 400 mg:n tai 600 mg:n annoksilla. Päivittäinen annos suurennettiin 800 mg:aan kaiken kaikkiaan 103</w:t>
      </w:r>
      <w:r w:rsidR="00EE0D38">
        <w:rPr>
          <w:color w:val="000000"/>
          <w:szCs w:val="22"/>
          <w:lang w:val="fi-FI"/>
        </w:rPr>
        <w:t> </w:t>
      </w:r>
      <w:r w:rsidRPr="00912A5D">
        <w:rPr>
          <w:color w:val="000000"/>
          <w:szCs w:val="22"/>
          <w:lang w:val="fi-FI"/>
        </w:rPr>
        <w:t xml:space="preserve">potilaalla. Näistä 6 potilasta saavutti osittaisen vasteen ja 21:lla tauti vakiintui annoksen suurennuksen jälkeen; kliinistä hyötyä oli 26 %:lla. Käytettävissä olevan turvallisuustiedon perusteella annoksen suurentaminen 800 mg:aan vuorokaudessa potilailla, joiden tauti etenee 400 mg:n ja 600 mg:n annoksilla, ei näytä </w:t>
      </w:r>
      <w:r w:rsidR="00A627D5" w:rsidRPr="00912A5D">
        <w:rPr>
          <w:color w:val="000000"/>
          <w:szCs w:val="22"/>
          <w:lang w:val="fi-FI"/>
        </w:rPr>
        <w:lastRenderedPageBreak/>
        <w:t>vaikuttavan Glivecin turvallisuusprofiiliin.</w:t>
      </w:r>
    </w:p>
    <w:p w14:paraId="586FC337" w14:textId="77777777" w:rsidR="00A627D5" w:rsidRDefault="00A627D5" w:rsidP="00A627D5">
      <w:pPr>
        <w:pStyle w:val="EndnoteText"/>
        <w:widowControl w:val="0"/>
        <w:tabs>
          <w:tab w:val="clear" w:pos="567"/>
        </w:tabs>
        <w:rPr>
          <w:color w:val="000000"/>
          <w:szCs w:val="22"/>
          <w:lang w:val="fi-FI"/>
        </w:rPr>
      </w:pPr>
    </w:p>
    <w:p w14:paraId="586FC338" w14:textId="77777777" w:rsidR="00A627D5" w:rsidRDefault="00A627D5" w:rsidP="00F71263">
      <w:pPr>
        <w:pStyle w:val="EndnoteText"/>
        <w:keepNext/>
        <w:widowControl w:val="0"/>
        <w:tabs>
          <w:tab w:val="clear" w:pos="567"/>
        </w:tabs>
        <w:rPr>
          <w:color w:val="000000"/>
          <w:szCs w:val="22"/>
          <w:u w:val="single"/>
          <w:lang w:val="fi-FI"/>
        </w:rPr>
      </w:pPr>
      <w:r w:rsidRPr="001F55AC">
        <w:rPr>
          <w:color w:val="000000"/>
          <w:szCs w:val="22"/>
          <w:u w:val="single"/>
          <w:lang w:val="fi-FI"/>
        </w:rPr>
        <w:t>Kliini</w:t>
      </w:r>
      <w:r w:rsidR="008F14CA">
        <w:rPr>
          <w:color w:val="000000"/>
          <w:szCs w:val="22"/>
          <w:u w:val="single"/>
          <w:lang w:val="fi-FI"/>
        </w:rPr>
        <w:t>set</w:t>
      </w:r>
      <w:r w:rsidRPr="001F55AC">
        <w:rPr>
          <w:color w:val="000000"/>
          <w:szCs w:val="22"/>
          <w:u w:val="single"/>
          <w:lang w:val="fi-FI"/>
        </w:rPr>
        <w:t xml:space="preserve"> tutkimu</w:t>
      </w:r>
      <w:r w:rsidR="008F14CA">
        <w:rPr>
          <w:color w:val="000000"/>
          <w:szCs w:val="22"/>
          <w:u w:val="single"/>
          <w:lang w:val="fi-FI"/>
        </w:rPr>
        <w:t>k</w:t>
      </w:r>
      <w:r w:rsidRPr="001F55AC">
        <w:rPr>
          <w:color w:val="000000"/>
          <w:szCs w:val="22"/>
          <w:u w:val="single"/>
          <w:lang w:val="fi-FI"/>
        </w:rPr>
        <w:t>s</w:t>
      </w:r>
      <w:r w:rsidR="008F14CA">
        <w:rPr>
          <w:color w:val="000000"/>
          <w:szCs w:val="22"/>
          <w:u w:val="single"/>
          <w:lang w:val="fi-FI"/>
        </w:rPr>
        <w:t>et</w:t>
      </w:r>
      <w:r w:rsidRPr="001F55AC">
        <w:rPr>
          <w:color w:val="000000"/>
          <w:szCs w:val="22"/>
          <w:u w:val="single"/>
          <w:lang w:val="fi-FI"/>
        </w:rPr>
        <w:t xml:space="preserve"> liitännäishoidon GISTistä</w:t>
      </w:r>
    </w:p>
    <w:p w14:paraId="586FC339" w14:textId="77777777" w:rsidR="00A627D5" w:rsidRDefault="00A627D5" w:rsidP="00A627D5">
      <w:pPr>
        <w:pStyle w:val="EndnoteText"/>
        <w:widowControl w:val="0"/>
        <w:tabs>
          <w:tab w:val="clear" w:pos="567"/>
        </w:tabs>
        <w:rPr>
          <w:color w:val="000000"/>
          <w:szCs w:val="22"/>
          <w:lang w:val="fi-FI"/>
        </w:rPr>
      </w:pPr>
      <w:r>
        <w:rPr>
          <w:color w:val="000000"/>
          <w:szCs w:val="22"/>
          <w:lang w:val="fi-FI"/>
        </w:rPr>
        <w:t xml:space="preserve">Liitännäishoitotilanteessa Gliveciä tutkittiin kaksoissokkoutetussa, pitkäaikaisessa, plasebokontrolloidussa faasin </w:t>
      </w:r>
      <w:smartTag w:uri="urn:schemas-microsoft-com:office:smarttags" w:element="State">
        <w:r>
          <w:rPr>
            <w:color w:val="000000"/>
            <w:szCs w:val="22"/>
            <w:lang w:val="fi-FI"/>
          </w:rPr>
          <w:t>III</w:t>
        </w:r>
      </w:smartTag>
      <w:r>
        <w:rPr>
          <w:color w:val="000000"/>
          <w:szCs w:val="22"/>
          <w:lang w:val="fi-FI"/>
        </w:rPr>
        <w:t xml:space="preserve"> monikeskustutkimuksessa (Z9001) 773 potilaalla. Potilaiden ikä vaihteli 18 vuodesta 91 vuoteen. Potilailla, joilla oli kudosnäytteeseen perustuva diagnoosi ensivaiheen GIST:istä, jossa oli immunokemiallisesti</w:t>
      </w:r>
      <w:r w:rsidRPr="00E65CEA">
        <w:rPr>
          <w:color w:val="000000"/>
          <w:szCs w:val="22"/>
          <w:lang w:val="fi-FI"/>
        </w:rPr>
        <w:t xml:space="preserve"> </w:t>
      </w:r>
      <w:r>
        <w:rPr>
          <w:color w:val="000000"/>
          <w:szCs w:val="22"/>
          <w:lang w:val="fi-FI"/>
        </w:rPr>
        <w:t xml:space="preserve">osoitettu Kit-proteiini sekä kasvaimen maksimikoko </w:t>
      </w:r>
      <w:r>
        <w:rPr>
          <w:color w:val="000000"/>
          <w:szCs w:val="22"/>
          <w:lang w:val="fi-FI"/>
        </w:rPr>
        <w:sym w:font="Symbol" w:char="F0B3"/>
      </w:r>
      <w:r>
        <w:rPr>
          <w:color w:val="000000"/>
          <w:szCs w:val="22"/>
          <w:lang w:val="fi-FI"/>
        </w:rPr>
        <w:t> 3 cm, ja täydellinen resektio ensivaiheen GIST:istä tehtynä 14</w:t>
      </w:r>
      <w:r>
        <w:rPr>
          <w:color w:val="000000"/>
          <w:szCs w:val="22"/>
          <w:lang w:val="fi-FI"/>
        </w:rPr>
        <w:noBreakHyphen/>
        <w:t>70 päivää ennen rekisteröintiä otettiin mukaan. Ensivaiheen GIST:in poistoleikkauksen jälkeen potilaat sokkoutettiin yhteen kahdesta tutkimushaarasta: Glivec 400 mg/päivä tai vastaavanlainen plasebo yhden vuoden ajan.</w:t>
      </w:r>
    </w:p>
    <w:p w14:paraId="586FC33A" w14:textId="77777777" w:rsidR="00A627D5" w:rsidRDefault="00A627D5" w:rsidP="00A627D5">
      <w:pPr>
        <w:pStyle w:val="EndnoteText"/>
        <w:widowControl w:val="0"/>
        <w:tabs>
          <w:tab w:val="clear" w:pos="567"/>
        </w:tabs>
        <w:rPr>
          <w:color w:val="000000"/>
          <w:szCs w:val="22"/>
          <w:lang w:val="fi-FI"/>
        </w:rPr>
      </w:pPr>
    </w:p>
    <w:p w14:paraId="586FC33B" w14:textId="77777777" w:rsidR="00A627D5" w:rsidRDefault="00A627D5" w:rsidP="00A627D5">
      <w:pPr>
        <w:pStyle w:val="EndnoteText"/>
        <w:widowControl w:val="0"/>
        <w:tabs>
          <w:tab w:val="clear" w:pos="567"/>
        </w:tabs>
        <w:rPr>
          <w:lang w:val="fi-FI"/>
        </w:rPr>
      </w:pPr>
      <w:r>
        <w:rPr>
          <w:color w:val="000000"/>
          <w:szCs w:val="22"/>
          <w:lang w:val="fi-FI"/>
        </w:rPr>
        <w:t xml:space="preserve">Ensisijainen päätetapahtuma tutkimuksessa oli </w:t>
      </w:r>
      <w:r>
        <w:rPr>
          <w:lang w:val="fi-FI"/>
        </w:rPr>
        <w:t>uusiutumisvapaa eloonjääminen (recurrence-free survival [</w:t>
      </w:r>
      <w:smartTag w:uri="urn:schemas-microsoft-com:office:smarttags" w:element="State">
        <w:r>
          <w:rPr>
            <w:lang w:val="fi-FI"/>
          </w:rPr>
          <w:t>RFS</w:t>
        </w:r>
      </w:smartTag>
      <w:r>
        <w:rPr>
          <w:lang w:val="fi-FI"/>
        </w:rPr>
        <w:t>]), joka määriteltiin sokkoutuksen ajankohdasta uusiutumisen ajankohtaan tai kuolemaan, mistä tahansa syystä.</w:t>
      </w:r>
    </w:p>
    <w:p w14:paraId="586FC33C" w14:textId="77777777" w:rsidR="00A627D5" w:rsidRDefault="00A627D5" w:rsidP="00A627D5">
      <w:pPr>
        <w:pStyle w:val="EndnoteText"/>
        <w:widowControl w:val="0"/>
        <w:tabs>
          <w:tab w:val="clear" w:pos="567"/>
        </w:tabs>
        <w:rPr>
          <w:lang w:val="fi-FI"/>
        </w:rPr>
      </w:pPr>
    </w:p>
    <w:p w14:paraId="586FC33D" w14:textId="77777777" w:rsidR="00A627D5" w:rsidRDefault="00A627D5" w:rsidP="00A627D5">
      <w:pPr>
        <w:pStyle w:val="EndnoteText"/>
        <w:widowControl w:val="0"/>
        <w:tabs>
          <w:tab w:val="clear" w:pos="567"/>
        </w:tabs>
        <w:rPr>
          <w:lang w:val="fi-FI"/>
        </w:rPr>
      </w:pPr>
      <w:r>
        <w:rPr>
          <w:lang w:val="fi-FI"/>
        </w:rPr>
        <w:t>Glivec pitkitti huomattavasti RFS:ää, 75 % potilaista olivat uusiutumisvapaita 38 kuukauden jälkeen Glivec-ryhmässä ja 20 kuukauden jälkeen plaseboryhmässä (95 %:n luottamusväli, [30 – ei laskettavissa], [14 – ei laskettavissa], vastaavasti), (riskisuhde = 0,398 [0,259</w:t>
      </w:r>
      <w:r>
        <w:rPr>
          <w:lang w:val="fi-FI"/>
        </w:rPr>
        <w:noBreakHyphen/>
        <w:t xml:space="preserve">0,610], p&lt;0,0001). Yhden vuoden kohdalla kokonais </w:t>
      </w:r>
      <w:smartTag w:uri="urn:schemas-microsoft-com:office:smarttags" w:element="State">
        <w:r>
          <w:rPr>
            <w:lang w:val="fi-FI"/>
          </w:rPr>
          <w:t>RFS</w:t>
        </w:r>
      </w:smartTag>
      <w:r>
        <w:rPr>
          <w:lang w:val="fi-FI"/>
        </w:rPr>
        <w:t xml:space="preserve"> oli huomattavasti parempi Glivec-hoidolla (9</w:t>
      </w:r>
      <w:r w:rsidR="00F2758D">
        <w:rPr>
          <w:lang w:val="fi-FI"/>
        </w:rPr>
        <w:t>7,</w:t>
      </w:r>
      <w:r>
        <w:rPr>
          <w:lang w:val="fi-FI"/>
        </w:rPr>
        <w:t>7 %) kun plasebolla (82,3 %), (p&lt;0,0001). Uusiutumisen riski pieneni siten noin 89 % verrattuna plaseboon (riskisuhde = 0,113 [0,049</w:t>
      </w:r>
      <w:r>
        <w:rPr>
          <w:lang w:val="fi-FI"/>
        </w:rPr>
        <w:noBreakHyphen/>
        <w:t>0,264]).</w:t>
      </w:r>
    </w:p>
    <w:p w14:paraId="586FC33E" w14:textId="77777777" w:rsidR="00A627D5" w:rsidRDefault="00A627D5" w:rsidP="00A627D5">
      <w:pPr>
        <w:pStyle w:val="EndnoteText"/>
        <w:widowControl w:val="0"/>
        <w:tabs>
          <w:tab w:val="clear" w:pos="567"/>
        </w:tabs>
        <w:rPr>
          <w:lang w:val="fi-FI"/>
        </w:rPr>
      </w:pPr>
    </w:p>
    <w:p w14:paraId="586FC33F" w14:textId="77777777" w:rsidR="003B3C13" w:rsidRPr="00F2758D" w:rsidRDefault="00A627D5" w:rsidP="00A627D5">
      <w:pPr>
        <w:pStyle w:val="EndnoteText"/>
        <w:widowControl w:val="0"/>
        <w:tabs>
          <w:tab w:val="clear" w:pos="567"/>
        </w:tabs>
        <w:rPr>
          <w:rFonts w:eastAsia="MS Mincho"/>
          <w:color w:val="000000"/>
          <w:szCs w:val="22"/>
          <w:lang w:val="fi-FI" w:eastAsia="ja-JP"/>
        </w:rPr>
      </w:pPr>
      <w:r w:rsidRPr="00FB41E3">
        <w:rPr>
          <w:lang w:val="fi-FI"/>
        </w:rPr>
        <w:t>Potilaiden primaari GIST:in uusiutumisriskiä leikkauksen jälkeen arvioitiin takautuvasti seuraaviin ennustetekijöihin perustuen:</w:t>
      </w:r>
      <w:r w:rsidRPr="00FB41E3">
        <w:rPr>
          <w:szCs w:val="22"/>
          <w:lang w:val="fi-FI"/>
        </w:rPr>
        <w:t xml:space="preserve"> kasvaimen kokooon, mitoosi-indeksiin, sijaintiin. Mitoosi-indeksi -tietoja oli saatavilla 556 potilaalta </w:t>
      </w:r>
      <w:r w:rsidR="009935AA" w:rsidRPr="00FB41E3">
        <w:rPr>
          <w:szCs w:val="22"/>
          <w:lang w:val="fi-FI"/>
        </w:rPr>
        <w:t>7</w:t>
      </w:r>
      <w:r w:rsidR="009935AA">
        <w:rPr>
          <w:szCs w:val="22"/>
          <w:lang w:val="fi-FI"/>
        </w:rPr>
        <w:t>1</w:t>
      </w:r>
      <w:r w:rsidR="009935AA" w:rsidRPr="00FB41E3">
        <w:rPr>
          <w:szCs w:val="22"/>
          <w:lang w:val="fi-FI"/>
        </w:rPr>
        <w:t>3</w:t>
      </w:r>
      <w:r w:rsidRPr="00FB41E3">
        <w:rPr>
          <w:szCs w:val="22"/>
          <w:lang w:val="fi-FI"/>
        </w:rPr>
        <w:t> potilaasta lähtöryhmien mukaisesta populaatiosta (</w:t>
      </w:r>
      <w:smartTag w:uri="urn:schemas-microsoft-com:office:smarttags" w:element="State">
        <w:r w:rsidRPr="00FB41E3">
          <w:rPr>
            <w:szCs w:val="22"/>
            <w:lang w:val="fi-FI"/>
          </w:rPr>
          <w:t>ITT</w:t>
        </w:r>
      </w:smartTag>
      <w:r w:rsidRPr="00FB41E3">
        <w:rPr>
          <w:szCs w:val="22"/>
          <w:lang w:val="fi-FI"/>
        </w:rPr>
        <w:t>, intention-to-</w:t>
      </w:r>
      <w:r w:rsidRPr="00F2758D">
        <w:rPr>
          <w:szCs w:val="22"/>
          <w:lang w:val="fi-FI"/>
        </w:rPr>
        <w:t>treat). Alaryhmän analyysitulokset</w:t>
      </w:r>
      <w:r w:rsidR="0037430A" w:rsidRPr="00F2758D">
        <w:rPr>
          <w:szCs w:val="22"/>
          <w:lang w:val="fi-FI"/>
        </w:rPr>
        <w:t xml:space="preserve"> United States National </w:t>
      </w:r>
      <w:r w:rsidR="00F2758D" w:rsidRPr="00F2758D">
        <w:rPr>
          <w:szCs w:val="22"/>
          <w:lang w:val="fi-FI"/>
        </w:rPr>
        <w:t xml:space="preserve">Institutes of </w:t>
      </w:r>
      <w:r w:rsidR="0037430A" w:rsidRPr="00F2758D">
        <w:rPr>
          <w:szCs w:val="22"/>
          <w:lang w:val="fi-FI"/>
        </w:rPr>
        <w:t>Health (NIH)</w:t>
      </w:r>
      <w:r w:rsidRPr="00F2758D">
        <w:rPr>
          <w:szCs w:val="22"/>
          <w:lang w:val="fi-FI"/>
        </w:rPr>
        <w:t xml:space="preserve"> </w:t>
      </w:r>
      <w:r w:rsidR="00B42C71" w:rsidRPr="00F2758D">
        <w:rPr>
          <w:szCs w:val="22"/>
          <w:lang w:val="fi-FI"/>
        </w:rPr>
        <w:t xml:space="preserve">ja </w:t>
      </w:r>
      <w:r w:rsidRPr="00F2758D">
        <w:rPr>
          <w:rFonts w:eastAsia="MS Mincho"/>
          <w:color w:val="000000"/>
          <w:szCs w:val="22"/>
          <w:lang w:val="fi-FI" w:eastAsia="ja-JP"/>
        </w:rPr>
        <w:t>Armed Forces Institute of Pathology (AFIP) -riskiluokitukseen perustuen ovat esitetty Taulukossa </w:t>
      </w:r>
      <w:r w:rsidR="00170AC1">
        <w:rPr>
          <w:rFonts w:eastAsia="MS Mincho"/>
          <w:color w:val="000000"/>
          <w:szCs w:val="22"/>
          <w:lang w:val="fi-FI" w:eastAsia="ja-JP"/>
        </w:rPr>
        <w:t>7</w:t>
      </w:r>
      <w:r w:rsidRPr="00F2758D">
        <w:rPr>
          <w:rFonts w:eastAsia="MS Mincho"/>
          <w:color w:val="000000"/>
          <w:szCs w:val="22"/>
          <w:lang w:val="fi-FI" w:eastAsia="ja-JP"/>
        </w:rPr>
        <w:t>.</w:t>
      </w:r>
      <w:r w:rsidR="00B42C71" w:rsidRPr="00F2758D">
        <w:rPr>
          <w:rFonts w:eastAsia="MS Mincho"/>
          <w:color w:val="000000"/>
          <w:szCs w:val="22"/>
          <w:lang w:val="fi-FI" w:eastAsia="ja-JP"/>
        </w:rPr>
        <w:t xml:space="preserve"> </w:t>
      </w:r>
      <w:r w:rsidR="003B3C13" w:rsidRPr="00F2758D">
        <w:rPr>
          <w:rFonts w:eastAsia="MS Mincho"/>
          <w:color w:val="000000"/>
          <w:szCs w:val="22"/>
          <w:lang w:val="fi-FI" w:eastAsia="ja-JP"/>
        </w:rPr>
        <w:t>Etua ei voitu osoittaa matalan ja erittäin matalan riskin ryhmissä. Kokonaiseloonjäämisetua ei ollut havaittavissa.</w:t>
      </w:r>
    </w:p>
    <w:p w14:paraId="586FC340" w14:textId="77777777" w:rsidR="00A627D5" w:rsidRPr="00F2758D" w:rsidRDefault="00A627D5" w:rsidP="00A627D5">
      <w:pPr>
        <w:pStyle w:val="EndnoteText"/>
        <w:widowControl w:val="0"/>
        <w:tabs>
          <w:tab w:val="clear" w:pos="567"/>
        </w:tabs>
        <w:rPr>
          <w:rFonts w:eastAsia="MS Mincho"/>
          <w:color w:val="000000"/>
          <w:szCs w:val="22"/>
          <w:lang w:val="fi-FI" w:eastAsia="ja-JP"/>
        </w:rPr>
      </w:pPr>
    </w:p>
    <w:p w14:paraId="586FC341" w14:textId="77777777" w:rsidR="00A627D5" w:rsidRDefault="00A627D5" w:rsidP="00F71263">
      <w:pPr>
        <w:pStyle w:val="EndnoteText"/>
        <w:keepNext/>
        <w:widowControl w:val="0"/>
        <w:tabs>
          <w:tab w:val="clear" w:pos="567"/>
        </w:tabs>
        <w:ind w:left="1418" w:hanging="1418"/>
        <w:rPr>
          <w:rFonts w:eastAsia="MS Mincho"/>
          <w:b/>
          <w:bCs/>
          <w:color w:val="000000"/>
          <w:szCs w:val="22"/>
          <w:lang w:val="fi-FI" w:eastAsia="ja-JP"/>
        </w:rPr>
      </w:pPr>
      <w:r w:rsidRPr="00F2758D">
        <w:rPr>
          <w:rFonts w:eastAsia="MS Mincho"/>
          <w:b/>
          <w:bCs/>
          <w:color w:val="000000"/>
          <w:szCs w:val="22"/>
          <w:lang w:val="fi-FI" w:eastAsia="ja-JP"/>
        </w:rPr>
        <w:t>Taulukko </w:t>
      </w:r>
      <w:r w:rsidR="00170AC1">
        <w:rPr>
          <w:rFonts w:eastAsia="MS Mincho"/>
          <w:b/>
          <w:bCs/>
          <w:color w:val="000000"/>
          <w:szCs w:val="22"/>
          <w:lang w:val="fi-FI" w:eastAsia="ja-JP"/>
        </w:rPr>
        <w:t>7</w:t>
      </w:r>
      <w:r w:rsidRPr="00F2758D">
        <w:rPr>
          <w:rFonts w:eastAsia="MS Mincho"/>
          <w:b/>
          <w:bCs/>
          <w:color w:val="000000"/>
          <w:szCs w:val="22"/>
          <w:lang w:val="fi-FI" w:eastAsia="ja-JP"/>
        </w:rPr>
        <w:tab/>
        <w:t xml:space="preserve">Tutkimuksen Z9001 yhteenveto </w:t>
      </w:r>
      <w:smartTag w:uri="urn:schemas-microsoft-com:office:smarttags" w:element="State">
        <w:r w:rsidRPr="00F2758D">
          <w:rPr>
            <w:rFonts w:eastAsia="MS Mincho"/>
            <w:b/>
            <w:bCs/>
            <w:color w:val="000000"/>
            <w:szCs w:val="22"/>
            <w:lang w:val="fi-FI" w:eastAsia="ja-JP"/>
          </w:rPr>
          <w:t>RFS</w:t>
        </w:r>
      </w:smartTag>
      <w:r w:rsidRPr="00F2758D">
        <w:rPr>
          <w:rFonts w:eastAsia="MS Mincho"/>
          <w:b/>
          <w:bCs/>
          <w:color w:val="000000"/>
          <w:szCs w:val="22"/>
          <w:lang w:val="fi-FI" w:eastAsia="ja-JP"/>
        </w:rPr>
        <w:t xml:space="preserve"> analyysi AFIP –riskiluokitukseen perustuen</w:t>
      </w:r>
    </w:p>
    <w:p w14:paraId="586FC342" w14:textId="77777777" w:rsidR="00F90AC8" w:rsidRPr="00F90AC8" w:rsidRDefault="00F90AC8" w:rsidP="00F71263">
      <w:pPr>
        <w:pStyle w:val="EndnoteText"/>
        <w:keepNext/>
        <w:widowControl w:val="0"/>
        <w:tabs>
          <w:tab w:val="clear" w:pos="567"/>
        </w:tabs>
        <w:ind w:left="1418" w:hanging="1418"/>
        <w:rPr>
          <w:bCs/>
          <w:lang w:val="fi-FI"/>
        </w:rPr>
      </w:pP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1301"/>
        <w:gridCol w:w="1692"/>
        <w:gridCol w:w="1800"/>
        <w:gridCol w:w="1440"/>
        <w:gridCol w:w="1360"/>
      </w:tblGrid>
      <w:tr w:rsidR="002D5C4C" w:rsidRPr="00B852DB" w14:paraId="586FC349" w14:textId="77777777" w:rsidTr="00F71263">
        <w:trPr>
          <w:cantSplit/>
        </w:trPr>
        <w:tc>
          <w:tcPr>
            <w:tcW w:w="934" w:type="dxa"/>
            <w:vMerge w:val="restart"/>
          </w:tcPr>
          <w:p w14:paraId="586FC343" w14:textId="77777777" w:rsidR="002D5C4C" w:rsidRPr="00B852DB" w:rsidRDefault="002D5C4C" w:rsidP="00F71263">
            <w:pPr>
              <w:pStyle w:val="Table"/>
              <w:keepLines w:val="0"/>
              <w:tabs>
                <w:tab w:val="left" w:pos="567"/>
              </w:tabs>
              <w:spacing w:before="120" w:line="260" w:lineRule="exact"/>
              <w:jc w:val="center"/>
              <w:rPr>
                <w:rFonts w:ascii="Times New Roman" w:hAnsi="Times New Roman"/>
                <w:b/>
                <w:sz w:val="22"/>
                <w:szCs w:val="22"/>
              </w:rPr>
            </w:pPr>
            <w:r w:rsidRPr="00B852DB">
              <w:rPr>
                <w:rFonts w:ascii="Times New Roman" w:hAnsi="Times New Roman"/>
                <w:b/>
                <w:sz w:val="22"/>
                <w:szCs w:val="22"/>
              </w:rPr>
              <w:t>Risk</w:t>
            </w:r>
            <w:r w:rsidR="004E0871" w:rsidRPr="00B852DB">
              <w:rPr>
                <w:rFonts w:ascii="Times New Roman" w:hAnsi="Times New Roman"/>
                <w:b/>
                <w:sz w:val="22"/>
                <w:szCs w:val="22"/>
              </w:rPr>
              <w:t>i-peruste</w:t>
            </w:r>
          </w:p>
        </w:tc>
        <w:tc>
          <w:tcPr>
            <w:tcW w:w="1417" w:type="dxa"/>
            <w:vMerge w:val="restart"/>
            <w:tcBorders>
              <w:right w:val="single" w:sz="4" w:space="0" w:color="auto"/>
            </w:tcBorders>
          </w:tcPr>
          <w:p w14:paraId="586FC344" w14:textId="77777777" w:rsidR="002D5C4C" w:rsidRPr="00B852DB" w:rsidRDefault="002D5C4C" w:rsidP="00F71263">
            <w:pPr>
              <w:pStyle w:val="Table"/>
              <w:keepLines w:val="0"/>
              <w:tabs>
                <w:tab w:val="left" w:pos="567"/>
              </w:tabs>
              <w:spacing w:before="120" w:line="260" w:lineRule="exact"/>
              <w:rPr>
                <w:rFonts w:ascii="Times New Roman" w:hAnsi="Times New Roman"/>
                <w:b/>
                <w:sz w:val="22"/>
                <w:szCs w:val="22"/>
              </w:rPr>
            </w:pPr>
            <w:r w:rsidRPr="00B852DB">
              <w:rPr>
                <w:rFonts w:ascii="Times New Roman" w:hAnsi="Times New Roman"/>
                <w:b/>
                <w:sz w:val="22"/>
                <w:szCs w:val="22"/>
              </w:rPr>
              <w:t>Riskitaso</w:t>
            </w:r>
          </w:p>
        </w:tc>
        <w:tc>
          <w:tcPr>
            <w:tcW w:w="1301" w:type="dxa"/>
            <w:vMerge w:val="restart"/>
            <w:tcBorders>
              <w:left w:val="single" w:sz="4" w:space="0" w:color="auto"/>
              <w:right w:val="single" w:sz="4" w:space="0" w:color="auto"/>
            </w:tcBorders>
          </w:tcPr>
          <w:p w14:paraId="586FC345" w14:textId="77777777" w:rsidR="002D5C4C" w:rsidRPr="00B852DB" w:rsidRDefault="00F2758D" w:rsidP="00F71263">
            <w:pPr>
              <w:pStyle w:val="Table"/>
              <w:keepLines w:val="0"/>
              <w:tabs>
                <w:tab w:val="left" w:pos="567"/>
              </w:tabs>
              <w:spacing w:before="120" w:line="260" w:lineRule="exact"/>
              <w:jc w:val="center"/>
              <w:rPr>
                <w:rFonts w:ascii="Times New Roman" w:hAnsi="Times New Roman"/>
                <w:b/>
                <w:sz w:val="22"/>
                <w:szCs w:val="22"/>
              </w:rPr>
            </w:pPr>
            <w:r w:rsidRPr="00B852DB">
              <w:rPr>
                <w:rFonts w:ascii="Times New Roman" w:hAnsi="Times New Roman"/>
                <w:b/>
                <w:sz w:val="22"/>
                <w:szCs w:val="22"/>
              </w:rPr>
              <w:t xml:space="preserve">Potilaiden osuus </w:t>
            </w:r>
            <w:r w:rsidR="002D5C4C" w:rsidRPr="00B852DB">
              <w:rPr>
                <w:rFonts w:ascii="Times New Roman" w:hAnsi="Times New Roman"/>
                <w:b/>
                <w:sz w:val="22"/>
                <w:szCs w:val="22"/>
              </w:rPr>
              <w:t xml:space="preserve">% </w:t>
            </w:r>
          </w:p>
        </w:tc>
        <w:tc>
          <w:tcPr>
            <w:tcW w:w="1692" w:type="dxa"/>
            <w:vMerge w:val="restart"/>
            <w:tcBorders>
              <w:left w:val="single" w:sz="4" w:space="0" w:color="auto"/>
              <w:right w:val="single" w:sz="4" w:space="0" w:color="auto"/>
            </w:tcBorders>
          </w:tcPr>
          <w:p w14:paraId="586FC346" w14:textId="77777777" w:rsidR="002D5C4C" w:rsidRPr="00B852DB" w:rsidRDefault="002D5C4C" w:rsidP="00F71263">
            <w:pPr>
              <w:pStyle w:val="Table"/>
              <w:keepLines w:val="0"/>
              <w:tabs>
                <w:tab w:val="clear" w:pos="284"/>
              </w:tabs>
              <w:spacing w:before="120" w:line="260" w:lineRule="exact"/>
              <w:jc w:val="center"/>
              <w:rPr>
                <w:rFonts w:ascii="Times New Roman" w:hAnsi="Times New Roman"/>
                <w:b/>
                <w:sz w:val="22"/>
                <w:szCs w:val="22"/>
              </w:rPr>
            </w:pPr>
            <w:r w:rsidRPr="00B852DB">
              <w:rPr>
                <w:rFonts w:ascii="Times New Roman" w:hAnsi="Times New Roman"/>
                <w:b/>
                <w:sz w:val="22"/>
                <w:szCs w:val="22"/>
              </w:rPr>
              <w:t>Tapahtumien määrä/ potilaiden määrä</w:t>
            </w:r>
          </w:p>
        </w:tc>
        <w:tc>
          <w:tcPr>
            <w:tcW w:w="1800" w:type="dxa"/>
            <w:vMerge w:val="restart"/>
            <w:tcBorders>
              <w:left w:val="single" w:sz="4" w:space="0" w:color="auto"/>
              <w:right w:val="single" w:sz="4" w:space="0" w:color="auto"/>
            </w:tcBorders>
          </w:tcPr>
          <w:p w14:paraId="586FC347"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Kokonais riskisuhde (95</w:t>
            </w:r>
            <w:r w:rsidR="00F90AC8" w:rsidRPr="00B852DB">
              <w:rPr>
                <w:rFonts w:ascii="Times New Roman" w:hAnsi="Times New Roman"/>
                <w:b/>
                <w:sz w:val="22"/>
                <w:szCs w:val="22"/>
              </w:rPr>
              <w:t> </w:t>
            </w:r>
            <w:r w:rsidRPr="00B852DB">
              <w:rPr>
                <w:rFonts w:ascii="Times New Roman" w:hAnsi="Times New Roman"/>
                <w:b/>
                <w:sz w:val="22"/>
                <w:szCs w:val="22"/>
              </w:rPr>
              <w:t>% luottamusväli)*</w:t>
            </w:r>
          </w:p>
        </w:tc>
        <w:tc>
          <w:tcPr>
            <w:tcW w:w="2800" w:type="dxa"/>
            <w:gridSpan w:val="2"/>
            <w:tcBorders>
              <w:left w:val="single" w:sz="4" w:space="0" w:color="auto"/>
            </w:tcBorders>
          </w:tcPr>
          <w:p w14:paraId="586FC348"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smartTag w:uri="urn:schemas-microsoft-com:office:smarttags" w:element="State">
              <w:r w:rsidRPr="00B852DB">
                <w:rPr>
                  <w:rFonts w:ascii="Times New Roman" w:hAnsi="Times New Roman"/>
                  <w:b/>
                  <w:sz w:val="22"/>
                  <w:szCs w:val="22"/>
                </w:rPr>
                <w:t>RFS</w:t>
              </w:r>
            </w:smartTag>
            <w:r w:rsidRPr="00B852DB">
              <w:rPr>
                <w:rFonts w:ascii="Times New Roman" w:hAnsi="Times New Roman"/>
                <w:b/>
                <w:sz w:val="22"/>
                <w:szCs w:val="22"/>
              </w:rPr>
              <w:t xml:space="preserve"> arviot (%)</w:t>
            </w:r>
          </w:p>
        </w:tc>
      </w:tr>
      <w:tr w:rsidR="002D5C4C" w:rsidRPr="00B852DB" w14:paraId="586FC351" w14:textId="77777777" w:rsidTr="00F71263">
        <w:trPr>
          <w:cantSplit/>
        </w:trPr>
        <w:tc>
          <w:tcPr>
            <w:tcW w:w="934" w:type="dxa"/>
            <w:vMerge/>
          </w:tcPr>
          <w:p w14:paraId="586FC34A" w14:textId="77777777" w:rsidR="002D5C4C" w:rsidRPr="00B852DB" w:rsidRDefault="002D5C4C" w:rsidP="00F71263">
            <w:pPr>
              <w:pStyle w:val="Table"/>
              <w:keepLines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586FC34B" w14:textId="77777777" w:rsidR="002D5C4C" w:rsidRPr="00B852DB" w:rsidRDefault="002D5C4C" w:rsidP="00F71263">
            <w:pPr>
              <w:pStyle w:val="Table"/>
              <w:keepLines w:val="0"/>
              <w:tabs>
                <w:tab w:val="left" w:pos="567"/>
              </w:tabs>
              <w:spacing w:line="260" w:lineRule="exact"/>
              <w:rPr>
                <w:rFonts w:ascii="Times New Roman" w:hAnsi="Times New Roman"/>
                <w:b/>
                <w:sz w:val="22"/>
                <w:szCs w:val="22"/>
              </w:rPr>
            </w:pPr>
          </w:p>
        </w:tc>
        <w:tc>
          <w:tcPr>
            <w:tcW w:w="1301" w:type="dxa"/>
            <w:vMerge/>
            <w:tcBorders>
              <w:left w:val="single" w:sz="4" w:space="0" w:color="auto"/>
              <w:right w:val="single" w:sz="4" w:space="0" w:color="auto"/>
            </w:tcBorders>
          </w:tcPr>
          <w:p w14:paraId="586FC34C"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p>
        </w:tc>
        <w:tc>
          <w:tcPr>
            <w:tcW w:w="1692" w:type="dxa"/>
            <w:vMerge/>
            <w:tcBorders>
              <w:left w:val="single" w:sz="4" w:space="0" w:color="auto"/>
              <w:right w:val="single" w:sz="4" w:space="0" w:color="auto"/>
            </w:tcBorders>
          </w:tcPr>
          <w:p w14:paraId="586FC34D"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p>
        </w:tc>
        <w:tc>
          <w:tcPr>
            <w:tcW w:w="1800" w:type="dxa"/>
            <w:vMerge/>
            <w:tcBorders>
              <w:left w:val="single" w:sz="4" w:space="0" w:color="auto"/>
              <w:right w:val="single" w:sz="4" w:space="0" w:color="auto"/>
            </w:tcBorders>
          </w:tcPr>
          <w:p w14:paraId="586FC34E" w14:textId="77777777" w:rsidR="002D5C4C" w:rsidRPr="00B852DB" w:rsidRDefault="002D5C4C" w:rsidP="00F71263">
            <w:pPr>
              <w:pStyle w:val="Table"/>
              <w:keepLines w:val="0"/>
              <w:tabs>
                <w:tab w:val="left" w:pos="567"/>
              </w:tabs>
              <w:spacing w:line="260" w:lineRule="exact"/>
              <w:rPr>
                <w:rFonts w:ascii="Times New Roman" w:hAnsi="Times New Roman"/>
                <w:b/>
                <w:sz w:val="22"/>
                <w:szCs w:val="22"/>
              </w:rPr>
            </w:pPr>
          </w:p>
        </w:tc>
        <w:tc>
          <w:tcPr>
            <w:tcW w:w="1440" w:type="dxa"/>
            <w:tcBorders>
              <w:left w:val="single" w:sz="4" w:space="0" w:color="auto"/>
              <w:right w:val="single" w:sz="4" w:space="0" w:color="auto"/>
            </w:tcBorders>
          </w:tcPr>
          <w:p w14:paraId="586FC34F"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12 kuu-kautta</w:t>
            </w:r>
          </w:p>
        </w:tc>
        <w:tc>
          <w:tcPr>
            <w:tcW w:w="1360" w:type="dxa"/>
            <w:tcBorders>
              <w:left w:val="single" w:sz="4" w:space="0" w:color="auto"/>
            </w:tcBorders>
          </w:tcPr>
          <w:p w14:paraId="586FC350"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24 kuu-kautta</w:t>
            </w:r>
          </w:p>
        </w:tc>
      </w:tr>
      <w:tr w:rsidR="002D5C4C" w:rsidRPr="00B852DB" w14:paraId="586FC359" w14:textId="77777777" w:rsidTr="00F71263">
        <w:trPr>
          <w:cantSplit/>
        </w:trPr>
        <w:tc>
          <w:tcPr>
            <w:tcW w:w="934" w:type="dxa"/>
            <w:vMerge/>
          </w:tcPr>
          <w:p w14:paraId="586FC352" w14:textId="77777777" w:rsidR="002D5C4C" w:rsidRPr="00B852DB" w:rsidRDefault="002D5C4C" w:rsidP="00F71263">
            <w:pPr>
              <w:pStyle w:val="Table"/>
              <w:keepLines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586FC353" w14:textId="77777777" w:rsidR="002D5C4C" w:rsidRPr="00B852DB" w:rsidRDefault="002D5C4C" w:rsidP="00F71263">
            <w:pPr>
              <w:pStyle w:val="Table"/>
              <w:keepLines w:val="0"/>
              <w:tabs>
                <w:tab w:val="left" w:pos="567"/>
              </w:tabs>
              <w:spacing w:line="260" w:lineRule="exact"/>
              <w:rPr>
                <w:rFonts w:ascii="Times New Roman" w:hAnsi="Times New Roman"/>
                <w:b/>
                <w:sz w:val="22"/>
                <w:szCs w:val="22"/>
              </w:rPr>
            </w:pPr>
          </w:p>
        </w:tc>
        <w:tc>
          <w:tcPr>
            <w:tcW w:w="1301" w:type="dxa"/>
            <w:vMerge/>
            <w:tcBorders>
              <w:left w:val="single" w:sz="4" w:space="0" w:color="auto"/>
              <w:right w:val="single" w:sz="4" w:space="0" w:color="auto"/>
            </w:tcBorders>
          </w:tcPr>
          <w:p w14:paraId="586FC354"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p>
        </w:tc>
        <w:tc>
          <w:tcPr>
            <w:tcW w:w="1692" w:type="dxa"/>
            <w:tcBorders>
              <w:left w:val="single" w:sz="4" w:space="0" w:color="auto"/>
              <w:bottom w:val="single" w:sz="4" w:space="0" w:color="auto"/>
              <w:right w:val="single" w:sz="4" w:space="0" w:color="auto"/>
            </w:tcBorders>
          </w:tcPr>
          <w:p w14:paraId="586FC355"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Glivec vs plasebo</w:t>
            </w:r>
          </w:p>
        </w:tc>
        <w:tc>
          <w:tcPr>
            <w:tcW w:w="1800" w:type="dxa"/>
            <w:vMerge/>
            <w:tcBorders>
              <w:left w:val="single" w:sz="4" w:space="0" w:color="auto"/>
              <w:bottom w:val="single" w:sz="4" w:space="0" w:color="auto"/>
              <w:right w:val="single" w:sz="4" w:space="0" w:color="auto"/>
            </w:tcBorders>
          </w:tcPr>
          <w:p w14:paraId="586FC356"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586FC357"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Glivec vs plasebo</w:t>
            </w:r>
          </w:p>
        </w:tc>
        <w:tc>
          <w:tcPr>
            <w:tcW w:w="1360" w:type="dxa"/>
            <w:tcBorders>
              <w:left w:val="single" w:sz="4" w:space="0" w:color="auto"/>
            </w:tcBorders>
          </w:tcPr>
          <w:p w14:paraId="586FC358" w14:textId="77777777" w:rsidR="002D5C4C" w:rsidRPr="00B852DB" w:rsidRDefault="002D5C4C" w:rsidP="00F71263">
            <w:pPr>
              <w:pStyle w:val="Table"/>
              <w:keepLines w:val="0"/>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Glivec vs plasebo</w:t>
            </w:r>
          </w:p>
        </w:tc>
      </w:tr>
      <w:tr w:rsidR="002D5C4C" w:rsidRPr="00F2758D" w14:paraId="586FC361" w14:textId="77777777" w:rsidTr="00F71263">
        <w:trPr>
          <w:cantSplit/>
        </w:trPr>
        <w:tc>
          <w:tcPr>
            <w:tcW w:w="934" w:type="dxa"/>
            <w:vMerge w:val="restart"/>
            <w:shd w:val="clear" w:color="auto" w:fill="auto"/>
          </w:tcPr>
          <w:p w14:paraId="586FC35A" w14:textId="77777777" w:rsidR="002D5C4C" w:rsidRPr="00B852DB" w:rsidRDefault="002D5C4C" w:rsidP="00F71263">
            <w:pPr>
              <w:pStyle w:val="Nottoc-headings"/>
              <w:keepLines w:val="0"/>
              <w:tabs>
                <w:tab w:val="left" w:pos="567"/>
              </w:tabs>
              <w:spacing w:before="360" w:line="260" w:lineRule="exact"/>
              <w:ind w:left="0" w:firstLine="0"/>
              <w:rPr>
                <w:sz w:val="22"/>
                <w:szCs w:val="22"/>
              </w:rPr>
            </w:pPr>
            <w:r w:rsidRPr="00B852DB">
              <w:rPr>
                <w:rFonts w:ascii="Times New Roman" w:hAnsi="Times New Roman"/>
                <w:b w:val="0"/>
                <w:sz w:val="22"/>
                <w:szCs w:val="22"/>
              </w:rPr>
              <w:t>NIH</w:t>
            </w:r>
          </w:p>
        </w:tc>
        <w:tc>
          <w:tcPr>
            <w:tcW w:w="1417" w:type="dxa"/>
            <w:tcBorders>
              <w:bottom w:val="nil"/>
              <w:right w:val="single" w:sz="4" w:space="0" w:color="auto"/>
            </w:tcBorders>
            <w:vAlign w:val="bottom"/>
          </w:tcPr>
          <w:p w14:paraId="586FC35B" w14:textId="77777777" w:rsidR="002D5C4C" w:rsidRPr="00B852DB" w:rsidRDefault="004E0871" w:rsidP="00F71263">
            <w:pPr>
              <w:pStyle w:val="Nottoc-headings"/>
              <w:keepLines w:val="0"/>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Matala</w:t>
            </w:r>
          </w:p>
        </w:tc>
        <w:tc>
          <w:tcPr>
            <w:tcW w:w="1301" w:type="dxa"/>
            <w:tcBorders>
              <w:left w:val="single" w:sz="4" w:space="0" w:color="auto"/>
              <w:bottom w:val="nil"/>
              <w:right w:val="single" w:sz="4" w:space="0" w:color="auto"/>
            </w:tcBorders>
            <w:vAlign w:val="bottom"/>
          </w:tcPr>
          <w:p w14:paraId="586FC35C" w14:textId="77777777" w:rsidR="002D5C4C" w:rsidRPr="00B852DB" w:rsidRDefault="002D5C4C" w:rsidP="00F71263">
            <w:pPr>
              <w:pStyle w:val="Nottoc-headings"/>
              <w:keepLines w:val="0"/>
              <w:tabs>
                <w:tab w:val="left" w:pos="567"/>
              </w:tabs>
              <w:spacing w:before="40" w:after="20" w:line="260" w:lineRule="exact"/>
              <w:ind w:left="57" w:hanging="57"/>
              <w:jc w:val="center"/>
              <w:rPr>
                <w:rFonts w:ascii="Times New Roman" w:hAnsi="Times New Roman"/>
                <w:b w:val="0"/>
                <w:sz w:val="22"/>
                <w:szCs w:val="22"/>
              </w:rPr>
            </w:pPr>
            <w:r w:rsidRPr="00B852DB">
              <w:rPr>
                <w:rFonts w:ascii="Times New Roman" w:hAnsi="Times New Roman"/>
                <w:b w:val="0"/>
                <w:sz w:val="22"/>
                <w:szCs w:val="22"/>
              </w:rPr>
              <w:t>29,5</w:t>
            </w:r>
          </w:p>
        </w:tc>
        <w:tc>
          <w:tcPr>
            <w:tcW w:w="1692" w:type="dxa"/>
            <w:tcBorders>
              <w:left w:val="single" w:sz="4" w:space="0" w:color="auto"/>
              <w:bottom w:val="nil"/>
              <w:right w:val="single" w:sz="4" w:space="0" w:color="auto"/>
            </w:tcBorders>
            <w:vAlign w:val="bottom"/>
          </w:tcPr>
          <w:p w14:paraId="586FC35D" w14:textId="77777777" w:rsidR="002D5C4C" w:rsidRPr="00B852DB" w:rsidRDefault="002D5C4C" w:rsidP="00F71263">
            <w:pPr>
              <w:pStyle w:val="Nottoc-headings"/>
              <w:keepLines w:val="0"/>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586FC35E" w14:textId="77777777" w:rsidR="002D5C4C" w:rsidRPr="00B852DB" w:rsidRDefault="002D5C4C" w:rsidP="00F71263">
            <w:pPr>
              <w:pStyle w:val="Nottoc-headings"/>
              <w:keepLines w:val="0"/>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E.</w:t>
            </w:r>
            <w:r w:rsidR="004E0871" w:rsidRPr="00B852DB">
              <w:rPr>
                <w:rFonts w:ascii="Times New Roman" w:hAnsi="Times New Roman"/>
                <w:b w:val="0"/>
                <w:sz w:val="22"/>
                <w:szCs w:val="22"/>
              </w:rPr>
              <w:t>A.</w:t>
            </w:r>
          </w:p>
        </w:tc>
        <w:tc>
          <w:tcPr>
            <w:tcW w:w="1440" w:type="dxa"/>
            <w:tcBorders>
              <w:left w:val="single" w:sz="4" w:space="0" w:color="auto"/>
              <w:bottom w:val="nil"/>
              <w:right w:val="single" w:sz="4" w:space="0" w:color="auto"/>
            </w:tcBorders>
            <w:vAlign w:val="bottom"/>
          </w:tcPr>
          <w:p w14:paraId="586FC35F" w14:textId="77777777" w:rsidR="002D5C4C" w:rsidRPr="00B852DB" w:rsidRDefault="002D5C4C" w:rsidP="00F71263">
            <w:pPr>
              <w:pStyle w:val="Nottoc-headings"/>
              <w:keepLines w:val="0"/>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100 vs</w:t>
            </w:r>
            <w:r w:rsidR="00F90AC8" w:rsidRPr="00B852DB">
              <w:rPr>
                <w:rFonts w:ascii="Times New Roman" w:hAnsi="Times New Roman"/>
                <w:b w:val="0"/>
                <w:sz w:val="22"/>
                <w:szCs w:val="22"/>
              </w:rPr>
              <w:t>.</w:t>
            </w:r>
            <w:r w:rsidRPr="00B852DB">
              <w:rPr>
                <w:rFonts w:ascii="Times New Roman" w:hAnsi="Times New Roman"/>
                <w:b w:val="0"/>
                <w:sz w:val="22"/>
                <w:szCs w:val="22"/>
              </w:rPr>
              <w:t xml:space="preserve"> 98,7</w:t>
            </w:r>
          </w:p>
        </w:tc>
        <w:tc>
          <w:tcPr>
            <w:tcW w:w="1360" w:type="dxa"/>
            <w:tcBorders>
              <w:left w:val="single" w:sz="4" w:space="0" w:color="auto"/>
              <w:bottom w:val="nil"/>
            </w:tcBorders>
            <w:vAlign w:val="bottom"/>
          </w:tcPr>
          <w:p w14:paraId="586FC360" w14:textId="77777777" w:rsidR="002D5C4C" w:rsidRPr="00B852DB" w:rsidRDefault="002D5C4C" w:rsidP="00F71263">
            <w:pPr>
              <w:pStyle w:val="Nottoc-headings"/>
              <w:keepLines w:val="0"/>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100 vs.</w:t>
            </w:r>
            <w:r w:rsidR="00852A10" w:rsidRPr="00B852DB">
              <w:rPr>
                <w:rFonts w:ascii="Times New Roman" w:hAnsi="Times New Roman"/>
                <w:b w:val="0"/>
                <w:sz w:val="22"/>
                <w:szCs w:val="22"/>
              </w:rPr>
              <w:t xml:space="preserve"> </w:t>
            </w:r>
            <w:r w:rsidRPr="00B852DB">
              <w:rPr>
                <w:rFonts w:ascii="Times New Roman" w:hAnsi="Times New Roman"/>
                <w:b w:val="0"/>
                <w:sz w:val="22"/>
                <w:szCs w:val="22"/>
              </w:rPr>
              <w:t>95,5</w:t>
            </w:r>
          </w:p>
        </w:tc>
      </w:tr>
      <w:tr w:rsidR="002D5C4C" w:rsidRPr="00F2758D" w14:paraId="586FC369" w14:textId="77777777" w:rsidTr="00F71263">
        <w:trPr>
          <w:cantSplit/>
        </w:trPr>
        <w:tc>
          <w:tcPr>
            <w:tcW w:w="934" w:type="dxa"/>
            <w:vMerge/>
            <w:shd w:val="clear" w:color="auto" w:fill="auto"/>
          </w:tcPr>
          <w:p w14:paraId="586FC362" w14:textId="77777777" w:rsidR="002D5C4C" w:rsidRPr="00B852DB" w:rsidRDefault="002D5C4C" w:rsidP="00F71263">
            <w:pPr>
              <w:pStyle w:val="Nottoc-headings"/>
              <w:keepLines w:val="0"/>
              <w:tabs>
                <w:tab w:val="left" w:pos="567"/>
              </w:tabs>
              <w:spacing w:line="260" w:lineRule="exact"/>
              <w:rPr>
                <w:rFonts w:ascii="Times New Roman" w:hAnsi="Times New Roman"/>
                <w:b w:val="0"/>
                <w:sz w:val="22"/>
                <w:szCs w:val="22"/>
              </w:rPr>
            </w:pPr>
          </w:p>
        </w:tc>
        <w:tc>
          <w:tcPr>
            <w:tcW w:w="1417" w:type="dxa"/>
            <w:tcBorders>
              <w:top w:val="nil"/>
              <w:bottom w:val="nil"/>
              <w:right w:val="single" w:sz="4" w:space="0" w:color="auto"/>
            </w:tcBorders>
            <w:vAlign w:val="bottom"/>
          </w:tcPr>
          <w:p w14:paraId="586FC363" w14:textId="77777777" w:rsidR="002D5C4C" w:rsidRPr="00B852DB" w:rsidRDefault="004E0871"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Keskiasteen</w:t>
            </w:r>
          </w:p>
        </w:tc>
        <w:tc>
          <w:tcPr>
            <w:tcW w:w="1301" w:type="dxa"/>
            <w:tcBorders>
              <w:top w:val="nil"/>
              <w:left w:val="single" w:sz="4" w:space="0" w:color="auto"/>
              <w:bottom w:val="nil"/>
              <w:right w:val="single" w:sz="4" w:space="0" w:color="auto"/>
            </w:tcBorders>
            <w:vAlign w:val="bottom"/>
          </w:tcPr>
          <w:p w14:paraId="586FC364" w14:textId="77777777" w:rsidR="002D5C4C" w:rsidRPr="00B852DB" w:rsidRDefault="002D5C4C" w:rsidP="00F71263">
            <w:pPr>
              <w:pStyle w:val="Table"/>
              <w:keepLines w:val="0"/>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25,7</w:t>
            </w:r>
          </w:p>
        </w:tc>
        <w:tc>
          <w:tcPr>
            <w:tcW w:w="1692" w:type="dxa"/>
            <w:tcBorders>
              <w:top w:val="nil"/>
              <w:left w:val="single" w:sz="4" w:space="0" w:color="auto"/>
              <w:bottom w:val="nil"/>
              <w:right w:val="single" w:sz="4" w:space="0" w:color="auto"/>
            </w:tcBorders>
            <w:vAlign w:val="bottom"/>
          </w:tcPr>
          <w:p w14:paraId="586FC365"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4/75 vs. 6/78</w:t>
            </w:r>
          </w:p>
        </w:tc>
        <w:tc>
          <w:tcPr>
            <w:tcW w:w="1800" w:type="dxa"/>
            <w:tcBorders>
              <w:top w:val="nil"/>
              <w:left w:val="single" w:sz="4" w:space="0" w:color="auto"/>
              <w:bottom w:val="nil"/>
              <w:right w:val="single" w:sz="4" w:space="0" w:color="auto"/>
            </w:tcBorders>
            <w:vAlign w:val="bottom"/>
          </w:tcPr>
          <w:p w14:paraId="586FC366"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0,59 (0,17; 2,10)</w:t>
            </w:r>
          </w:p>
        </w:tc>
        <w:tc>
          <w:tcPr>
            <w:tcW w:w="1440" w:type="dxa"/>
            <w:tcBorders>
              <w:top w:val="nil"/>
              <w:left w:val="single" w:sz="4" w:space="0" w:color="auto"/>
              <w:bottom w:val="nil"/>
              <w:right w:val="single" w:sz="4" w:space="0" w:color="auto"/>
            </w:tcBorders>
            <w:vAlign w:val="bottom"/>
          </w:tcPr>
          <w:p w14:paraId="586FC367"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100 vs. 94,8</w:t>
            </w:r>
          </w:p>
        </w:tc>
        <w:tc>
          <w:tcPr>
            <w:tcW w:w="1360" w:type="dxa"/>
            <w:tcBorders>
              <w:top w:val="nil"/>
              <w:left w:val="single" w:sz="4" w:space="0" w:color="auto"/>
              <w:bottom w:val="nil"/>
            </w:tcBorders>
            <w:vAlign w:val="bottom"/>
          </w:tcPr>
          <w:p w14:paraId="586FC368"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97,8 vs. 89,5</w:t>
            </w:r>
          </w:p>
        </w:tc>
      </w:tr>
      <w:tr w:rsidR="002D5C4C" w:rsidRPr="00F2758D" w14:paraId="586FC371" w14:textId="77777777" w:rsidTr="00F71263">
        <w:trPr>
          <w:cantSplit/>
        </w:trPr>
        <w:tc>
          <w:tcPr>
            <w:tcW w:w="934" w:type="dxa"/>
            <w:vMerge/>
            <w:shd w:val="clear" w:color="auto" w:fill="auto"/>
          </w:tcPr>
          <w:p w14:paraId="586FC36A"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p>
        </w:tc>
        <w:tc>
          <w:tcPr>
            <w:tcW w:w="1417" w:type="dxa"/>
            <w:tcBorders>
              <w:top w:val="nil"/>
              <w:right w:val="single" w:sz="4" w:space="0" w:color="auto"/>
            </w:tcBorders>
            <w:vAlign w:val="bottom"/>
          </w:tcPr>
          <w:p w14:paraId="586FC36B" w14:textId="77777777" w:rsidR="002D5C4C" w:rsidRPr="00B852DB" w:rsidRDefault="004E0871"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Korkea</w:t>
            </w:r>
          </w:p>
        </w:tc>
        <w:tc>
          <w:tcPr>
            <w:tcW w:w="1301" w:type="dxa"/>
            <w:tcBorders>
              <w:top w:val="nil"/>
              <w:left w:val="single" w:sz="4" w:space="0" w:color="auto"/>
              <w:right w:val="single" w:sz="4" w:space="0" w:color="auto"/>
            </w:tcBorders>
            <w:vAlign w:val="bottom"/>
          </w:tcPr>
          <w:p w14:paraId="586FC36C" w14:textId="77777777" w:rsidR="002D5C4C" w:rsidRPr="00B852DB" w:rsidRDefault="002D5C4C" w:rsidP="00F71263">
            <w:pPr>
              <w:pStyle w:val="Table"/>
              <w:keepLines w:val="0"/>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44,8</w:t>
            </w:r>
          </w:p>
        </w:tc>
        <w:tc>
          <w:tcPr>
            <w:tcW w:w="1692" w:type="dxa"/>
            <w:tcBorders>
              <w:top w:val="nil"/>
              <w:left w:val="single" w:sz="4" w:space="0" w:color="auto"/>
              <w:right w:val="single" w:sz="4" w:space="0" w:color="auto"/>
            </w:tcBorders>
            <w:vAlign w:val="bottom"/>
          </w:tcPr>
          <w:p w14:paraId="586FC36D"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21/140 vs. 51/127</w:t>
            </w:r>
          </w:p>
        </w:tc>
        <w:tc>
          <w:tcPr>
            <w:tcW w:w="1800" w:type="dxa"/>
            <w:tcBorders>
              <w:top w:val="nil"/>
              <w:left w:val="single" w:sz="4" w:space="0" w:color="auto"/>
              <w:right w:val="single" w:sz="4" w:space="0" w:color="auto"/>
            </w:tcBorders>
            <w:vAlign w:val="bottom"/>
          </w:tcPr>
          <w:p w14:paraId="586FC36E"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0,29 (0,18; 0,49)</w:t>
            </w:r>
          </w:p>
        </w:tc>
        <w:tc>
          <w:tcPr>
            <w:tcW w:w="1440" w:type="dxa"/>
            <w:tcBorders>
              <w:top w:val="nil"/>
              <w:left w:val="single" w:sz="4" w:space="0" w:color="auto"/>
              <w:right w:val="single" w:sz="4" w:space="0" w:color="auto"/>
            </w:tcBorders>
            <w:vAlign w:val="bottom"/>
          </w:tcPr>
          <w:p w14:paraId="586FC36F"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94,8 vs. 64,0</w:t>
            </w:r>
          </w:p>
        </w:tc>
        <w:tc>
          <w:tcPr>
            <w:tcW w:w="1360" w:type="dxa"/>
            <w:tcBorders>
              <w:top w:val="nil"/>
              <w:left w:val="single" w:sz="4" w:space="0" w:color="auto"/>
            </w:tcBorders>
            <w:vAlign w:val="bottom"/>
          </w:tcPr>
          <w:p w14:paraId="586FC370"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80,7 vs. 46,6</w:t>
            </w:r>
          </w:p>
        </w:tc>
      </w:tr>
      <w:tr w:rsidR="002D5C4C" w:rsidRPr="00F2758D" w14:paraId="586FC379" w14:textId="77777777" w:rsidTr="00F71263">
        <w:trPr>
          <w:cantSplit/>
        </w:trPr>
        <w:tc>
          <w:tcPr>
            <w:tcW w:w="934" w:type="dxa"/>
            <w:vMerge w:val="restart"/>
            <w:shd w:val="clear" w:color="auto" w:fill="auto"/>
          </w:tcPr>
          <w:p w14:paraId="586FC372" w14:textId="77777777" w:rsidR="002D5C4C" w:rsidRPr="00B852DB" w:rsidRDefault="002D5C4C" w:rsidP="00F71263">
            <w:pPr>
              <w:pStyle w:val="Table"/>
              <w:keepLines w:val="0"/>
              <w:tabs>
                <w:tab w:val="left" w:pos="567"/>
              </w:tabs>
              <w:spacing w:before="480" w:line="260" w:lineRule="exact"/>
              <w:rPr>
                <w:rFonts w:ascii="Times New Roman" w:hAnsi="Times New Roman"/>
                <w:sz w:val="22"/>
                <w:szCs w:val="22"/>
              </w:rPr>
            </w:pPr>
            <w:r w:rsidRPr="00B852DB">
              <w:rPr>
                <w:rFonts w:ascii="Times New Roman" w:hAnsi="Times New Roman"/>
                <w:sz w:val="22"/>
                <w:szCs w:val="22"/>
              </w:rPr>
              <w:t>AFIP</w:t>
            </w:r>
          </w:p>
        </w:tc>
        <w:tc>
          <w:tcPr>
            <w:tcW w:w="1417" w:type="dxa"/>
            <w:tcBorders>
              <w:bottom w:val="nil"/>
              <w:right w:val="single" w:sz="4" w:space="0" w:color="auto"/>
            </w:tcBorders>
            <w:vAlign w:val="bottom"/>
          </w:tcPr>
          <w:p w14:paraId="586FC373" w14:textId="77777777" w:rsidR="002D5C4C" w:rsidRPr="00B852DB" w:rsidRDefault="004E0871"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Erittäin matala</w:t>
            </w:r>
          </w:p>
        </w:tc>
        <w:tc>
          <w:tcPr>
            <w:tcW w:w="1301" w:type="dxa"/>
            <w:tcBorders>
              <w:left w:val="single" w:sz="4" w:space="0" w:color="auto"/>
              <w:bottom w:val="nil"/>
              <w:right w:val="single" w:sz="4" w:space="0" w:color="auto"/>
            </w:tcBorders>
            <w:vAlign w:val="bottom"/>
          </w:tcPr>
          <w:p w14:paraId="586FC374" w14:textId="77777777" w:rsidR="002D5C4C" w:rsidRPr="00B852DB" w:rsidRDefault="002D5C4C" w:rsidP="00F71263">
            <w:pPr>
              <w:pStyle w:val="Table"/>
              <w:keepLines w:val="0"/>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20,7</w:t>
            </w:r>
          </w:p>
        </w:tc>
        <w:tc>
          <w:tcPr>
            <w:tcW w:w="1692" w:type="dxa"/>
            <w:tcBorders>
              <w:left w:val="single" w:sz="4" w:space="0" w:color="auto"/>
              <w:bottom w:val="nil"/>
              <w:right w:val="single" w:sz="4" w:space="0" w:color="auto"/>
            </w:tcBorders>
            <w:vAlign w:val="bottom"/>
          </w:tcPr>
          <w:p w14:paraId="586FC375"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586FC376" w14:textId="77777777" w:rsidR="002D5C4C" w:rsidRPr="00B852DB" w:rsidRDefault="004E0871"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E.A.</w:t>
            </w:r>
          </w:p>
        </w:tc>
        <w:tc>
          <w:tcPr>
            <w:tcW w:w="1440" w:type="dxa"/>
            <w:tcBorders>
              <w:left w:val="single" w:sz="4" w:space="0" w:color="auto"/>
              <w:bottom w:val="nil"/>
              <w:right w:val="single" w:sz="4" w:space="0" w:color="auto"/>
            </w:tcBorders>
            <w:vAlign w:val="bottom"/>
          </w:tcPr>
          <w:p w14:paraId="586FC377"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100 vs. 98,1</w:t>
            </w:r>
          </w:p>
        </w:tc>
        <w:tc>
          <w:tcPr>
            <w:tcW w:w="1360" w:type="dxa"/>
            <w:tcBorders>
              <w:left w:val="single" w:sz="4" w:space="0" w:color="auto"/>
              <w:bottom w:val="nil"/>
            </w:tcBorders>
            <w:vAlign w:val="bottom"/>
          </w:tcPr>
          <w:p w14:paraId="586FC378"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100 vs. 93,0</w:t>
            </w:r>
          </w:p>
        </w:tc>
      </w:tr>
      <w:tr w:rsidR="002D5C4C" w:rsidRPr="00F2758D" w14:paraId="586FC381" w14:textId="77777777" w:rsidTr="00F71263">
        <w:trPr>
          <w:cantSplit/>
        </w:trPr>
        <w:tc>
          <w:tcPr>
            <w:tcW w:w="934" w:type="dxa"/>
            <w:vMerge/>
            <w:shd w:val="clear" w:color="auto" w:fill="auto"/>
          </w:tcPr>
          <w:p w14:paraId="586FC37A"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p>
        </w:tc>
        <w:tc>
          <w:tcPr>
            <w:tcW w:w="1417" w:type="dxa"/>
            <w:tcBorders>
              <w:top w:val="nil"/>
              <w:bottom w:val="nil"/>
              <w:right w:val="single" w:sz="4" w:space="0" w:color="auto"/>
            </w:tcBorders>
            <w:vAlign w:val="bottom"/>
          </w:tcPr>
          <w:p w14:paraId="586FC37B" w14:textId="77777777" w:rsidR="002D5C4C" w:rsidRPr="00B852DB" w:rsidRDefault="004E0871"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Matala</w:t>
            </w:r>
          </w:p>
        </w:tc>
        <w:tc>
          <w:tcPr>
            <w:tcW w:w="1301" w:type="dxa"/>
            <w:tcBorders>
              <w:top w:val="nil"/>
              <w:left w:val="single" w:sz="4" w:space="0" w:color="auto"/>
              <w:bottom w:val="nil"/>
              <w:right w:val="single" w:sz="4" w:space="0" w:color="auto"/>
            </w:tcBorders>
            <w:vAlign w:val="bottom"/>
          </w:tcPr>
          <w:p w14:paraId="586FC37C" w14:textId="77777777" w:rsidR="002D5C4C" w:rsidRPr="00B852DB" w:rsidRDefault="002D5C4C" w:rsidP="00F71263">
            <w:pPr>
              <w:pStyle w:val="Table"/>
              <w:keepLines w:val="0"/>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25,0</w:t>
            </w:r>
          </w:p>
        </w:tc>
        <w:tc>
          <w:tcPr>
            <w:tcW w:w="1692" w:type="dxa"/>
            <w:tcBorders>
              <w:top w:val="nil"/>
              <w:left w:val="single" w:sz="4" w:space="0" w:color="auto"/>
              <w:bottom w:val="nil"/>
              <w:right w:val="single" w:sz="4" w:space="0" w:color="auto"/>
            </w:tcBorders>
            <w:vAlign w:val="bottom"/>
          </w:tcPr>
          <w:p w14:paraId="586FC37D"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586FC37E" w14:textId="77777777" w:rsidR="002D5C4C" w:rsidRPr="00B852DB" w:rsidRDefault="004E0871"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E.A.</w:t>
            </w:r>
          </w:p>
        </w:tc>
        <w:tc>
          <w:tcPr>
            <w:tcW w:w="1440" w:type="dxa"/>
            <w:tcBorders>
              <w:top w:val="nil"/>
              <w:left w:val="single" w:sz="4" w:space="0" w:color="auto"/>
              <w:bottom w:val="nil"/>
              <w:right w:val="single" w:sz="4" w:space="0" w:color="auto"/>
            </w:tcBorders>
            <w:vAlign w:val="bottom"/>
          </w:tcPr>
          <w:p w14:paraId="586FC37F"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100 vs. 100</w:t>
            </w:r>
          </w:p>
        </w:tc>
        <w:tc>
          <w:tcPr>
            <w:tcW w:w="1360" w:type="dxa"/>
            <w:tcBorders>
              <w:top w:val="nil"/>
              <w:left w:val="single" w:sz="4" w:space="0" w:color="auto"/>
              <w:bottom w:val="nil"/>
            </w:tcBorders>
            <w:vAlign w:val="bottom"/>
          </w:tcPr>
          <w:p w14:paraId="586FC380"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97,8 vs. 100</w:t>
            </w:r>
          </w:p>
        </w:tc>
      </w:tr>
      <w:tr w:rsidR="002D5C4C" w:rsidRPr="00F2758D" w14:paraId="586FC389" w14:textId="77777777" w:rsidTr="00F71263">
        <w:trPr>
          <w:cantSplit/>
        </w:trPr>
        <w:tc>
          <w:tcPr>
            <w:tcW w:w="934" w:type="dxa"/>
            <w:vMerge/>
            <w:shd w:val="clear" w:color="auto" w:fill="auto"/>
          </w:tcPr>
          <w:p w14:paraId="586FC382" w14:textId="77777777" w:rsidR="002D5C4C" w:rsidRPr="00B852DB" w:rsidRDefault="002D5C4C" w:rsidP="00F71263">
            <w:pPr>
              <w:pStyle w:val="Table"/>
              <w:keepLines w:val="0"/>
              <w:tabs>
                <w:tab w:val="left" w:pos="567"/>
              </w:tabs>
              <w:spacing w:line="260" w:lineRule="exact"/>
              <w:rPr>
                <w:rFonts w:ascii="Times New Roman" w:hAnsi="Times New Roman"/>
                <w:b/>
                <w:sz w:val="22"/>
                <w:szCs w:val="22"/>
              </w:rPr>
            </w:pPr>
          </w:p>
        </w:tc>
        <w:tc>
          <w:tcPr>
            <w:tcW w:w="1417" w:type="dxa"/>
            <w:tcBorders>
              <w:top w:val="nil"/>
              <w:bottom w:val="nil"/>
              <w:right w:val="single" w:sz="4" w:space="0" w:color="auto"/>
            </w:tcBorders>
            <w:vAlign w:val="bottom"/>
          </w:tcPr>
          <w:p w14:paraId="586FC383" w14:textId="77777777" w:rsidR="002D5C4C" w:rsidRPr="00B852DB" w:rsidRDefault="004E0871"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Kohtuullinen</w:t>
            </w:r>
          </w:p>
        </w:tc>
        <w:tc>
          <w:tcPr>
            <w:tcW w:w="1301" w:type="dxa"/>
            <w:tcBorders>
              <w:top w:val="nil"/>
              <w:left w:val="single" w:sz="4" w:space="0" w:color="auto"/>
              <w:bottom w:val="nil"/>
              <w:right w:val="single" w:sz="4" w:space="0" w:color="auto"/>
            </w:tcBorders>
            <w:vAlign w:val="bottom"/>
          </w:tcPr>
          <w:p w14:paraId="586FC384" w14:textId="77777777" w:rsidR="002D5C4C" w:rsidRPr="00B852DB" w:rsidRDefault="002D5C4C" w:rsidP="00F71263">
            <w:pPr>
              <w:pStyle w:val="Table"/>
              <w:keepLines w:val="0"/>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24,6</w:t>
            </w:r>
          </w:p>
        </w:tc>
        <w:tc>
          <w:tcPr>
            <w:tcW w:w="1692" w:type="dxa"/>
            <w:tcBorders>
              <w:top w:val="nil"/>
              <w:left w:val="single" w:sz="4" w:space="0" w:color="auto"/>
              <w:bottom w:val="nil"/>
              <w:right w:val="single" w:sz="4" w:space="0" w:color="auto"/>
            </w:tcBorders>
            <w:vAlign w:val="bottom"/>
          </w:tcPr>
          <w:p w14:paraId="586FC385"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586FC386"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586FC387"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97,9 vs. 90,8</w:t>
            </w:r>
          </w:p>
        </w:tc>
        <w:tc>
          <w:tcPr>
            <w:tcW w:w="1360" w:type="dxa"/>
            <w:tcBorders>
              <w:top w:val="nil"/>
              <w:left w:val="single" w:sz="4" w:space="0" w:color="auto"/>
              <w:bottom w:val="nil"/>
            </w:tcBorders>
            <w:vAlign w:val="bottom"/>
          </w:tcPr>
          <w:p w14:paraId="586FC388"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97,9 vs. 73,3</w:t>
            </w:r>
          </w:p>
        </w:tc>
      </w:tr>
      <w:tr w:rsidR="002D5C4C" w:rsidRPr="00F2758D" w14:paraId="586FC391" w14:textId="77777777" w:rsidTr="00F71263">
        <w:trPr>
          <w:cantSplit/>
        </w:trPr>
        <w:tc>
          <w:tcPr>
            <w:tcW w:w="934" w:type="dxa"/>
            <w:vMerge/>
            <w:tcBorders>
              <w:bottom w:val="single" w:sz="4" w:space="0" w:color="auto"/>
            </w:tcBorders>
            <w:shd w:val="clear" w:color="auto" w:fill="auto"/>
          </w:tcPr>
          <w:p w14:paraId="586FC38A"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p>
        </w:tc>
        <w:tc>
          <w:tcPr>
            <w:tcW w:w="1417" w:type="dxa"/>
            <w:tcBorders>
              <w:top w:val="nil"/>
              <w:bottom w:val="single" w:sz="4" w:space="0" w:color="auto"/>
              <w:right w:val="single" w:sz="4" w:space="0" w:color="auto"/>
            </w:tcBorders>
            <w:vAlign w:val="bottom"/>
          </w:tcPr>
          <w:p w14:paraId="586FC38B" w14:textId="77777777" w:rsidR="002D5C4C" w:rsidRPr="00B852DB" w:rsidRDefault="004E0871"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Korkea</w:t>
            </w:r>
          </w:p>
        </w:tc>
        <w:tc>
          <w:tcPr>
            <w:tcW w:w="1301" w:type="dxa"/>
            <w:tcBorders>
              <w:top w:val="nil"/>
              <w:left w:val="single" w:sz="4" w:space="0" w:color="auto"/>
              <w:bottom w:val="single" w:sz="4" w:space="0" w:color="auto"/>
              <w:right w:val="single" w:sz="4" w:space="0" w:color="auto"/>
            </w:tcBorders>
            <w:vAlign w:val="bottom"/>
          </w:tcPr>
          <w:p w14:paraId="586FC38C" w14:textId="77777777" w:rsidR="002D5C4C" w:rsidRPr="00B852DB" w:rsidRDefault="002D5C4C" w:rsidP="00F71263">
            <w:pPr>
              <w:pStyle w:val="Table"/>
              <w:keepLines w:val="0"/>
              <w:tabs>
                <w:tab w:val="left" w:pos="567"/>
              </w:tabs>
              <w:spacing w:line="260" w:lineRule="exact"/>
              <w:ind w:right="-3"/>
              <w:jc w:val="center"/>
              <w:rPr>
                <w:rFonts w:ascii="Times New Roman" w:hAnsi="Times New Roman"/>
                <w:sz w:val="22"/>
                <w:szCs w:val="22"/>
              </w:rPr>
            </w:pPr>
            <w:r w:rsidRPr="00B852DB">
              <w:rPr>
                <w:rFonts w:ascii="Times New Roman" w:hAnsi="Times New Roman"/>
                <w:sz w:val="22"/>
                <w:szCs w:val="22"/>
              </w:rPr>
              <w:t>29,7</w:t>
            </w:r>
          </w:p>
        </w:tc>
        <w:tc>
          <w:tcPr>
            <w:tcW w:w="1692" w:type="dxa"/>
            <w:tcBorders>
              <w:top w:val="nil"/>
              <w:left w:val="single" w:sz="4" w:space="0" w:color="auto"/>
              <w:bottom w:val="single" w:sz="4" w:space="0" w:color="auto"/>
              <w:right w:val="single" w:sz="4" w:space="0" w:color="auto"/>
            </w:tcBorders>
            <w:vAlign w:val="bottom"/>
          </w:tcPr>
          <w:p w14:paraId="586FC38D"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586FC38E"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586FC38F"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586FC390" w14:textId="77777777" w:rsidR="002D5C4C" w:rsidRPr="00B852DB" w:rsidRDefault="002D5C4C" w:rsidP="00F71263">
            <w:pPr>
              <w:pStyle w:val="Table"/>
              <w:keepLines w:val="0"/>
              <w:tabs>
                <w:tab w:val="left" w:pos="567"/>
              </w:tabs>
              <w:spacing w:line="260" w:lineRule="exact"/>
              <w:rPr>
                <w:rFonts w:ascii="Times New Roman" w:hAnsi="Times New Roman"/>
                <w:sz w:val="22"/>
                <w:szCs w:val="22"/>
              </w:rPr>
            </w:pPr>
            <w:r w:rsidRPr="00B852DB">
              <w:rPr>
                <w:rFonts w:ascii="Times New Roman" w:hAnsi="Times New Roman"/>
                <w:sz w:val="22"/>
                <w:szCs w:val="22"/>
              </w:rPr>
              <w:t>79,9 vs. 41,5</w:t>
            </w:r>
          </w:p>
        </w:tc>
      </w:tr>
    </w:tbl>
    <w:p w14:paraId="586FC392" w14:textId="77777777" w:rsidR="00A627D5" w:rsidRPr="00CE35D4" w:rsidRDefault="00A627D5" w:rsidP="00A627D5">
      <w:pPr>
        <w:pStyle w:val="EndnoteText"/>
        <w:widowControl w:val="0"/>
        <w:tabs>
          <w:tab w:val="clear" w:pos="567"/>
        </w:tabs>
        <w:rPr>
          <w:color w:val="000000"/>
          <w:szCs w:val="22"/>
          <w:lang w:val="fi-FI"/>
        </w:rPr>
      </w:pPr>
      <w:r w:rsidRPr="00F2758D">
        <w:rPr>
          <w:lang w:val="fi-FI"/>
        </w:rPr>
        <w:t>* Koko seuranta-aika; E</w:t>
      </w:r>
      <w:r w:rsidR="00C87874" w:rsidRPr="00F2758D">
        <w:rPr>
          <w:lang w:val="fi-FI"/>
        </w:rPr>
        <w:t>.</w:t>
      </w:r>
      <w:r w:rsidRPr="00F2758D">
        <w:rPr>
          <w:lang w:val="fi-FI"/>
        </w:rPr>
        <w:t>A</w:t>
      </w:r>
      <w:r w:rsidR="00C87874" w:rsidRPr="00F2758D">
        <w:rPr>
          <w:lang w:val="fi-FI"/>
        </w:rPr>
        <w:t>.</w:t>
      </w:r>
      <w:r w:rsidRPr="00F2758D">
        <w:rPr>
          <w:lang w:val="fi-FI"/>
        </w:rPr>
        <w:t xml:space="preserve"> – Ei arvioitavissa</w:t>
      </w:r>
    </w:p>
    <w:p w14:paraId="586FC393" w14:textId="77777777" w:rsidR="009F2B12" w:rsidRDefault="009F2B12" w:rsidP="009F2B12">
      <w:pPr>
        <w:pStyle w:val="EndnoteText"/>
        <w:widowControl w:val="0"/>
        <w:tabs>
          <w:tab w:val="clear" w:pos="567"/>
        </w:tabs>
        <w:rPr>
          <w:color w:val="000000"/>
          <w:szCs w:val="22"/>
          <w:lang w:val="fi-FI"/>
        </w:rPr>
      </w:pPr>
    </w:p>
    <w:p w14:paraId="586FC394" w14:textId="77777777" w:rsidR="009F2B12" w:rsidRDefault="009F2B12" w:rsidP="009F2B12">
      <w:pPr>
        <w:rPr>
          <w:rFonts w:ascii="Times New Roman" w:eastAsia="MS Mincho" w:hAnsi="Times New Roman"/>
          <w:iCs/>
          <w:color w:val="auto"/>
          <w:sz w:val="22"/>
          <w:szCs w:val="22"/>
          <w:lang w:eastAsia="fi-FI"/>
        </w:rPr>
      </w:pPr>
      <w:r>
        <w:rPr>
          <w:rFonts w:ascii="Times New Roman" w:hAnsi="Times New Roman"/>
          <w:sz w:val="22"/>
        </w:rPr>
        <w:t xml:space="preserve">Toisessa avoimessa vaiheen III monikeskustutkimuksessa (SSG XVIII/AIO) verrattiin 12 kk ja 36 kk kestäneitä Glivec-hoitoja (400 mg/vrk) potilailla, joille oli tehty GIST-kasvaimen resektio ja joita koski jokin seuraavista: kasvaimen halkaisija &gt; 5 cm ja mitoosiaktiivisuus &gt; 5/50 HPF-kenttä (high power field); kasvaimen halkaisija &gt; 10 cm ja mikä tahansa mitoosiaktiivisuus; tai minkä tahansa kokoinen kasvain ja mitoosiaktiivisuus &gt; 10/50 HPF tai kasvain revennyt vatsaonteloon. </w:t>
      </w:r>
      <w:r>
        <w:rPr>
          <w:rFonts w:ascii="Times New Roman" w:hAnsi="Times New Roman"/>
          <w:sz w:val="22"/>
        </w:rPr>
        <w:lastRenderedPageBreak/>
        <w:t>Tutkimukseen otettiin mukaan ja satunnaistettiin yhteensä 397 potilasta (199 potilasta 12 kuukauden ryhmään ja 198 potilasta 36 kuukauden ryhmään). Mediaani-ikä oli 61 vuotta (jakauma 22–84 vuotta). Seuranta-ajan mediaani oli 54 kk (satunnaistamisajankohdasta tiedonkeruun päättymiseen). Ensimmäisen potilaan satunnaistamisesta tiedonkeruun päättymiseen kului yhteensä 83 kk.</w:t>
      </w:r>
    </w:p>
    <w:p w14:paraId="586FC395" w14:textId="77777777" w:rsidR="009F2B12" w:rsidRDefault="009F2B12" w:rsidP="009F2B12">
      <w:pPr>
        <w:rPr>
          <w:rFonts w:ascii="Times New Roman" w:eastAsia="MS Mincho" w:hAnsi="Times New Roman"/>
          <w:iCs/>
          <w:sz w:val="22"/>
          <w:szCs w:val="22"/>
        </w:rPr>
      </w:pPr>
    </w:p>
    <w:p w14:paraId="586FC396" w14:textId="77777777" w:rsidR="009F2B12" w:rsidRDefault="009F2B12" w:rsidP="009F2B12">
      <w:pPr>
        <w:rPr>
          <w:rFonts w:ascii="Times New Roman" w:eastAsia="MS Mincho" w:hAnsi="Times New Roman"/>
          <w:sz w:val="22"/>
          <w:szCs w:val="22"/>
        </w:rPr>
      </w:pPr>
      <w:r>
        <w:rPr>
          <w:rFonts w:ascii="Times New Roman" w:hAnsi="Times New Roman"/>
          <w:sz w:val="22"/>
        </w:rPr>
        <w:t>Tutkimuksen ensisijainen päätetapahtuma oli relapsiton elossaolo (RFS), joka määriteltiin ajaksi satunnaistamisajankohdasta uusiutumisajankohtaan tai mistä tahansa syystä johtuneeseen kuolemaan.</w:t>
      </w:r>
    </w:p>
    <w:p w14:paraId="586FC397" w14:textId="77777777" w:rsidR="009F2B12" w:rsidRDefault="009F2B12" w:rsidP="009F2B12">
      <w:pPr>
        <w:rPr>
          <w:rFonts w:ascii="Times New Roman" w:eastAsia="MS Mincho" w:hAnsi="Times New Roman"/>
          <w:sz w:val="22"/>
          <w:szCs w:val="22"/>
        </w:rPr>
      </w:pPr>
    </w:p>
    <w:p w14:paraId="586FC398" w14:textId="77777777" w:rsidR="009F2B12" w:rsidRDefault="009F2B12" w:rsidP="009F2B12">
      <w:pPr>
        <w:rPr>
          <w:rFonts w:ascii="Times New Roman" w:eastAsia="MS Mincho" w:hAnsi="Times New Roman"/>
          <w:iCs/>
          <w:sz w:val="22"/>
          <w:szCs w:val="22"/>
        </w:rPr>
      </w:pPr>
      <w:r>
        <w:rPr>
          <w:rFonts w:ascii="Times New Roman" w:hAnsi="Times New Roman"/>
          <w:sz w:val="22"/>
        </w:rPr>
        <w:t>36 kk Glivec-hoito pidensi RFS:ää merkitsevästi verrattuna 12 kk Glivec-hoitoon (kokonaisriskisuhde [HR] = 0,46 [0,32, 0,65], p&lt;0,0001</w:t>
      </w:r>
      <w:r w:rsidR="00500D5B">
        <w:rPr>
          <w:rFonts w:ascii="Times New Roman" w:hAnsi="Times New Roman"/>
          <w:sz w:val="22"/>
        </w:rPr>
        <w:t>)</w:t>
      </w:r>
      <w:r w:rsidR="00B47947">
        <w:rPr>
          <w:rFonts w:ascii="Times New Roman" w:hAnsi="Times New Roman"/>
          <w:sz w:val="22"/>
        </w:rPr>
        <w:t xml:space="preserve"> (Taulukko </w:t>
      </w:r>
      <w:r w:rsidR="00170AC1">
        <w:rPr>
          <w:rFonts w:ascii="Times New Roman" w:hAnsi="Times New Roman"/>
          <w:sz w:val="22"/>
        </w:rPr>
        <w:t>8</w:t>
      </w:r>
      <w:r w:rsidR="00B47947">
        <w:rPr>
          <w:rFonts w:ascii="Times New Roman" w:hAnsi="Times New Roman"/>
          <w:sz w:val="22"/>
        </w:rPr>
        <w:t>, Kuva 1).</w:t>
      </w:r>
    </w:p>
    <w:p w14:paraId="586FC399" w14:textId="77777777" w:rsidR="009F2B12" w:rsidRDefault="009F2B12" w:rsidP="009F2B12">
      <w:pPr>
        <w:rPr>
          <w:rFonts w:ascii="Times New Roman" w:eastAsia="MS Mincho" w:hAnsi="Times New Roman"/>
          <w:iCs/>
          <w:sz w:val="22"/>
          <w:szCs w:val="22"/>
        </w:rPr>
      </w:pPr>
    </w:p>
    <w:p w14:paraId="586FC39A" w14:textId="77777777" w:rsidR="00BD551A" w:rsidRDefault="009F2B12" w:rsidP="009F2B12">
      <w:pPr>
        <w:rPr>
          <w:rFonts w:ascii="Times New Roman" w:hAnsi="Times New Roman"/>
          <w:sz w:val="22"/>
        </w:rPr>
      </w:pPr>
      <w:r>
        <w:rPr>
          <w:rFonts w:ascii="Times New Roman" w:hAnsi="Times New Roman"/>
          <w:sz w:val="22"/>
        </w:rPr>
        <w:t>36 kk Glivec-hoito pidensi merkitsevästi myös kokonaiselossaoloa verrattuna 12 kk Glivec-hoitoon (HR = 0,45 [0,22, 0,89], p=0,0187) (Taulukko </w:t>
      </w:r>
      <w:r w:rsidR="00170AC1">
        <w:rPr>
          <w:rFonts w:ascii="Times New Roman" w:hAnsi="Times New Roman"/>
          <w:sz w:val="22"/>
        </w:rPr>
        <w:t>8</w:t>
      </w:r>
      <w:r>
        <w:rPr>
          <w:rFonts w:ascii="Times New Roman" w:hAnsi="Times New Roman"/>
          <w:sz w:val="22"/>
        </w:rPr>
        <w:t>, Kuva 2).</w:t>
      </w:r>
    </w:p>
    <w:p w14:paraId="586FC39B" w14:textId="77777777" w:rsidR="00BD551A" w:rsidRDefault="00BD551A" w:rsidP="009F2B12">
      <w:pPr>
        <w:rPr>
          <w:rFonts w:ascii="Times New Roman" w:hAnsi="Times New Roman"/>
          <w:sz w:val="22"/>
        </w:rPr>
      </w:pPr>
    </w:p>
    <w:p w14:paraId="586FC39C" w14:textId="77777777" w:rsidR="00BD551A" w:rsidRDefault="00BD551A" w:rsidP="009F2B12">
      <w:pPr>
        <w:rPr>
          <w:rFonts w:ascii="Times New Roman" w:hAnsi="Times New Roman"/>
          <w:sz w:val="22"/>
        </w:rPr>
      </w:pPr>
      <w:r>
        <w:rPr>
          <w:rFonts w:ascii="Times New Roman" w:hAnsi="Times New Roman"/>
          <w:sz w:val="22"/>
        </w:rPr>
        <w:t>Pidempi hoidon kesto (&gt;</w:t>
      </w:r>
      <w:r w:rsidR="00500D5B">
        <w:rPr>
          <w:rFonts w:ascii="Times New Roman" w:hAnsi="Times New Roman"/>
          <w:sz w:val="22"/>
        </w:rPr>
        <w:t> </w:t>
      </w:r>
      <w:r>
        <w:rPr>
          <w:rFonts w:ascii="Times New Roman" w:hAnsi="Times New Roman"/>
          <w:sz w:val="22"/>
        </w:rPr>
        <w:t>36</w:t>
      </w:r>
      <w:r w:rsidR="00500D5B">
        <w:rPr>
          <w:rFonts w:ascii="Times New Roman" w:hAnsi="Times New Roman"/>
          <w:sz w:val="22"/>
        </w:rPr>
        <w:t> </w:t>
      </w:r>
      <w:r>
        <w:rPr>
          <w:rFonts w:ascii="Times New Roman" w:hAnsi="Times New Roman"/>
          <w:sz w:val="22"/>
        </w:rPr>
        <w:t>kuukautta) voi viivästyttää uusi</w:t>
      </w:r>
      <w:r w:rsidR="008A3206">
        <w:rPr>
          <w:rFonts w:ascii="Times New Roman" w:hAnsi="Times New Roman"/>
          <w:sz w:val="22"/>
        </w:rPr>
        <w:t>en</w:t>
      </w:r>
      <w:r>
        <w:rPr>
          <w:rFonts w:ascii="Times New Roman" w:hAnsi="Times New Roman"/>
          <w:sz w:val="22"/>
        </w:rPr>
        <w:t xml:space="preserve"> relaps</w:t>
      </w:r>
      <w:r w:rsidR="008A3206">
        <w:rPr>
          <w:rFonts w:ascii="Times New Roman" w:hAnsi="Times New Roman"/>
          <w:sz w:val="22"/>
        </w:rPr>
        <w:t>i</w:t>
      </w:r>
      <w:r>
        <w:rPr>
          <w:rFonts w:ascii="Times New Roman" w:hAnsi="Times New Roman"/>
          <w:sz w:val="22"/>
        </w:rPr>
        <w:t>e</w:t>
      </w:r>
      <w:r w:rsidR="008A3206">
        <w:rPr>
          <w:rFonts w:ascii="Times New Roman" w:hAnsi="Times New Roman"/>
          <w:sz w:val="22"/>
        </w:rPr>
        <w:t xml:space="preserve">n </w:t>
      </w:r>
      <w:r w:rsidR="002B1C76">
        <w:rPr>
          <w:rFonts w:ascii="Times New Roman" w:hAnsi="Times New Roman"/>
          <w:sz w:val="22"/>
        </w:rPr>
        <w:t>ilmaantu</w:t>
      </w:r>
      <w:r w:rsidR="008A3206">
        <w:rPr>
          <w:rFonts w:ascii="Times New Roman" w:hAnsi="Times New Roman"/>
          <w:sz w:val="22"/>
        </w:rPr>
        <w:t>misajankohtaa</w:t>
      </w:r>
      <w:r>
        <w:rPr>
          <w:rFonts w:ascii="Times New Roman" w:hAnsi="Times New Roman"/>
          <w:sz w:val="22"/>
        </w:rPr>
        <w:t>; tämän löydöksen vaikutus kokonaiselossaoloon jää kuitenkin tuntemattomaksi</w:t>
      </w:r>
      <w:r w:rsidR="008A3206">
        <w:rPr>
          <w:rFonts w:ascii="Times New Roman" w:hAnsi="Times New Roman"/>
          <w:sz w:val="22"/>
        </w:rPr>
        <w:t>.</w:t>
      </w:r>
    </w:p>
    <w:p w14:paraId="586FC39D" w14:textId="77777777" w:rsidR="00BD551A" w:rsidRDefault="00BD551A" w:rsidP="009F2B12">
      <w:pPr>
        <w:rPr>
          <w:rFonts w:ascii="Times New Roman" w:hAnsi="Times New Roman"/>
          <w:sz w:val="22"/>
        </w:rPr>
      </w:pPr>
    </w:p>
    <w:p w14:paraId="586FC39E" w14:textId="77777777" w:rsidR="009F2B12" w:rsidRDefault="009F2B12" w:rsidP="009F2B12">
      <w:pPr>
        <w:rPr>
          <w:rFonts w:ascii="Times New Roman" w:hAnsi="Times New Roman"/>
          <w:sz w:val="22"/>
        </w:rPr>
      </w:pPr>
      <w:r>
        <w:rPr>
          <w:rFonts w:ascii="Times New Roman" w:hAnsi="Times New Roman"/>
          <w:sz w:val="22"/>
        </w:rPr>
        <w:t>Kuolemantapauksia oli 12 kk hoitoryhmässä yhteensä 25 ja 36 kk ryhmässä 12.</w:t>
      </w:r>
    </w:p>
    <w:p w14:paraId="586FC39F" w14:textId="77777777" w:rsidR="00EB7E37" w:rsidRDefault="00EB7E37" w:rsidP="009F2B12">
      <w:pPr>
        <w:rPr>
          <w:rFonts w:ascii="Times New Roman" w:hAnsi="Times New Roman"/>
          <w:sz w:val="22"/>
        </w:rPr>
      </w:pPr>
    </w:p>
    <w:p w14:paraId="586FC3A0" w14:textId="77777777" w:rsidR="00EB7E37" w:rsidRDefault="0059702C" w:rsidP="009F2B12">
      <w:pPr>
        <w:rPr>
          <w:rFonts w:ascii="Times New Roman" w:eastAsia="MS Mincho" w:hAnsi="Times New Roman"/>
          <w:iCs/>
          <w:sz w:val="22"/>
          <w:szCs w:val="22"/>
        </w:rPr>
      </w:pPr>
      <w:r>
        <w:rPr>
          <w:rFonts w:ascii="Times New Roman" w:hAnsi="Times New Roman"/>
          <w:sz w:val="22"/>
        </w:rPr>
        <w:t>36</w:t>
      </w:r>
      <w:r w:rsidR="00500D5B">
        <w:rPr>
          <w:rFonts w:ascii="Times New Roman" w:hAnsi="Times New Roman"/>
          <w:sz w:val="22"/>
        </w:rPr>
        <w:t> </w:t>
      </w:r>
      <w:r>
        <w:rPr>
          <w:rFonts w:ascii="Times New Roman" w:hAnsi="Times New Roman"/>
          <w:sz w:val="22"/>
        </w:rPr>
        <w:t>kuukauden imatinibihoito oli 12</w:t>
      </w:r>
      <w:r w:rsidR="00500D5B">
        <w:rPr>
          <w:rFonts w:ascii="Times New Roman" w:hAnsi="Times New Roman"/>
          <w:sz w:val="22"/>
        </w:rPr>
        <w:t> </w:t>
      </w:r>
      <w:r>
        <w:rPr>
          <w:rFonts w:ascii="Times New Roman" w:hAnsi="Times New Roman"/>
          <w:sz w:val="22"/>
        </w:rPr>
        <w:t xml:space="preserve">kuukauden hoitoa parempi ITT-analyysissä, </w:t>
      </w:r>
      <w:r w:rsidR="002B1C76">
        <w:rPr>
          <w:rFonts w:ascii="Times New Roman" w:hAnsi="Times New Roman"/>
          <w:sz w:val="22"/>
        </w:rPr>
        <w:t>joka</w:t>
      </w:r>
      <w:r>
        <w:rPr>
          <w:rFonts w:ascii="Times New Roman" w:hAnsi="Times New Roman"/>
          <w:sz w:val="22"/>
        </w:rPr>
        <w:t xml:space="preserve"> sisäl</w:t>
      </w:r>
      <w:r w:rsidR="002B1C76">
        <w:rPr>
          <w:rFonts w:ascii="Times New Roman" w:hAnsi="Times New Roman"/>
          <w:sz w:val="22"/>
        </w:rPr>
        <w:t>si</w:t>
      </w:r>
      <w:r>
        <w:rPr>
          <w:rFonts w:ascii="Times New Roman" w:hAnsi="Times New Roman"/>
          <w:sz w:val="22"/>
        </w:rPr>
        <w:t xml:space="preserve"> koko tutkimuspopulaation. Suunnitel</w:t>
      </w:r>
      <w:r w:rsidR="002B1C76">
        <w:rPr>
          <w:rFonts w:ascii="Times New Roman" w:hAnsi="Times New Roman"/>
          <w:sz w:val="22"/>
        </w:rPr>
        <w:t>lussa</w:t>
      </w:r>
      <w:r>
        <w:rPr>
          <w:rFonts w:ascii="Times New Roman" w:hAnsi="Times New Roman"/>
          <w:sz w:val="22"/>
        </w:rPr>
        <w:t xml:space="preserve"> mutaatiotyypin mukaisessa alaryhmäanalyysissä </w:t>
      </w:r>
      <w:r w:rsidR="00727B54">
        <w:rPr>
          <w:rFonts w:ascii="Times New Roman" w:hAnsi="Times New Roman"/>
          <w:sz w:val="22"/>
        </w:rPr>
        <w:t>36</w:t>
      </w:r>
      <w:r w:rsidR="00500D5B">
        <w:rPr>
          <w:rFonts w:ascii="Times New Roman" w:hAnsi="Times New Roman"/>
          <w:sz w:val="22"/>
        </w:rPr>
        <w:t> </w:t>
      </w:r>
      <w:r w:rsidR="00727B54">
        <w:rPr>
          <w:rFonts w:ascii="Times New Roman" w:hAnsi="Times New Roman"/>
          <w:sz w:val="22"/>
        </w:rPr>
        <w:t xml:space="preserve">kuukauden hoidossa potilailla, joilla oli mutaatio eksonissa 11, </w:t>
      </w:r>
      <w:r w:rsidR="000D4D94">
        <w:rPr>
          <w:rFonts w:ascii="Times New Roman" w:hAnsi="Times New Roman"/>
          <w:sz w:val="22"/>
        </w:rPr>
        <w:t xml:space="preserve">RFS:n HR </w:t>
      </w:r>
      <w:r w:rsidR="00727B54">
        <w:rPr>
          <w:rFonts w:ascii="Times New Roman" w:hAnsi="Times New Roman"/>
          <w:sz w:val="22"/>
        </w:rPr>
        <w:t>oli 0,35 [95</w:t>
      </w:r>
      <w:r w:rsidR="00500D5B">
        <w:rPr>
          <w:rFonts w:ascii="Times New Roman" w:hAnsi="Times New Roman"/>
          <w:sz w:val="22"/>
        </w:rPr>
        <w:t> </w:t>
      </w:r>
      <w:r w:rsidR="00727B54">
        <w:rPr>
          <w:rFonts w:ascii="Times New Roman" w:hAnsi="Times New Roman"/>
          <w:sz w:val="22"/>
        </w:rPr>
        <w:t>%</w:t>
      </w:r>
      <w:r w:rsidR="000C32AF">
        <w:rPr>
          <w:rFonts w:ascii="Times New Roman" w:hAnsi="Times New Roman"/>
          <w:sz w:val="22"/>
        </w:rPr>
        <w:t xml:space="preserve">:n </w:t>
      </w:r>
      <w:r w:rsidR="00727B54">
        <w:rPr>
          <w:rFonts w:ascii="Times New Roman" w:hAnsi="Times New Roman"/>
          <w:sz w:val="22"/>
        </w:rPr>
        <w:t>l</w:t>
      </w:r>
      <w:r w:rsidR="000C32AF">
        <w:rPr>
          <w:rFonts w:ascii="Times New Roman" w:hAnsi="Times New Roman"/>
          <w:sz w:val="22"/>
        </w:rPr>
        <w:t>uottamus</w:t>
      </w:r>
      <w:r w:rsidR="00727B54">
        <w:rPr>
          <w:rFonts w:ascii="Times New Roman" w:hAnsi="Times New Roman"/>
          <w:sz w:val="22"/>
        </w:rPr>
        <w:t>v</w:t>
      </w:r>
      <w:r w:rsidR="000C32AF">
        <w:rPr>
          <w:rFonts w:ascii="Times New Roman" w:hAnsi="Times New Roman"/>
          <w:sz w:val="22"/>
        </w:rPr>
        <w:t>äli</w:t>
      </w:r>
      <w:r w:rsidR="00727B54">
        <w:rPr>
          <w:rFonts w:ascii="Times New Roman" w:hAnsi="Times New Roman"/>
          <w:sz w:val="22"/>
        </w:rPr>
        <w:t xml:space="preserve">: 0,22, 0,56]. </w:t>
      </w:r>
      <w:r w:rsidR="005D03C4">
        <w:rPr>
          <w:rFonts w:ascii="Times New Roman" w:hAnsi="Times New Roman"/>
          <w:sz w:val="22"/>
        </w:rPr>
        <w:t xml:space="preserve">Muille harvinaisemmille mutaatioalaryhmille </w:t>
      </w:r>
      <w:r w:rsidR="00727B54">
        <w:rPr>
          <w:rFonts w:ascii="Times New Roman" w:hAnsi="Times New Roman"/>
          <w:sz w:val="22"/>
        </w:rPr>
        <w:t xml:space="preserve">ei voida vetää </w:t>
      </w:r>
      <w:r w:rsidR="005D03C4">
        <w:rPr>
          <w:rFonts w:ascii="Times New Roman" w:hAnsi="Times New Roman"/>
          <w:sz w:val="22"/>
        </w:rPr>
        <w:t xml:space="preserve">johtopäätöksiä </w:t>
      </w:r>
      <w:r w:rsidR="00727B54">
        <w:rPr>
          <w:rFonts w:ascii="Times New Roman" w:hAnsi="Times New Roman"/>
          <w:sz w:val="22"/>
        </w:rPr>
        <w:t>johtuen havaittujen tapahtumien vähäisestä määrästä.</w:t>
      </w:r>
    </w:p>
    <w:p w14:paraId="586FC3A1" w14:textId="77777777" w:rsidR="009F2B12" w:rsidRDefault="009F2B12" w:rsidP="009F2B12">
      <w:pPr>
        <w:rPr>
          <w:rFonts w:ascii="Times New Roman" w:eastAsia="MS Mincho" w:hAnsi="Times New Roman"/>
          <w:iCs/>
          <w:color w:val="auto"/>
          <w:sz w:val="22"/>
          <w:szCs w:val="22"/>
        </w:rPr>
      </w:pPr>
    </w:p>
    <w:p w14:paraId="586FC3A2" w14:textId="77777777" w:rsidR="009F2B12" w:rsidRDefault="009F2B12" w:rsidP="00F71263">
      <w:pPr>
        <w:keepNext/>
        <w:ind w:left="1418" w:hanging="1418"/>
        <w:rPr>
          <w:rFonts w:ascii="Times New Roman" w:eastAsia="MS Mincho" w:hAnsi="Times New Roman"/>
          <w:b/>
          <w:sz w:val="22"/>
          <w:szCs w:val="22"/>
        </w:rPr>
      </w:pPr>
      <w:r>
        <w:rPr>
          <w:rFonts w:ascii="Times New Roman" w:hAnsi="Times New Roman"/>
          <w:b/>
          <w:sz w:val="22"/>
        </w:rPr>
        <w:t>Taulukko </w:t>
      </w:r>
      <w:r w:rsidR="00170AC1">
        <w:rPr>
          <w:rFonts w:ascii="Times New Roman" w:hAnsi="Times New Roman"/>
          <w:b/>
          <w:sz w:val="22"/>
        </w:rPr>
        <w:t>8</w:t>
      </w:r>
      <w:r>
        <w:rPr>
          <w:rFonts w:ascii="Times New Roman" w:hAnsi="Times New Roman"/>
          <w:sz w:val="22"/>
        </w:rPr>
        <w:tab/>
      </w:r>
      <w:r>
        <w:rPr>
          <w:rFonts w:ascii="Times New Roman" w:hAnsi="Times New Roman"/>
          <w:b/>
          <w:sz w:val="22"/>
        </w:rPr>
        <w:t>12 kk ja 36 kk Glivec-hoito (SSGXVIII/AIO-tutkimus)</w:t>
      </w:r>
    </w:p>
    <w:p w14:paraId="586FC3A3" w14:textId="77777777" w:rsidR="009F2B12" w:rsidRDefault="009F2B12" w:rsidP="00F71263">
      <w:pPr>
        <w:keepNext/>
        <w:rPr>
          <w:rFonts w:ascii="Times New Roman" w:eastAsia="MS Mincho" w:hAnsi="Times New Roman"/>
          <w:sz w:val="22"/>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9F2B12" w14:paraId="586FC3A7" w14:textId="77777777" w:rsidTr="00F71263">
        <w:trPr>
          <w:cantSplit/>
        </w:trPr>
        <w:tc>
          <w:tcPr>
            <w:tcW w:w="3099" w:type="dxa"/>
            <w:tcBorders>
              <w:top w:val="single" w:sz="4" w:space="0" w:color="auto"/>
              <w:left w:val="nil"/>
              <w:bottom w:val="nil"/>
              <w:right w:val="nil"/>
            </w:tcBorders>
          </w:tcPr>
          <w:p w14:paraId="586FC3A4" w14:textId="77777777" w:rsidR="009F2B12" w:rsidRDefault="009F2B12" w:rsidP="00F71263">
            <w:pPr>
              <w:keepNext/>
              <w:rPr>
                <w:rFonts w:ascii="Times New Roman" w:eastAsia="MS Mincho" w:hAnsi="Times New Roman"/>
                <w:sz w:val="22"/>
                <w:szCs w:val="22"/>
              </w:rPr>
            </w:pPr>
          </w:p>
        </w:tc>
        <w:tc>
          <w:tcPr>
            <w:tcW w:w="3100" w:type="dxa"/>
            <w:tcBorders>
              <w:top w:val="single" w:sz="4" w:space="0" w:color="auto"/>
              <w:left w:val="nil"/>
              <w:bottom w:val="nil"/>
              <w:right w:val="nil"/>
            </w:tcBorders>
          </w:tcPr>
          <w:p w14:paraId="586FC3A5" w14:textId="77777777" w:rsidR="009F2B12" w:rsidRDefault="009F2B12" w:rsidP="00F71263">
            <w:pPr>
              <w:keepNext/>
              <w:rPr>
                <w:rFonts w:ascii="Times New Roman" w:eastAsia="MS Mincho" w:hAnsi="Times New Roman"/>
                <w:b/>
                <w:sz w:val="22"/>
                <w:szCs w:val="22"/>
              </w:rPr>
            </w:pPr>
            <w:r>
              <w:rPr>
                <w:rFonts w:ascii="Times New Roman" w:hAnsi="Times New Roman"/>
                <w:b/>
                <w:sz w:val="22"/>
              </w:rPr>
              <w:t>12 kk hoitoryhmä</w:t>
            </w:r>
          </w:p>
        </w:tc>
        <w:tc>
          <w:tcPr>
            <w:tcW w:w="3100" w:type="dxa"/>
            <w:tcBorders>
              <w:top w:val="single" w:sz="4" w:space="0" w:color="auto"/>
              <w:left w:val="nil"/>
              <w:bottom w:val="nil"/>
              <w:right w:val="nil"/>
            </w:tcBorders>
          </w:tcPr>
          <w:p w14:paraId="586FC3A6" w14:textId="77777777" w:rsidR="009F2B12" w:rsidRDefault="009F2B12" w:rsidP="00F71263">
            <w:pPr>
              <w:keepNext/>
              <w:rPr>
                <w:rFonts w:ascii="Times New Roman" w:eastAsia="MS Mincho" w:hAnsi="Times New Roman"/>
                <w:b/>
                <w:sz w:val="22"/>
                <w:szCs w:val="22"/>
              </w:rPr>
            </w:pPr>
            <w:r>
              <w:rPr>
                <w:rFonts w:ascii="Times New Roman" w:hAnsi="Times New Roman"/>
                <w:b/>
                <w:sz w:val="22"/>
              </w:rPr>
              <w:t>36 kk hoitoryhmä</w:t>
            </w:r>
          </w:p>
        </w:tc>
      </w:tr>
      <w:tr w:rsidR="009F2B12" w14:paraId="586FC3AB" w14:textId="77777777" w:rsidTr="00F71263">
        <w:trPr>
          <w:cantSplit/>
        </w:trPr>
        <w:tc>
          <w:tcPr>
            <w:tcW w:w="3099" w:type="dxa"/>
            <w:tcBorders>
              <w:top w:val="nil"/>
              <w:left w:val="nil"/>
              <w:bottom w:val="nil"/>
              <w:right w:val="nil"/>
            </w:tcBorders>
          </w:tcPr>
          <w:p w14:paraId="586FC3A8" w14:textId="77777777" w:rsidR="009F2B12" w:rsidRDefault="009F2B12" w:rsidP="00F71263">
            <w:pPr>
              <w:keepNext/>
              <w:rPr>
                <w:rFonts w:ascii="Times New Roman" w:eastAsia="MS Mincho" w:hAnsi="Times New Roman"/>
                <w:b/>
                <w:sz w:val="22"/>
                <w:szCs w:val="22"/>
              </w:rPr>
            </w:pPr>
            <w:r>
              <w:rPr>
                <w:rFonts w:ascii="Times New Roman" w:hAnsi="Times New Roman"/>
                <w:b/>
                <w:sz w:val="22"/>
              </w:rPr>
              <w:t>RFS</w:t>
            </w:r>
          </w:p>
        </w:tc>
        <w:tc>
          <w:tcPr>
            <w:tcW w:w="3100" w:type="dxa"/>
            <w:tcBorders>
              <w:top w:val="nil"/>
              <w:left w:val="nil"/>
              <w:bottom w:val="nil"/>
              <w:right w:val="nil"/>
            </w:tcBorders>
          </w:tcPr>
          <w:p w14:paraId="586FC3A9" w14:textId="77777777" w:rsidR="009F2B12" w:rsidRDefault="009F2B12" w:rsidP="00F71263">
            <w:pPr>
              <w:keepNext/>
              <w:rPr>
                <w:rFonts w:ascii="Times New Roman" w:eastAsia="MS Mincho" w:hAnsi="Times New Roman"/>
                <w:b/>
                <w:sz w:val="22"/>
                <w:szCs w:val="22"/>
              </w:rPr>
            </w:pPr>
            <w:r>
              <w:rPr>
                <w:rFonts w:ascii="Times New Roman" w:hAnsi="Times New Roman"/>
                <w:b/>
                <w:sz w:val="22"/>
              </w:rPr>
              <w:t>% (l</w:t>
            </w:r>
            <w:r w:rsidR="00F967D5">
              <w:rPr>
                <w:rFonts w:ascii="Times New Roman" w:hAnsi="Times New Roman"/>
                <w:b/>
                <w:sz w:val="22"/>
              </w:rPr>
              <w:t>uottamus</w:t>
            </w:r>
            <w:r>
              <w:rPr>
                <w:rFonts w:ascii="Times New Roman" w:hAnsi="Times New Roman"/>
                <w:b/>
                <w:sz w:val="22"/>
              </w:rPr>
              <w:t>v</w:t>
            </w:r>
            <w:r w:rsidR="00F967D5">
              <w:rPr>
                <w:rFonts w:ascii="Times New Roman" w:hAnsi="Times New Roman"/>
                <w:b/>
                <w:sz w:val="22"/>
              </w:rPr>
              <w:t>äli</w:t>
            </w:r>
            <w:r>
              <w:rPr>
                <w:rFonts w:ascii="Times New Roman" w:hAnsi="Times New Roman"/>
                <w:b/>
                <w:sz w:val="22"/>
              </w:rPr>
              <w:t>)</w:t>
            </w:r>
          </w:p>
        </w:tc>
        <w:tc>
          <w:tcPr>
            <w:tcW w:w="3100" w:type="dxa"/>
            <w:tcBorders>
              <w:top w:val="nil"/>
              <w:left w:val="nil"/>
              <w:bottom w:val="nil"/>
              <w:right w:val="nil"/>
            </w:tcBorders>
          </w:tcPr>
          <w:p w14:paraId="586FC3AA" w14:textId="77777777" w:rsidR="009F2B12" w:rsidRDefault="009F2B12" w:rsidP="00F71263">
            <w:pPr>
              <w:keepNext/>
              <w:rPr>
                <w:rFonts w:ascii="Times New Roman" w:eastAsia="MS Mincho" w:hAnsi="Times New Roman"/>
                <w:b/>
                <w:sz w:val="22"/>
                <w:szCs w:val="22"/>
              </w:rPr>
            </w:pPr>
            <w:r>
              <w:rPr>
                <w:rFonts w:ascii="Times New Roman" w:hAnsi="Times New Roman"/>
                <w:b/>
                <w:sz w:val="22"/>
              </w:rPr>
              <w:t>% (l</w:t>
            </w:r>
            <w:r w:rsidR="00F967D5">
              <w:rPr>
                <w:rFonts w:ascii="Times New Roman" w:hAnsi="Times New Roman"/>
                <w:b/>
                <w:sz w:val="22"/>
              </w:rPr>
              <w:t>uottamus</w:t>
            </w:r>
            <w:r>
              <w:rPr>
                <w:rFonts w:ascii="Times New Roman" w:hAnsi="Times New Roman"/>
                <w:b/>
                <w:sz w:val="22"/>
              </w:rPr>
              <w:t>v</w:t>
            </w:r>
            <w:r w:rsidR="00F967D5">
              <w:rPr>
                <w:rFonts w:ascii="Times New Roman" w:hAnsi="Times New Roman"/>
                <w:b/>
                <w:sz w:val="22"/>
              </w:rPr>
              <w:t>äli</w:t>
            </w:r>
            <w:r>
              <w:rPr>
                <w:rFonts w:ascii="Times New Roman" w:hAnsi="Times New Roman"/>
                <w:b/>
                <w:sz w:val="22"/>
              </w:rPr>
              <w:t>)</w:t>
            </w:r>
          </w:p>
        </w:tc>
      </w:tr>
      <w:tr w:rsidR="009F2B12" w14:paraId="586FC3AF" w14:textId="77777777" w:rsidTr="00F71263">
        <w:trPr>
          <w:cantSplit/>
        </w:trPr>
        <w:tc>
          <w:tcPr>
            <w:tcW w:w="3099" w:type="dxa"/>
            <w:tcBorders>
              <w:top w:val="nil"/>
              <w:left w:val="nil"/>
              <w:bottom w:val="nil"/>
              <w:right w:val="nil"/>
            </w:tcBorders>
          </w:tcPr>
          <w:p w14:paraId="586FC3AC" w14:textId="77777777" w:rsidR="009F2B12" w:rsidRDefault="009F2B12" w:rsidP="00F71263">
            <w:pPr>
              <w:keepNext/>
              <w:ind w:left="284"/>
              <w:rPr>
                <w:rFonts w:ascii="Times New Roman" w:eastAsia="MS Mincho" w:hAnsi="Times New Roman"/>
                <w:sz w:val="22"/>
                <w:szCs w:val="22"/>
              </w:rPr>
            </w:pPr>
            <w:r>
              <w:rPr>
                <w:rFonts w:ascii="Times New Roman" w:hAnsi="Times New Roman"/>
                <w:sz w:val="22"/>
              </w:rPr>
              <w:t>12 kk</w:t>
            </w:r>
          </w:p>
        </w:tc>
        <w:tc>
          <w:tcPr>
            <w:tcW w:w="3100" w:type="dxa"/>
            <w:tcBorders>
              <w:top w:val="nil"/>
              <w:left w:val="nil"/>
              <w:bottom w:val="nil"/>
              <w:right w:val="nil"/>
            </w:tcBorders>
          </w:tcPr>
          <w:p w14:paraId="586FC3AD" w14:textId="77777777" w:rsidR="009F2B12" w:rsidRDefault="009F2B12" w:rsidP="00F71263">
            <w:pPr>
              <w:keepNext/>
              <w:rPr>
                <w:rFonts w:ascii="Times New Roman" w:eastAsia="MS Mincho" w:hAnsi="Times New Roman"/>
                <w:sz w:val="22"/>
                <w:szCs w:val="22"/>
              </w:rPr>
            </w:pPr>
            <w:r>
              <w:rPr>
                <w:rFonts w:ascii="Times New Roman" w:hAnsi="Times New Roman"/>
                <w:sz w:val="22"/>
              </w:rPr>
              <w:t>93,7 (89,2–96,4)</w:t>
            </w:r>
          </w:p>
        </w:tc>
        <w:tc>
          <w:tcPr>
            <w:tcW w:w="3100" w:type="dxa"/>
            <w:tcBorders>
              <w:top w:val="nil"/>
              <w:left w:val="nil"/>
              <w:bottom w:val="nil"/>
              <w:right w:val="nil"/>
            </w:tcBorders>
          </w:tcPr>
          <w:p w14:paraId="586FC3AE" w14:textId="77777777" w:rsidR="009F2B12" w:rsidRDefault="009F2B12" w:rsidP="00F71263">
            <w:pPr>
              <w:keepNext/>
              <w:rPr>
                <w:rFonts w:ascii="Times New Roman" w:eastAsia="MS Mincho" w:hAnsi="Times New Roman"/>
                <w:sz w:val="22"/>
                <w:szCs w:val="22"/>
              </w:rPr>
            </w:pPr>
            <w:r>
              <w:rPr>
                <w:rFonts w:ascii="Times New Roman" w:hAnsi="Times New Roman"/>
                <w:sz w:val="22"/>
              </w:rPr>
              <w:t>95,9 (91,9–97,9)</w:t>
            </w:r>
          </w:p>
        </w:tc>
      </w:tr>
      <w:tr w:rsidR="009F2B12" w14:paraId="586FC3B3" w14:textId="77777777" w:rsidTr="00F71263">
        <w:trPr>
          <w:cantSplit/>
        </w:trPr>
        <w:tc>
          <w:tcPr>
            <w:tcW w:w="3099" w:type="dxa"/>
            <w:tcBorders>
              <w:top w:val="nil"/>
              <w:left w:val="nil"/>
              <w:bottom w:val="nil"/>
              <w:right w:val="nil"/>
            </w:tcBorders>
          </w:tcPr>
          <w:p w14:paraId="586FC3B0" w14:textId="77777777" w:rsidR="009F2B12" w:rsidRDefault="009F2B12" w:rsidP="00F71263">
            <w:pPr>
              <w:keepNext/>
              <w:ind w:left="284"/>
              <w:rPr>
                <w:rFonts w:ascii="Times New Roman" w:eastAsia="MS Mincho" w:hAnsi="Times New Roman"/>
                <w:sz w:val="22"/>
                <w:szCs w:val="22"/>
              </w:rPr>
            </w:pPr>
            <w:r>
              <w:rPr>
                <w:rFonts w:ascii="Times New Roman" w:hAnsi="Times New Roman"/>
                <w:sz w:val="22"/>
              </w:rPr>
              <w:t>24 kk</w:t>
            </w:r>
          </w:p>
        </w:tc>
        <w:tc>
          <w:tcPr>
            <w:tcW w:w="3100" w:type="dxa"/>
            <w:tcBorders>
              <w:top w:val="nil"/>
              <w:left w:val="nil"/>
              <w:bottom w:val="nil"/>
              <w:right w:val="nil"/>
            </w:tcBorders>
          </w:tcPr>
          <w:p w14:paraId="586FC3B1" w14:textId="77777777" w:rsidR="009F2B12" w:rsidRDefault="009F2B12" w:rsidP="00F71263">
            <w:pPr>
              <w:keepNext/>
              <w:rPr>
                <w:rFonts w:ascii="Times New Roman" w:eastAsia="MS Mincho" w:hAnsi="Times New Roman"/>
                <w:sz w:val="22"/>
                <w:szCs w:val="22"/>
              </w:rPr>
            </w:pPr>
            <w:r>
              <w:rPr>
                <w:rFonts w:ascii="Times New Roman" w:hAnsi="Times New Roman"/>
                <w:sz w:val="22"/>
              </w:rPr>
              <w:t>75,4 (68,6–81,0)</w:t>
            </w:r>
          </w:p>
        </w:tc>
        <w:tc>
          <w:tcPr>
            <w:tcW w:w="3100" w:type="dxa"/>
            <w:tcBorders>
              <w:top w:val="nil"/>
              <w:left w:val="nil"/>
              <w:bottom w:val="nil"/>
              <w:right w:val="nil"/>
            </w:tcBorders>
          </w:tcPr>
          <w:p w14:paraId="586FC3B2" w14:textId="77777777" w:rsidR="009F2B12" w:rsidRDefault="009F2B12" w:rsidP="00F71263">
            <w:pPr>
              <w:keepNext/>
              <w:rPr>
                <w:rFonts w:ascii="Times New Roman" w:eastAsia="MS Mincho" w:hAnsi="Times New Roman"/>
                <w:sz w:val="22"/>
                <w:szCs w:val="22"/>
              </w:rPr>
            </w:pPr>
            <w:r>
              <w:rPr>
                <w:rFonts w:ascii="Times New Roman" w:hAnsi="Times New Roman"/>
                <w:sz w:val="22"/>
              </w:rPr>
              <w:t>90,7 (85,6–94</w:t>
            </w:r>
            <w:r w:rsidR="000D4D94">
              <w:rPr>
                <w:rFonts w:ascii="Times New Roman" w:hAnsi="Times New Roman"/>
                <w:sz w:val="22"/>
              </w:rPr>
              <w:t>,0</w:t>
            </w:r>
            <w:r>
              <w:rPr>
                <w:rFonts w:ascii="Times New Roman" w:hAnsi="Times New Roman"/>
                <w:sz w:val="22"/>
              </w:rPr>
              <w:t>)</w:t>
            </w:r>
          </w:p>
        </w:tc>
      </w:tr>
      <w:tr w:rsidR="009F2B12" w14:paraId="586FC3B7" w14:textId="77777777" w:rsidTr="00F71263">
        <w:trPr>
          <w:cantSplit/>
        </w:trPr>
        <w:tc>
          <w:tcPr>
            <w:tcW w:w="3099" w:type="dxa"/>
            <w:tcBorders>
              <w:top w:val="nil"/>
              <w:left w:val="nil"/>
              <w:bottom w:val="nil"/>
              <w:right w:val="nil"/>
            </w:tcBorders>
          </w:tcPr>
          <w:p w14:paraId="586FC3B4" w14:textId="77777777" w:rsidR="009F2B12" w:rsidRDefault="009F2B12" w:rsidP="00F71263">
            <w:pPr>
              <w:keepNext/>
              <w:ind w:left="284"/>
              <w:rPr>
                <w:rFonts w:ascii="Times New Roman" w:eastAsia="MS Mincho" w:hAnsi="Times New Roman"/>
                <w:sz w:val="22"/>
                <w:szCs w:val="22"/>
              </w:rPr>
            </w:pPr>
            <w:r>
              <w:rPr>
                <w:rFonts w:ascii="Times New Roman" w:hAnsi="Times New Roman"/>
                <w:sz w:val="22"/>
              </w:rPr>
              <w:t>36 kk</w:t>
            </w:r>
          </w:p>
        </w:tc>
        <w:tc>
          <w:tcPr>
            <w:tcW w:w="3100" w:type="dxa"/>
            <w:tcBorders>
              <w:top w:val="nil"/>
              <w:left w:val="nil"/>
              <w:bottom w:val="nil"/>
              <w:right w:val="nil"/>
            </w:tcBorders>
          </w:tcPr>
          <w:p w14:paraId="586FC3B5" w14:textId="77777777" w:rsidR="009F2B12" w:rsidRDefault="009F2B12" w:rsidP="00F71263">
            <w:pPr>
              <w:keepNext/>
              <w:rPr>
                <w:rFonts w:ascii="Times New Roman" w:eastAsia="MS Mincho" w:hAnsi="Times New Roman"/>
                <w:sz w:val="22"/>
                <w:szCs w:val="22"/>
              </w:rPr>
            </w:pPr>
            <w:r>
              <w:rPr>
                <w:rFonts w:ascii="Times New Roman" w:hAnsi="Times New Roman"/>
                <w:sz w:val="22"/>
              </w:rPr>
              <w:t>60,1 (52,5–66,9)</w:t>
            </w:r>
          </w:p>
        </w:tc>
        <w:tc>
          <w:tcPr>
            <w:tcW w:w="3100" w:type="dxa"/>
            <w:tcBorders>
              <w:top w:val="nil"/>
              <w:left w:val="nil"/>
              <w:bottom w:val="nil"/>
              <w:right w:val="nil"/>
            </w:tcBorders>
          </w:tcPr>
          <w:p w14:paraId="586FC3B6" w14:textId="77777777" w:rsidR="009F2B12" w:rsidRDefault="009F2B12" w:rsidP="00F71263">
            <w:pPr>
              <w:keepNext/>
              <w:rPr>
                <w:rFonts w:ascii="Times New Roman" w:eastAsia="MS Mincho" w:hAnsi="Times New Roman"/>
                <w:sz w:val="22"/>
                <w:szCs w:val="22"/>
              </w:rPr>
            </w:pPr>
            <w:r>
              <w:rPr>
                <w:rFonts w:ascii="Times New Roman" w:hAnsi="Times New Roman"/>
                <w:sz w:val="22"/>
              </w:rPr>
              <w:t>86,6 (80,8–90,8)</w:t>
            </w:r>
          </w:p>
        </w:tc>
      </w:tr>
      <w:tr w:rsidR="009F2B12" w14:paraId="586FC3BB" w14:textId="77777777" w:rsidTr="00F71263">
        <w:trPr>
          <w:cantSplit/>
        </w:trPr>
        <w:tc>
          <w:tcPr>
            <w:tcW w:w="3099" w:type="dxa"/>
            <w:tcBorders>
              <w:top w:val="nil"/>
              <w:left w:val="nil"/>
              <w:bottom w:val="nil"/>
              <w:right w:val="nil"/>
            </w:tcBorders>
          </w:tcPr>
          <w:p w14:paraId="586FC3B8" w14:textId="77777777" w:rsidR="009F2B12" w:rsidRDefault="009F2B12" w:rsidP="00F71263">
            <w:pPr>
              <w:keepNext/>
              <w:ind w:left="284"/>
              <w:rPr>
                <w:rFonts w:ascii="Times New Roman" w:eastAsia="MS Mincho" w:hAnsi="Times New Roman"/>
                <w:sz w:val="22"/>
                <w:szCs w:val="22"/>
              </w:rPr>
            </w:pPr>
            <w:r>
              <w:rPr>
                <w:rFonts w:ascii="Times New Roman" w:hAnsi="Times New Roman"/>
                <w:sz w:val="22"/>
              </w:rPr>
              <w:t>48 kk</w:t>
            </w:r>
          </w:p>
        </w:tc>
        <w:tc>
          <w:tcPr>
            <w:tcW w:w="3100" w:type="dxa"/>
            <w:tcBorders>
              <w:top w:val="nil"/>
              <w:left w:val="nil"/>
              <w:bottom w:val="nil"/>
              <w:right w:val="nil"/>
            </w:tcBorders>
          </w:tcPr>
          <w:p w14:paraId="586FC3B9" w14:textId="77777777" w:rsidR="009F2B12" w:rsidRDefault="009F2B12" w:rsidP="00F71263">
            <w:pPr>
              <w:keepNext/>
              <w:rPr>
                <w:rFonts w:ascii="Times New Roman" w:eastAsia="MS Mincho" w:hAnsi="Times New Roman"/>
                <w:sz w:val="22"/>
                <w:szCs w:val="22"/>
              </w:rPr>
            </w:pPr>
            <w:r>
              <w:rPr>
                <w:rFonts w:ascii="Times New Roman" w:hAnsi="Times New Roman"/>
                <w:sz w:val="22"/>
              </w:rPr>
              <w:t>52,3 (44,0–59,8)</w:t>
            </w:r>
          </w:p>
        </w:tc>
        <w:tc>
          <w:tcPr>
            <w:tcW w:w="3100" w:type="dxa"/>
            <w:tcBorders>
              <w:top w:val="nil"/>
              <w:left w:val="nil"/>
              <w:bottom w:val="nil"/>
              <w:right w:val="nil"/>
            </w:tcBorders>
          </w:tcPr>
          <w:p w14:paraId="586FC3BA" w14:textId="77777777" w:rsidR="009F2B12" w:rsidRDefault="009F2B12" w:rsidP="00F71263">
            <w:pPr>
              <w:keepNext/>
              <w:rPr>
                <w:rFonts w:ascii="Times New Roman" w:eastAsia="MS Mincho" w:hAnsi="Times New Roman"/>
                <w:sz w:val="22"/>
                <w:szCs w:val="22"/>
              </w:rPr>
            </w:pPr>
            <w:r>
              <w:rPr>
                <w:rFonts w:ascii="Times New Roman" w:hAnsi="Times New Roman"/>
                <w:sz w:val="22"/>
              </w:rPr>
              <w:t>78,3 (70,8</w:t>
            </w:r>
            <w:r>
              <w:rPr>
                <w:rFonts w:ascii="Times New Roman" w:hAnsi="Times New Roman"/>
                <w:sz w:val="22"/>
              </w:rPr>
              <w:noBreakHyphen/>
              <w:t>84,1)</w:t>
            </w:r>
          </w:p>
        </w:tc>
      </w:tr>
      <w:tr w:rsidR="009F2B12" w14:paraId="586FC3BF" w14:textId="77777777" w:rsidTr="00F71263">
        <w:trPr>
          <w:cantSplit/>
        </w:trPr>
        <w:tc>
          <w:tcPr>
            <w:tcW w:w="3099" w:type="dxa"/>
            <w:tcBorders>
              <w:top w:val="nil"/>
              <w:left w:val="nil"/>
              <w:bottom w:val="nil"/>
              <w:right w:val="nil"/>
            </w:tcBorders>
          </w:tcPr>
          <w:p w14:paraId="586FC3BC" w14:textId="77777777" w:rsidR="009F2B12" w:rsidRDefault="009F2B12" w:rsidP="00F71263">
            <w:pPr>
              <w:keepNext/>
              <w:ind w:left="284"/>
              <w:rPr>
                <w:rFonts w:ascii="Times New Roman" w:eastAsia="MS Mincho" w:hAnsi="Times New Roman"/>
                <w:sz w:val="22"/>
                <w:szCs w:val="22"/>
              </w:rPr>
            </w:pPr>
            <w:r>
              <w:rPr>
                <w:rFonts w:ascii="Times New Roman" w:hAnsi="Times New Roman"/>
                <w:sz w:val="22"/>
              </w:rPr>
              <w:t>60 kk</w:t>
            </w:r>
          </w:p>
        </w:tc>
        <w:tc>
          <w:tcPr>
            <w:tcW w:w="3100" w:type="dxa"/>
            <w:tcBorders>
              <w:top w:val="nil"/>
              <w:left w:val="nil"/>
              <w:bottom w:val="nil"/>
              <w:right w:val="nil"/>
            </w:tcBorders>
          </w:tcPr>
          <w:p w14:paraId="586FC3BD" w14:textId="77777777" w:rsidR="009F2B12" w:rsidRDefault="009F2B12" w:rsidP="00F71263">
            <w:pPr>
              <w:keepNext/>
              <w:rPr>
                <w:rFonts w:ascii="Times New Roman" w:eastAsia="MS Mincho" w:hAnsi="Times New Roman"/>
                <w:sz w:val="22"/>
                <w:szCs w:val="22"/>
              </w:rPr>
            </w:pPr>
            <w:r>
              <w:rPr>
                <w:rFonts w:ascii="Times New Roman" w:hAnsi="Times New Roman"/>
                <w:sz w:val="22"/>
              </w:rPr>
              <w:t>47,9 (39,0–56,3)</w:t>
            </w:r>
          </w:p>
        </w:tc>
        <w:tc>
          <w:tcPr>
            <w:tcW w:w="3100" w:type="dxa"/>
            <w:tcBorders>
              <w:top w:val="nil"/>
              <w:left w:val="nil"/>
              <w:bottom w:val="nil"/>
              <w:right w:val="nil"/>
            </w:tcBorders>
          </w:tcPr>
          <w:p w14:paraId="586FC3BE" w14:textId="77777777" w:rsidR="009F2B12" w:rsidRDefault="009F2B12" w:rsidP="00F71263">
            <w:pPr>
              <w:keepNext/>
              <w:rPr>
                <w:rFonts w:ascii="Times New Roman" w:eastAsia="MS Mincho" w:hAnsi="Times New Roman"/>
                <w:sz w:val="22"/>
                <w:szCs w:val="22"/>
              </w:rPr>
            </w:pPr>
            <w:r>
              <w:rPr>
                <w:rFonts w:ascii="Times New Roman" w:hAnsi="Times New Roman"/>
                <w:sz w:val="22"/>
              </w:rPr>
              <w:t>65,6 (56,1–73,4)</w:t>
            </w:r>
          </w:p>
        </w:tc>
      </w:tr>
      <w:tr w:rsidR="009F2B12" w14:paraId="586FC3C3" w14:textId="77777777" w:rsidTr="00F71263">
        <w:trPr>
          <w:cantSplit/>
        </w:trPr>
        <w:tc>
          <w:tcPr>
            <w:tcW w:w="3099" w:type="dxa"/>
            <w:tcBorders>
              <w:top w:val="nil"/>
              <w:left w:val="nil"/>
              <w:bottom w:val="nil"/>
              <w:right w:val="nil"/>
            </w:tcBorders>
          </w:tcPr>
          <w:p w14:paraId="586FC3C0" w14:textId="77777777" w:rsidR="009F2B12" w:rsidRDefault="009F2B12" w:rsidP="00F71263">
            <w:pPr>
              <w:keepNext/>
              <w:rPr>
                <w:rFonts w:ascii="Times New Roman" w:eastAsia="MS Mincho" w:hAnsi="Times New Roman"/>
                <w:b/>
                <w:sz w:val="22"/>
                <w:szCs w:val="22"/>
              </w:rPr>
            </w:pPr>
            <w:r>
              <w:rPr>
                <w:rFonts w:ascii="Times New Roman" w:hAnsi="Times New Roman"/>
                <w:b/>
                <w:sz w:val="22"/>
              </w:rPr>
              <w:t>Elossaolo</w:t>
            </w:r>
          </w:p>
        </w:tc>
        <w:tc>
          <w:tcPr>
            <w:tcW w:w="3100" w:type="dxa"/>
            <w:tcBorders>
              <w:top w:val="nil"/>
              <w:left w:val="nil"/>
              <w:bottom w:val="nil"/>
              <w:right w:val="nil"/>
            </w:tcBorders>
          </w:tcPr>
          <w:p w14:paraId="586FC3C1" w14:textId="77777777" w:rsidR="009F2B12" w:rsidRDefault="009F2B12" w:rsidP="00F71263">
            <w:pPr>
              <w:keepNext/>
              <w:rPr>
                <w:rFonts w:ascii="Times New Roman" w:eastAsia="MS Mincho" w:hAnsi="Times New Roman"/>
                <w:sz w:val="22"/>
                <w:szCs w:val="22"/>
              </w:rPr>
            </w:pPr>
          </w:p>
        </w:tc>
        <w:tc>
          <w:tcPr>
            <w:tcW w:w="3100" w:type="dxa"/>
            <w:tcBorders>
              <w:top w:val="nil"/>
              <w:left w:val="nil"/>
              <w:bottom w:val="nil"/>
              <w:right w:val="nil"/>
            </w:tcBorders>
          </w:tcPr>
          <w:p w14:paraId="586FC3C2" w14:textId="77777777" w:rsidR="009F2B12" w:rsidRDefault="009F2B12" w:rsidP="00F71263">
            <w:pPr>
              <w:keepNext/>
              <w:rPr>
                <w:rFonts w:ascii="Times New Roman" w:eastAsia="MS Mincho" w:hAnsi="Times New Roman"/>
                <w:sz w:val="22"/>
                <w:szCs w:val="22"/>
              </w:rPr>
            </w:pPr>
          </w:p>
        </w:tc>
      </w:tr>
      <w:tr w:rsidR="009F2B12" w14:paraId="586FC3C7" w14:textId="77777777" w:rsidTr="00F71263">
        <w:trPr>
          <w:cantSplit/>
        </w:trPr>
        <w:tc>
          <w:tcPr>
            <w:tcW w:w="3099" w:type="dxa"/>
            <w:tcBorders>
              <w:top w:val="nil"/>
              <w:left w:val="nil"/>
              <w:bottom w:val="nil"/>
              <w:right w:val="nil"/>
            </w:tcBorders>
          </w:tcPr>
          <w:p w14:paraId="586FC3C4" w14:textId="77777777" w:rsidR="009F2B12" w:rsidRDefault="009F2B12" w:rsidP="00F71263">
            <w:pPr>
              <w:keepNext/>
              <w:ind w:left="284"/>
              <w:rPr>
                <w:rFonts w:ascii="Times New Roman" w:eastAsia="MS Mincho" w:hAnsi="Times New Roman"/>
                <w:sz w:val="22"/>
                <w:szCs w:val="22"/>
              </w:rPr>
            </w:pPr>
            <w:r>
              <w:rPr>
                <w:rFonts w:ascii="Times New Roman" w:hAnsi="Times New Roman"/>
                <w:sz w:val="22"/>
              </w:rPr>
              <w:t>36 kk</w:t>
            </w:r>
          </w:p>
        </w:tc>
        <w:tc>
          <w:tcPr>
            <w:tcW w:w="3100" w:type="dxa"/>
            <w:tcBorders>
              <w:top w:val="nil"/>
              <w:left w:val="nil"/>
              <w:bottom w:val="nil"/>
              <w:right w:val="nil"/>
            </w:tcBorders>
          </w:tcPr>
          <w:p w14:paraId="586FC3C5" w14:textId="77777777" w:rsidR="009F2B12" w:rsidRDefault="009F2B12" w:rsidP="00F71263">
            <w:pPr>
              <w:keepNext/>
              <w:rPr>
                <w:rFonts w:ascii="Times New Roman" w:eastAsia="MS Mincho" w:hAnsi="Times New Roman"/>
                <w:sz w:val="22"/>
                <w:szCs w:val="22"/>
              </w:rPr>
            </w:pPr>
            <w:r>
              <w:rPr>
                <w:rFonts w:ascii="Times New Roman" w:hAnsi="Times New Roman"/>
                <w:sz w:val="22"/>
              </w:rPr>
              <w:t>94,0 (89,5–96,7)</w:t>
            </w:r>
          </w:p>
        </w:tc>
        <w:tc>
          <w:tcPr>
            <w:tcW w:w="3100" w:type="dxa"/>
            <w:tcBorders>
              <w:top w:val="nil"/>
              <w:left w:val="nil"/>
              <w:bottom w:val="nil"/>
              <w:right w:val="nil"/>
            </w:tcBorders>
          </w:tcPr>
          <w:p w14:paraId="586FC3C6" w14:textId="77777777" w:rsidR="009F2B12" w:rsidRDefault="009F2B12" w:rsidP="00F71263">
            <w:pPr>
              <w:keepNext/>
              <w:rPr>
                <w:rFonts w:ascii="Times New Roman" w:eastAsia="MS Mincho" w:hAnsi="Times New Roman"/>
                <w:sz w:val="22"/>
                <w:szCs w:val="22"/>
              </w:rPr>
            </w:pPr>
            <w:r>
              <w:rPr>
                <w:rFonts w:ascii="Times New Roman" w:hAnsi="Times New Roman"/>
                <w:sz w:val="22"/>
              </w:rPr>
              <w:t>96,3 (92,4–98,2)</w:t>
            </w:r>
          </w:p>
        </w:tc>
      </w:tr>
      <w:tr w:rsidR="009F2B12" w14:paraId="586FC3CB" w14:textId="77777777" w:rsidTr="00F71263">
        <w:trPr>
          <w:cantSplit/>
        </w:trPr>
        <w:tc>
          <w:tcPr>
            <w:tcW w:w="3099" w:type="dxa"/>
            <w:tcBorders>
              <w:top w:val="nil"/>
              <w:left w:val="nil"/>
              <w:bottom w:val="nil"/>
              <w:right w:val="nil"/>
            </w:tcBorders>
          </w:tcPr>
          <w:p w14:paraId="586FC3C8" w14:textId="77777777" w:rsidR="009F2B12" w:rsidRDefault="009F2B12" w:rsidP="00F71263">
            <w:pPr>
              <w:keepNext/>
              <w:ind w:left="284"/>
              <w:rPr>
                <w:rFonts w:ascii="Times New Roman" w:eastAsia="MS Mincho" w:hAnsi="Times New Roman"/>
                <w:sz w:val="22"/>
                <w:szCs w:val="22"/>
              </w:rPr>
            </w:pPr>
            <w:r>
              <w:rPr>
                <w:rFonts w:ascii="Times New Roman" w:hAnsi="Times New Roman"/>
                <w:sz w:val="22"/>
              </w:rPr>
              <w:t>48 kk</w:t>
            </w:r>
          </w:p>
        </w:tc>
        <w:tc>
          <w:tcPr>
            <w:tcW w:w="3100" w:type="dxa"/>
            <w:tcBorders>
              <w:top w:val="nil"/>
              <w:left w:val="nil"/>
              <w:bottom w:val="nil"/>
              <w:right w:val="nil"/>
            </w:tcBorders>
          </w:tcPr>
          <w:p w14:paraId="586FC3C9" w14:textId="77777777" w:rsidR="009F2B12" w:rsidRDefault="009F2B12" w:rsidP="00F71263">
            <w:pPr>
              <w:keepNext/>
              <w:rPr>
                <w:rFonts w:ascii="Times New Roman" w:eastAsia="MS Mincho" w:hAnsi="Times New Roman"/>
                <w:sz w:val="22"/>
                <w:szCs w:val="22"/>
              </w:rPr>
            </w:pPr>
            <w:r>
              <w:rPr>
                <w:rFonts w:ascii="Times New Roman" w:hAnsi="Times New Roman"/>
                <w:sz w:val="22"/>
              </w:rPr>
              <w:t>87,9 (81,1–92,3)</w:t>
            </w:r>
          </w:p>
        </w:tc>
        <w:tc>
          <w:tcPr>
            <w:tcW w:w="3100" w:type="dxa"/>
            <w:tcBorders>
              <w:top w:val="nil"/>
              <w:left w:val="nil"/>
              <w:bottom w:val="nil"/>
              <w:right w:val="nil"/>
            </w:tcBorders>
          </w:tcPr>
          <w:p w14:paraId="586FC3CA" w14:textId="77777777" w:rsidR="009F2B12" w:rsidRDefault="009F2B12" w:rsidP="00F71263">
            <w:pPr>
              <w:keepNext/>
              <w:rPr>
                <w:rFonts w:ascii="Times New Roman" w:eastAsia="MS Mincho" w:hAnsi="Times New Roman"/>
                <w:sz w:val="22"/>
                <w:szCs w:val="22"/>
              </w:rPr>
            </w:pPr>
            <w:r>
              <w:rPr>
                <w:rFonts w:ascii="Times New Roman" w:hAnsi="Times New Roman"/>
                <w:sz w:val="22"/>
              </w:rPr>
              <w:t>95,6 (91,2–97,8)</w:t>
            </w:r>
          </w:p>
        </w:tc>
      </w:tr>
      <w:tr w:rsidR="009F2B12" w14:paraId="586FC3CF" w14:textId="77777777" w:rsidTr="00F71263">
        <w:trPr>
          <w:cantSplit/>
        </w:trPr>
        <w:tc>
          <w:tcPr>
            <w:tcW w:w="3099" w:type="dxa"/>
            <w:tcBorders>
              <w:top w:val="nil"/>
              <w:left w:val="nil"/>
              <w:bottom w:val="single" w:sz="4" w:space="0" w:color="auto"/>
              <w:right w:val="nil"/>
            </w:tcBorders>
          </w:tcPr>
          <w:p w14:paraId="586FC3CC" w14:textId="77777777" w:rsidR="009F2B12" w:rsidRDefault="009F2B12" w:rsidP="00BE2219">
            <w:pPr>
              <w:ind w:left="284"/>
              <w:rPr>
                <w:rFonts w:ascii="Times New Roman" w:eastAsia="MS Mincho" w:hAnsi="Times New Roman"/>
                <w:sz w:val="22"/>
                <w:szCs w:val="22"/>
              </w:rPr>
            </w:pPr>
            <w:r>
              <w:rPr>
                <w:rFonts w:ascii="Times New Roman" w:hAnsi="Times New Roman"/>
                <w:sz w:val="22"/>
              </w:rPr>
              <w:t>60 kk</w:t>
            </w:r>
          </w:p>
        </w:tc>
        <w:tc>
          <w:tcPr>
            <w:tcW w:w="3100" w:type="dxa"/>
            <w:tcBorders>
              <w:top w:val="nil"/>
              <w:left w:val="nil"/>
              <w:bottom w:val="single" w:sz="4" w:space="0" w:color="auto"/>
              <w:right w:val="nil"/>
            </w:tcBorders>
          </w:tcPr>
          <w:p w14:paraId="586FC3CD" w14:textId="77777777" w:rsidR="009F2B12" w:rsidRDefault="009F2B12" w:rsidP="00BE2219">
            <w:pPr>
              <w:rPr>
                <w:rFonts w:ascii="Times New Roman" w:eastAsia="MS Mincho" w:hAnsi="Times New Roman"/>
                <w:sz w:val="22"/>
                <w:szCs w:val="22"/>
              </w:rPr>
            </w:pPr>
            <w:r>
              <w:rPr>
                <w:rFonts w:ascii="Times New Roman" w:hAnsi="Times New Roman"/>
                <w:sz w:val="22"/>
              </w:rPr>
              <w:t>81,7 (73,0–87,8)</w:t>
            </w:r>
          </w:p>
        </w:tc>
        <w:tc>
          <w:tcPr>
            <w:tcW w:w="3100" w:type="dxa"/>
            <w:tcBorders>
              <w:top w:val="nil"/>
              <w:left w:val="nil"/>
              <w:bottom w:val="single" w:sz="4" w:space="0" w:color="auto"/>
              <w:right w:val="nil"/>
            </w:tcBorders>
          </w:tcPr>
          <w:p w14:paraId="586FC3CE" w14:textId="77777777" w:rsidR="009F2B12" w:rsidRDefault="009F2B12" w:rsidP="00BE2219">
            <w:pPr>
              <w:rPr>
                <w:rFonts w:ascii="Times New Roman" w:eastAsia="MS Mincho" w:hAnsi="Times New Roman"/>
                <w:sz w:val="22"/>
                <w:szCs w:val="22"/>
              </w:rPr>
            </w:pPr>
            <w:r>
              <w:rPr>
                <w:rFonts w:ascii="Times New Roman" w:hAnsi="Times New Roman"/>
                <w:sz w:val="22"/>
              </w:rPr>
              <w:t>92,0 (85,3–95,7)</w:t>
            </w:r>
          </w:p>
        </w:tc>
      </w:tr>
    </w:tbl>
    <w:p w14:paraId="586FC3D0" w14:textId="77777777" w:rsidR="009F2B12" w:rsidRDefault="009F2B12" w:rsidP="009F2B12">
      <w:pPr>
        <w:pStyle w:val="EndnoteText"/>
        <w:widowControl w:val="0"/>
        <w:tabs>
          <w:tab w:val="clear" w:pos="567"/>
        </w:tabs>
        <w:rPr>
          <w:color w:val="000000"/>
          <w:szCs w:val="22"/>
          <w:lang w:val="fi-FI"/>
        </w:rPr>
      </w:pPr>
    </w:p>
    <w:p w14:paraId="586FC3D1" w14:textId="77777777" w:rsidR="009F2B12" w:rsidRPr="009F2B12" w:rsidRDefault="00CC29DC" w:rsidP="00F71263">
      <w:pPr>
        <w:pStyle w:val="EndnoteText"/>
        <w:keepNext/>
        <w:keepLines/>
        <w:widowControl w:val="0"/>
        <w:tabs>
          <w:tab w:val="clear" w:pos="567"/>
        </w:tabs>
        <w:ind w:left="1134" w:hanging="1134"/>
        <w:outlineLvl w:val="6"/>
        <w:rPr>
          <w:color w:val="000000"/>
          <w:szCs w:val="22"/>
          <w:lang w:val="fi-FI"/>
        </w:rPr>
      </w:pPr>
      <w:r>
        <w:rPr>
          <w:noProof/>
          <w:lang w:val="en-US"/>
        </w:rPr>
        <w:lastRenderedPageBreak/>
        <mc:AlternateContent>
          <mc:Choice Requires="wps">
            <w:drawing>
              <wp:anchor distT="0" distB="0" distL="114300" distR="114300" simplePos="0" relativeHeight="251652096" behindDoc="0" locked="0" layoutInCell="1" allowOverlap="1" wp14:anchorId="586FD3A8" wp14:editId="586FD3A9">
                <wp:simplePos x="0" y="0"/>
                <wp:positionH relativeFrom="column">
                  <wp:posOffset>-278765</wp:posOffset>
                </wp:positionH>
                <wp:positionV relativeFrom="paragraph">
                  <wp:posOffset>278765</wp:posOffset>
                </wp:positionV>
                <wp:extent cx="335915" cy="264541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454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FD3D9" w14:textId="77777777" w:rsidR="00800EFA" w:rsidRPr="00A33DBA" w:rsidRDefault="00800EFA" w:rsidP="00D43380">
                            <w:pPr>
                              <w:rPr>
                                <w:rFonts w:cs="Arial"/>
                                <w:sz w:val="20"/>
                              </w:rPr>
                            </w:pPr>
                            <w:r>
                              <w:rPr>
                                <w:sz w:val="20"/>
                              </w:rPr>
                              <w:t>Relapsittoman elossaolon todennäköisyys</w:t>
                            </w:r>
                          </w:p>
                          <w:p w14:paraId="586FD3DA" w14:textId="77777777" w:rsidR="00800EFA" w:rsidRPr="00A33DBA" w:rsidRDefault="00800EFA" w:rsidP="009F2B12">
                            <w:pPr>
                              <w:rPr>
                                <w:rFonts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6FD3A8" id="_x0000_t202" coordsize="21600,21600" o:spt="202" path="m,l,21600r21600,l21600,xe">
                <v:stroke joinstyle="miter"/>
                <v:path gradientshapeok="t" o:connecttype="rect"/>
              </v:shapetype>
              <v:shape id="Text Box 2" o:spid="_x0000_s1026" type="#_x0000_t202" style="position:absolute;left:0;text-align:left;margin-left:-21.95pt;margin-top:21.95pt;width:26.45pt;height:208.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" stroked="f">
                <v:fill opacity="0"/>
                <v:textbox style="layout-flow:vertical;mso-layout-flow-alt:bottom-to-top">
                  <w:txbxContent>
                    <w:p w14:paraId="586FD3D9" w14:textId="77777777" w:rsidR="00800EFA" w:rsidRPr="00A33DBA" w:rsidRDefault="00800EFA" w:rsidP="00D43380">
                      <w:pPr>
                        <w:rPr>
                          <w:rFonts w:cs="Arial"/>
                          <w:sz w:val="20"/>
                        </w:rPr>
                      </w:pPr>
                      <w:r>
                        <w:rPr>
                          <w:sz w:val="20"/>
                        </w:rPr>
                        <w:t>Relapsittoman elossaolon todennäköisyys</w:t>
                      </w:r>
                    </w:p>
                    <w:p w14:paraId="586FD3DA" w14:textId="77777777" w:rsidR="00800EFA" w:rsidRPr="00A33DBA" w:rsidRDefault="00800EFA" w:rsidP="009F2B12">
                      <w:pPr>
                        <w:rPr>
                          <w:rFonts w:cs="Arial"/>
                          <w:sz w:val="20"/>
                        </w:rPr>
                      </w:pPr>
                    </w:p>
                  </w:txbxContent>
                </v:textbox>
              </v:shape>
            </w:pict>
          </mc:Fallback>
        </mc:AlternateContent>
      </w:r>
      <w:r w:rsidR="009F2B12" w:rsidRPr="009F2B12">
        <w:rPr>
          <w:b/>
          <w:bCs/>
          <w:lang w:val="fi-FI"/>
        </w:rPr>
        <w:t>Kuva 1</w:t>
      </w:r>
      <w:r w:rsidR="009F2B12" w:rsidRPr="009F2B12">
        <w:rPr>
          <w:b/>
          <w:bCs/>
          <w:lang w:val="fi-FI"/>
        </w:rPr>
        <w:tab/>
        <w:t>Ensisijaisen päätetapahtuman (relapsiton elossaolo, RFS) Kaplan–Meier-estimaatit (ITT-populaatio)</w:t>
      </w:r>
    </w:p>
    <w:p w14:paraId="586FC3D2" w14:textId="77777777" w:rsidR="009F2B12" w:rsidRDefault="009F2B12" w:rsidP="009F2B12">
      <w:pPr>
        <w:pStyle w:val="EndnoteText"/>
        <w:keepNext/>
        <w:widowControl w:val="0"/>
        <w:tabs>
          <w:tab w:val="clear" w:pos="567"/>
        </w:tabs>
        <w:ind w:left="1134" w:hanging="1134"/>
        <w:outlineLvl w:val="6"/>
        <w:rPr>
          <w:color w:val="000000"/>
          <w:szCs w:val="22"/>
          <w:lang w:val="fi-FI"/>
        </w:rPr>
      </w:pPr>
    </w:p>
    <w:p w14:paraId="586FC3D3" w14:textId="77777777" w:rsidR="009F2B12" w:rsidRDefault="00CC29DC" w:rsidP="009F2B12">
      <w:pPr>
        <w:pStyle w:val="EndnoteText"/>
        <w:widowControl w:val="0"/>
        <w:tabs>
          <w:tab w:val="clear" w:pos="567"/>
        </w:tabs>
        <w:rPr>
          <w:color w:val="000000"/>
          <w:szCs w:val="22"/>
          <w:lang w:val="fi-FI"/>
        </w:rPr>
      </w:pPr>
      <w:r>
        <w:rPr>
          <w:noProof/>
          <w:color w:val="000000"/>
          <w:szCs w:val="22"/>
          <w:lang w:val="en-US"/>
        </w:rPr>
        <mc:AlternateContent>
          <mc:Choice Requires="wps">
            <w:drawing>
              <wp:anchor distT="0" distB="0" distL="114300" distR="114300" simplePos="0" relativeHeight="251654144" behindDoc="0" locked="0" layoutInCell="1" allowOverlap="1" wp14:anchorId="586FD3AA" wp14:editId="586FD3AB">
                <wp:simplePos x="0" y="0"/>
                <wp:positionH relativeFrom="column">
                  <wp:posOffset>2244090</wp:posOffset>
                </wp:positionH>
                <wp:positionV relativeFrom="paragraph">
                  <wp:posOffset>2697480</wp:posOffset>
                </wp:positionV>
                <wp:extent cx="1540510" cy="2857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FD3DB" w14:textId="77777777" w:rsidR="00800EFA" w:rsidRPr="00A33DBA" w:rsidRDefault="00800EFA" w:rsidP="009F2B12">
                            <w:pPr>
                              <w:rPr>
                                <w:rFonts w:cs="Arial"/>
                                <w:sz w:val="20"/>
                              </w:rPr>
                            </w:pPr>
                            <w:r>
                              <w:rPr>
                                <w:sz w:val="20"/>
                              </w:rPr>
                              <w:t>Elossaolo (kk)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AA" id="_x0000_s1027" type="#_x0000_t202" style="position:absolute;margin-left:176.7pt;margin-top:212.4pt;width:121.3pt;height: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" stroked="f">
                <v:fill opacity="0"/>
                <v:textbox>
                  <w:txbxContent>
                    <w:p w14:paraId="586FD3DB" w14:textId="77777777" w:rsidR="00800EFA" w:rsidRPr="00A33DBA" w:rsidRDefault="00800EFA" w:rsidP="009F2B12">
                      <w:pPr>
                        <w:rPr>
                          <w:rFonts w:cs="Arial"/>
                          <w:sz w:val="20"/>
                        </w:rPr>
                      </w:pPr>
                      <w:r>
                        <w:rPr>
                          <w:sz w:val="20"/>
                        </w:rPr>
                        <w:t>Elossaolo (kk)</w:t>
                      </w:r>
                    </w:p>
                  </w:txbxContent>
                </v:textbox>
              </v:shape>
            </w:pict>
          </mc:Fallback>
        </mc:AlternateContent>
      </w:r>
      <w:r>
        <w:rPr>
          <w:noProof/>
          <w:lang w:val="en-US"/>
        </w:rPr>
        <mc:AlternateContent>
          <mc:Choice Requires="wps">
            <w:drawing>
              <wp:anchor distT="0" distB="0" distL="114300" distR="114300" simplePos="0" relativeHeight="251653120" behindDoc="0" locked="0" layoutInCell="1" allowOverlap="1" wp14:anchorId="586FD3AC" wp14:editId="586FD3AD">
                <wp:simplePos x="0" y="0"/>
                <wp:positionH relativeFrom="column">
                  <wp:posOffset>350520</wp:posOffset>
                </wp:positionH>
                <wp:positionV relativeFrom="paragraph">
                  <wp:posOffset>1221105</wp:posOffset>
                </wp:positionV>
                <wp:extent cx="4585335" cy="120904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09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1284"/>
                              <w:gridCol w:w="850"/>
                            </w:tblGrid>
                            <w:tr w:rsidR="00800EFA" w:rsidRPr="0055776F" w14:paraId="586FD3DF" w14:textId="77777777" w:rsidTr="00C34BB0">
                              <w:trPr>
                                <w:gridAfter w:val="4"/>
                                <w:wAfter w:w="3356" w:type="dxa"/>
                              </w:trPr>
                              <w:tc>
                                <w:tcPr>
                                  <w:tcW w:w="3281" w:type="dxa"/>
                                  <w:gridSpan w:val="2"/>
                                  <w:shd w:val="clear" w:color="auto" w:fill="auto"/>
                                </w:tcPr>
                                <w:p w14:paraId="586FD3DC" w14:textId="77777777" w:rsidR="00800EFA" w:rsidRPr="0055776F" w:rsidRDefault="00800EFA" w:rsidP="00C34BB0">
                                  <w:pPr>
                                    <w:rPr>
                                      <w:rFonts w:cs="Arial"/>
                                      <w:sz w:val="20"/>
                                    </w:rPr>
                                  </w:pPr>
                                  <w:r>
                                    <w:rPr>
                                      <w:rFonts w:cs="Arial"/>
                                      <w:sz w:val="20"/>
                                    </w:rPr>
                                    <w:t>P &lt; 0,0001</w:t>
                                  </w:r>
                                </w:p>
                                <w:p w14:paraId="586FD3DD" w14:textId="77777777" w:rsidR="00800EFA" w:rsidRPr="0055776F" w:rsidRDefault="00800EFA" w:rsidP="00C34BB0">
                                  <w:pPr>
                                    <w:rPr>
                                      <w:rFonts w:cs="Arial"/>
                                      <w:sz w:val="20"/>
                                    </w:rPr>
                                  </w:pPr>
                                  <w:r>
                                    <w:rPr>
                                      <w:sz w:val="20"/>
                                    </w:rPr>
                                    <w:t>Riskisuhde</w:t>
                                  </w:r>
                                  <w:r>
                                    <w:rPr>
                                      <w:rFonts w:cs="Arial"/>
                                      <w:sz w:val="20"/>
                                    </w:rPr>
                                    <w:t xml:space="preserve"> 0,</w:t>
                                  </w:r>
                                  <w:r w:rsidRPr="0055776F">
                                    <w:rPr>
                                      <w:rFonts w:cs="Arial"/>
                                      <w:sz w:val="20"/>
                                    </w:rPr>
                                    <w:t>4</w:t>
                                  </w:r>
                                  <w:r>
                                    <w:rPr>
                                      <w:rFonts w:cs="Arial"/>
                                      <w:sz w:val="20"/>
                                    </w:rPr>
                                    <w:t>6</w:t>
                                  </w:r>
                                </w:p>
                                <w:p w14:paraId="586FD3DE" w14:textId="77777777" w:rsidR="00800EFA" w:rsidRPr="0055776F" w:rsidRDefault="00800EFA" w:rsidP="00C34BB0">
                                  <w:pPr>
                                    <w:rPr>
                                      <w:rFonts w:cs="Arial"/>
                                      <w:sz w:val="20"/>
                                      <w:lang w:val="de-DE"/>
                                    </w:rPr>
                                  </w:pPr>
                                  <w:r>
                                    <w:rPr>
                                      <w:rFonts w:cs="Arial"/>
                                      <w:sz w:val="20"/>
                                    </w:rPr>
                                    <w:t>(</w:t>
                                  </w:r>
                                  <w:r>
                                    <w:rPr>
                                      <w:sz w:val="20"/>
                                    </w:rPr>
                                    <w:t>95 % luottamusväli</w:t>
                                  </w:r>
                                  <w:r>
                                    <w:rPr>
                                      <w:rFonts w:cs="Arial"/>
                                      <w:sz w:val="20"/>
                                    </w:rPr>
                                    <w:t xml:space="preserve"> 0,3</w:t>
                                  </w:r>
                                  <w:r w:rsidRPr="0055776F">
                                    <w:rPr>
                                      <w:rFonts w:cs="Arial"/>
                                      <w:sz w:val="20"/>
                                    </w:rPr>
                                    <w:t>2</w:t>
                                  </w:r>
                                  <w:r>
                                    <w:rPr>
                                      <w:rFonts w:cs="Arial"/>
                                      <w:sz w:val="20"/>
                                    </w:rPr>
                                    <w:noBreakHyphen/>
                                    <w:t>0,65</w:t>
                                  </w:r>
                                  <w:r w:rsidRPr="0055776F">
                                    <w:rPr>
                                      <w:rFonts w:cs="Arial"/>
                                      <w:sz w:val="20"/>
                                    </w:rPr>
                                    <w:t>)</w:t>
                                  </w:r>
                                </w:p>
                              </w:tc>
                            </w:tr>
                            <w:tr w:rsidR="00800EFA" w:rsidRPr="0055776F" w14:paraId="586FD3E5" w14:textId="77777777" w:rsidTr="00D43380">
                              <w:tc>
                                <w:tcPr>
                                  <w:tcW w:w="817" w:type="dxa"/>
                                  <w:shd w:val="clear" w:color="auto" w:fill="auto"/>
                                </w:tcPr>
                                <w:p w14:paraId="586FD3E0" w14:textId="77777777" w:rsidR="00800EFA" w:rsidRPr="0055776F" w:rsidRDefault="00800EFA" w:rsidP="006F2202">
                                  <w:pPr>
                                    <w:rPr>
                                      <w:rFonts w:cs="Arial"/>
                                      <w:sz w:val="20"/>
                                    </w:rPr>
                                  </w:pPr>
                                </w:p>
                              </w:tc>
                              <w:tc>
                                <w:tcPr>
                                  <w:tcW w:w="2835" w:type="dxa"/>
                                  <w:gridSpan w:val="2"/>
                                  <w:shd w:val="clear" w:color="auto" w:fill="auto"/>
                                </w:tcPr>
                                <w:p w14:paraId="586FD3E1" w14:textId="77777777" w:rsidR="00800EFA" w:rsidRPr="0055776F" w:rsidRDefault="00800EFA" w:rsidP="006F2202">
                                  <w:pPr>
                                    <w:rPr>
                                      <w:rFonts w:cs="Arial"/>
                                      <w:sz w:val="20"/>
                                    </w:rPr>
                                  </w:pPr>
                                </w:p>
                              </w:tc>
                              <w:tc>
                                <w:tcPr>
                                  <w:tcW w:w="851" w:type="dxa"/>
                                  <w:tcBorders>
                                    <w:bottom w:val="single" w:sz="4" w:space="0" w:color="auto"/>
                                  </w:tcBorders>
                                  <w:shd w:val="clear" w:color="auto" w:fill="auto"/>
                                </w:tcPr>
                                <w:p w14:paraId="586FD3E2" w14:textId="77777777" w:rsidR="00800EFA" w:rsidRPr="009F5C42" w:rsidRDefault="00800EFA" w:rsidP="006F2202">
                                  <w:pPr>
                                    <w:rPr>
                                      <w:rFonts w:cs="Arial"/>
                                      <w:sz w:val="20"/>
                                    </w:rPr>
                                  </w:pPr>
                                  <w:r w:rsidRPr="009F5C42">
                                    <w:rPr>
                                      <w:rFonts w:cs="Arial"/>
                                      <w:sz w:val="20"/>
                                      <w:lang w:val="de-DE"/>
                                    </w:rPr>
                                    <w:t>N</w:t>
                                  </w:r>
                                </w:p>
                              </w:tc>
                              <w:tc>
                                <w:tcPr>
                                  <w:tcW w:w="1284" w:type="dxa"/>
                                  <w:tcBorders>
                                    <w:bottom w:val="single" w:sz="4" w:space="0" w:color="auto"/>
                                  </w:tcBorders>
                                  <w:shd w:val="clear" w:color="auto" w:fill="auto"/>
                                </w:tcPr>
                                <w:p w14:paraId="586FD3E3" w14:textId="77777777" w:rsidR="00800EFA" w:rsidRPr="009F5C42" w:rsidRDefault="00800EFA" w:rsidP="006F2202">
                                  <w:pPr>
                                    <w:rPr>
                                      <w:rFonts w:cs="Arial"/>
                                      <w:sz w:val="20"/>
                                    </w:rPr>
                                  </w:pPr>
                                  <w:r w:rsidRPr="009F5C42">
                                    <w:rPr>
                                      <w:sz w:val="20"/>
                                    </w:rPr>
                                    <w:t>Tapahtumat</w:t>
                                  </w:r>
                                </w:p>
                              </w:tc>
                              <w:tc>
                                <w:tcPr>
                                  <w:tcW w:w="850" w:type="dxa"/>
                                  <w:tcBorders>
                                    <w:bottom w:val="single" w:sz="4" w:space="0" w:color="auto"/>
                                  </w:tcBorders>
                                  <w:shd w:val="clear" w:color="auto" w:fill="auto"/>
                                </w:tcPr>
                                <w:p w14:paraId="586FD3E4" w14:textId="77777777" w:rsidR="00800EFA" w:rsidRPr="009F5C42" w:rsidRDefault="00800EFA" w:rsidP="006F2202">
                                  <w:pPr>
                                    <w:rPr>
                                      <w:rFonts w:cs="Arial"/>
                                      <w:sz w:val="20"/>
                                    </w:rPr>
                                  </w:pPr>
                                  <w:r w:rsidRPr="009F5C42">
                                    <w:rPr>
                                      <w:sz w:val="20"/>
                                    </w:rPr>
                                    <w:t>Rajatut</w:t>
                                  </w:r>
                                </w:p>
                              </w:tc>
                            </w:tr>
                            <w:tr w:rsidR="00800EFA" w:rsidRPr="0055776F" w14:paraId="586FD3EB" w14:textId="77777777" w:rsidTr="00D43380">
                              <w:tc>
                                <w:tcPr>
                                  <w:tcW w:w="817" w:type="dxa"/>
                                  <w:shd w:val="clear" w:color="auto" w:fill="auto"/>
                                </w:tcPr>
                                <w:p w14:paraId="586FD3E6" w14:textId="77777777" w:rsidR="00800EFA" w:rsidRPr="0055776F" w:rsidRDefault="00800EFA" w:rsidP="006F2202">
                                  <w:pPr>
                                    <w:rPr>
                                      <w:rFonts w:cs="Arial"/>
                                      <w:sz w:val="20"/>
                                    </w:rPr>
                                  </w:pPr>
                                  <w:r w:rsidRPr="0055776F">
                                    <w:rPr>
                                      <w:rFonts w:cs="Arial"/>
                                      <w:b/>
                                      <w:sz w:val="20"/>
                                    </w:rPr>
                                    <w:t>——</w:t>
                                  </w:r>
                                </w:p>
                              </w:tc>
                              <w:tc>
                                <w:tcPr>
                                  <w:tcW w:w="2835" w:type="dxa"/>
                                  <w:gridSpan w:val="2"/>
                                  <w:shd w:val="clear" w:color="auto" w:fill="auto"/>
                                </w:tcPr>
                                <w:p w14:paraId="586FD3E7" w14:textId="77777777" w:rsidR="00800EFA" w:rsidRPr="0055776F" w:rsidRDefault="00800EFA" w:rsidP="006F2202">
                                  <w:pPr>
                                    <w:rPr>
                                      <w:rFonts w:cs="Arial"/>
                                      <w:sz w:val="20"/>
                                    </w:rPr>
                                  </w:pPr>
                                  <w:r w:rsidRPr="0055776F">
                                    <w:rPr>
                                      <w:rFonts w:cs="Arial"/>
                                      <w:sz w:val="20"/>
                                    </w:rPr>
                                    <w:t xml:space="preserve">(1) </w:t>
                                  </w:r>
                                  <w:r>
                                    <w:rPr>
                                      <w:sz w:val="20"/>
                                    </w:rPr>
                                    <w:t>Imatinibi, 12 kk</w:t>
                                  </w:r>
                                  <w:r w:rsidRPr="0055776F">
                                    <w:rPr>
                                      <w:rFonts w:cs="Arial"/>
                                      <w:sz w:val="20"/>
                                    </w:rPr>
                                    <w:t>:</w:t>
                                  </w:r>
                                </w:p>
                              </w:tc>
                              <w:tc>
                                <w:tcPr>
                                  <w:tcW w:w="851" w:type="dxa"/>
                                  <w:tcBorders>
                                    <w:top w:val="single" w:sz="4" w:space="0" w:color="auto"/>
                                  </w:tcBorders>
                                  <w:shd w:val="clear" w:color="auto" w:fill="auto"/>
                                </w:tcPr>
                                <w:p w14:paraId="586FD3E8" w14:textId="77777777" w:rsidR="00800EFA" w:rsidRPr="0055776F" w:rsidRDefault="00800EFA" w:rsidP="006F2202">
                                  <w:pPr>
                                    <w:rPr>
                                      <w:rFonts w:cs="Arial"/>
                                      <w:sz w:val="20"/>
                                    </w:rPr>
                                  </w:pPr>
                                  <w:r w:rsidRPr="0055776F">
                                    <w:rPr>
                                      <w:rFonts w:cs="Arial"/>
                                      <w:sz w:val="20"/>
                                    </w:rPr>
                                    <w:t>199</w:t>
                                  </w:r>
                                </w:p>
                              </w:tc>
                              <w:tc>
                                <w:tcPr>
                                  <w:tcW w:w="1284" w:type="dxa"/>
                                  <w:tcBorders>
                                    <w:top w:val="single" w:sz="4" w:space="0" w:color="auto"/>
                                  </w:tcBorders>
                                  <w:shd w:val="clear" w:color="auto" w:fill="auto"/>
                                </w:tcPr>
                                <w:p w14:paraId="586FD3E9" w14:textId="77777777" w:rsidR="00800EFA" w:rsidRPr="0055776F" w:rsidRDefault="00800EFA" w:rsidP="006F2202">
                                  <w:pPr>
                                    <w:rPr>
                                      <w:rFonts w:cs="Arial"/>
                                      <w:sz w:val="20"/>
                                    </w:rPr>
                                  </w:pPr>
                                  <w:r w:rsidRPr="0055776F">
                                    <w:rPr>
                                      <w:rFonts w:cs="Arial"/>
                                      <w:sz w:val="20"/>
                                    </w:rPr>
                                    <w:t>84</w:t>
                                  </w:r>
                                </w:p>
                              </w:tc>
                              <w:tc>
                                <w:tcPr>
                                  <w:tcW w:w="850" w:type="dxa"/>
                                  <w:tcBorders>
                                    <w:top w:val="single" w:sz="4" w:space="0" w:color="auto"/>
                                  </w:tcBorders>
                                  <w:shd w:val="clear" w:color="auto" w:fill="auto"/>
                                </w:tcPr>
                                <w:p w14:paraId="586FD3EA" w14:textId="77777777" w:rsidR="00800EFA" w:rsidRPr="0055776F" w:rsidRDefault="00800EFA" w:rsidP="006F2202">
                                  <w:pPr>
                                    <w:rPr>
                                      <w:rFonts w:cs="Arial"/>
                                      <w:sz w:val="20"/>
                                    </w:rPr>
                                  </w:pPr>
                                  <w:r w:rsidRPr="0055776F">
                                    <w:rPr>
                                      <w:rFonts w:cs="Arial"/>
                                      <w:sz w:val="20"/>
                                    </w:rPr>
                                    <w:t>115</w:t>
                                  </w:r>
                                </w:p>
                              </w:tc>
                            </w:tr>
                            <w:tr w:rsidR="00800EFA" w:rsidRPr="0055776F" w14:paraId="586FD3F1" w14:textId="77777777" w:rsidTr="00D43380">
                              <w:tc>
                                <w:tcPr>
                                  <w:tcW w:w="817" w:type="dxa"/>
                                  <w:shd w:val="clear" w:color="auto" w:fill="auto"/>
                                </w:tcPr>
                                <w:p w14:paraId="586FD3EC" w14:textId="77777777" w:rsidR="00800EFA" w:rsidRPr="0055776F" w:rsidRDefault="00800EFA" w:rsidP="006F2202">
                                  <w:pPr>
                                    <w:rPr>
                                      <w:rFonts w:cs="Arial"/>
                                      <w:sz w:val="20"/>
                                    </w:rPr>
                                  </w:pPr>
                                  <w:r w:rsidRPr="0055776F">
                                    <w:rPr>
                                      <w:rFonts w:cs="Arial"/>
                                      <w:sz w:val="20"/>
                                    </w:rPr>
                                    <w:t>-----</w:t>
                                  </w:r>
                                </w:p>
                              </w:tc>
                              <w:tc>
                                <w:tcPr>
                                  <w:tcW w:w="2835" w:type="dxa"/>
                                  <w:gridSpan w:val="2"/>
                                  <w:shd w:val="clear" w:color="auto" w:fill="auto"/>
                                </w:tcPr>
                                <w:p w14:paraId="586FD3ED" w14:textId="77777777" w:rsidR="00800EFA" w:rsidRPr="0055776F" w:rsidRDefault="00800EFA" w:rsidP="006F2202">
                                  <w:pPr>
                                    <w:rPr>
                                      <w:rFonts w:cs="Arial"/>
                                      <w:sz w:val="20"/>
                                    </w:rPr>
                                  </w:pPr>
                                  <w:r w:rsidRPr="0055776F">
                                    <w:rPr>
                                      <w:rFonts w:cs="Arial"/>
                                      <w:sz w:val="20"/>
                                    </w:rPr>
                                    <w:t xml:space="preserve">(2) </w:t>
                                  </w:r>
                                  <w:r>
                                    <w:rPr>
                                      <w:sz w:val="20"/>
                                    </w:rPr>
                                    <w:t>Imatinibi, 36 kk</w:t>
                                  </w:r>
                                  <w:r w:rsidRPr="0055776F">
                                    <w:rPr>
                                      <w:rFonts w:cs="Arial"/>
                                      <w:sz w:val="20"/>
                                    </w:rPr>
                                    <w:t>:</w:t>
                                  </w:r>
                                </w:p>
                              </w:tc>
                              <w:tc>
                                <w:tcPr>
                                  <w:tcW w:w="851" w:type="dxa"/>
                                  <w:tcBorders>
                                    <w:bottom w:val="single" w:sz="4" w:space="0" w:color="auto"/>
                                  </w:tcBorders>
                                  <w:shd w:val="clear" w:color="auto" w:fill="auto"/>
                                </w:tcPr>
                                <w:p w14:paraId="586FD3EE" w14:textId="77777777" w:rsidR="00800EFA" w:rsidRPr="0055776F" w:rsidRDefault="00800EFA" w:rsidP="006F2202">
                                  <w:pPr>
                                    <w:rPr>
                                      <w:rFonts w:cs="Arial"/>
                                      <w:sz w:val="20"/>
                                    </w:rPr>
                                  </w:pPr>
                                  <w:r w:rsidRPr="0055776F">
                                    <w:rPr>
                                      <w:rFonts w:cs="Arial"/>
                                      <w:sz w:val="20"/>
                                    </w:rPr>
                                    <w:t>198</w:t>
                                  </w:r>
                                </w:p>
                              </w:tc>
                              <w:tc>
                                <w:tcPr>
                                  <w:tcW w:w="1284" w:type="dxa"/>
                                  <w:tcBorders>
                                    <w:bottom w:val="single" w:sz="4" w:space="0" w:color="auto"/>
                                  </w:tcBorders>
                                  <w:shd w:val="clear" w:color="auto" w:fill="auto"/>
                                </w:tcPr>
                                <w:p w14:paraId="586FD3EF" w14:textId="77777777" w:rsidR="00800EFA" w:rsidRPr="0055776F" w:rsidRDefault="00800EFA" w:rsidP="006F2202">
                                  <w:pPr>
                                    <w:rPr>
                                      <w:rFonts w:cs="Arial"/>
                                      <w:sz w:val="20"/>
                                    </w:rPr>
                                  </w:pPr>
                                  <w:r w:rsidRPr="0055776F">
                                    <w:rPr>
                                      <w:rFonts w:cs="Arial"/>
                                      <w:sz w:val="20"/>
                                    </w:rPr>
                                    <w:t>50</w:t>
                                  </w:r>
                                </w:p>
                              </w:tc>
                              <w:tc>
                                <w:tcPr>
                                  <w:tcW w:w="850" w:type="dxa"/>
                                  <w:tcBorders>
                                    <w:bottom w:val="single" w:sz="4" w:space="0" w:color="auto"/>
                                  </w:tcBorders>
                                  <w:shd w:val="clear" w:color="auto" w:fill="auto"/>
                                </w:tcPr>
                                <w:p w14:paraId="586FD3F0" w14:textId="77777777" w:rsidR="00800EFA" w:rsidRPr="0055776F" w:rsidRDefault="00800EFA" w:rsidP="006F2202">
                                  <w:pPr>
                                    <w:rPr>
                                      <w:rFonts w:cs="Arial"/>
                                      <w:sz w:val="20"/>
                                    </w:rPr>
                                  </w:pPr>
                                  <w:r w:rsidRPr="0055776F">
                                    <w:rPr>
                                      <w:rFonts w:cs="Arial"/>
                                      <w:sz w:val="20"/>
                                    </w:rPr>
                                    <w:t>148</w:t>
                                  </w:r>
                                </w:p>
                              </w:tc>
                            </w:tr>
                            <w:tr w:rsidR="00800EFA" w:rsidRPr="0055776F" w14:paraId="586FD3F7" w14:textId="77777777" w:rsidTr="00D43380">
                              <w:tc>
                                <w:tcPr>
                                  <w:tcW w:w="817" w:type="dxa"/>
                                  <w:shd w:val="clear" w:color="auto" w:fill="auto"/>
                                </w:tcPr>
                                <w:p w14:paraId="586FD3F2" w14:textId="77777777" w:rsidR="00800EFA" w:rsidRPr="0055776F" w:rsidRDefault="00800EFA" w:rsidP="006F2202">
                                  <w:pPr>
                                    <w:rPr>
                                      <w:rFonts w:cs="Arial"/>
                                      <w:sz w:val="20"/>
                                    </w:rPr>
                                  </w:pPr>
                                  <w:r w:rsidRPr="0055776F">
                                    <w:rPr>
                                      <w:rFonts w:cs="Arial"/>
                                      <w:sz w:val="20"/>
                                    </w:rPr>
                                    <w:t>│││</w:t>
                                  </w:r>
                                </w:p>
                              </w:tc>
                              <w:tc>
                                <w:tcPr>
                                  <w:tcW w:w="2835" w:type="dxa"/>
                                  <w:gridSpan w:val="2"/>
                                  <w:shd w:val="clear" w:color="auto" w:fill="auto"/>
                                </w:tcPr>
                                <w:p w14:paraId="586FD3F3" w14:textId="77777777" w:rsidR="00800EFA" w:rsidRPr="0055776F" w:rsidRDefault="00800EFA" w:rsidP="006F2202">
                                  <w:pPr>
                                    <w:rPr>
                                      <w:rFonts w:cs="Arial"/>
                                      <w:sz w:val="20"/>
                                    </w:rPr>
                                  </w:pPr>
                                  <w:r>
                                    <w:rPr>
                                      <w:sz w:val="20"/>
                                    </w:rPr>
                                    <w:t>Rajatut havaintoarvot</w:t>
                                  </w:r>
                                </w:p>
                              </w:tc>
                              <w:tc>
                                <w:tcPr>
                                  <w:tcW w:w="851" w:type="dxa"/>
                                  <w:tcBorders>
                                    <w:top w:val="single" w:sz="4" w:space="0" w:color="auto"/>
                                  </w:tcBorders>
                                  <w:shd w:val="clear" w:color="auto" w:fill="auto"/>
                                </w:tcPr>
                                <w:p w14:paraId="586FD3F4" w14:textId="77777777" w:rsidR="00800EFA" w:rsidRPr="0055776F" w:rsidRDefault="00800EFA" w:rsidP="006F2202">
                                  <w:pPr>
                                    <w:rPr>
                                      <w:rFonts w:cs="Arial"/>
                                      <w:sz w:val="20"/>
                                    </w:rPr>
                                  </w:pPr>
                                </w:p>
                              </w:tc>
                              <w:tc>
                                <w:tcPr>
                                  <w:tcW w:w="1284" w:type="dxa"/>
                                  <w:tcBorders>
                                    <w:top w:val="single" w:sz="4" w:space="0" w:color="auto"/>
                                  </w:tcBorders>
                                  <w:shd w:val="clear" w:color="auto" w:fill="auto"/>
                                </w:tcPr>
                                <w:p w14:paraId="586FD3F5" w14:textId="77777777" w:rsidR="00800EFA" w:rsidRPr="0055776F" w:rsidRDefault="00800EFA" w:rsidP="006F2202">
                                  <w:pPr>
                                    <w:rPr>
                                      <w:rFonts w:cs="Arial"/>
                                      <w:sz w:val="20"/>
                                    </w:rPr>
                                  </w:pPr>
                                </w:p>
                              </w:tc>
                              <w:tc>
                                <w:tcPr>
                                  <w:tcW w:w="850" w:type="dxa"/>
                                  <w:tcBorders>
                                    <w:top w:val="single" w:sz="4" w:space="0" w:color="auto"/>
                                  </w:tcBorders>
                                  <w:shd w:val="clear" w:color="auto" w:fill="auto"/>
                                </w:tcPr>
                                <w:p w14:paraId="586FD3F6" w14:textId="77777777" w:rsidR="00800EFA" w:rsidRPr="0055776F" w:rsidRDefault="00800EFA" w:rsidP="006F2202">
                                  <w:pPr>
                                    <w:rPr>
                                      <w:rFonts w:cs="Arial"/>
                                      <w:sz w:val="20"/>
                                    </w:rPr>
                                  </w:pPr>
                                </w:p>
                              </w:tc>
                            </w:tr>
                          </w:tbl>
                          <w:p w14:paraId="586FD3F8" w14:textId="77777777" w:rsidR="00800EFA" w:rsidRPr="00A33DBA" w:rsidRDefault="00800EFA" w:rsidP="009F2B12">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AC" id="_x0000_s1028" type="#_x0000_t202" style="position:absolute;margin-left:27.6pt;margin-top:96.15pt;width:361.05pt;height:9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371"/>
                        <w:gridCol w:w="851"/>
                        <w:gridCol w:w="1284"/>
                        <w:gridCol w:w="850"/>
                      </w:tblGrid>
                      <w:tr w:rsidR="00800EFA" w:rsidRPr="0055776F" w14:paraId="586FD3DF" w14:textId="77777777" w:rsidTr="00C34BB0">
                        <w:trPr>
                          <w:gridAfter w:val="4"/>
                          <w:wAfter w:w="3356" w:type="dxa"/>
                        </w:trPr>
                        <w:tc>
                          <w:tcPr>
                            <w:tcW w:w="3281" w:type="dxa"/>
                            <w:gridSpan w:val="2"/>
                            <w:shd w:val="clear" w:color="auto" w:fill="auto"/>
                          </w:tcPr>
                          <w:p w14:paraId="586FD3DC" w14:textId="77777777" w:rsidR="00800EFA" w:rsidRPr="0055776F" w:rsidRDefault="00800EFA" w:rsidP="00C34BB0">
                            <w:pPr>
                              <w:rPr>
                                <w:rFonts w:cs="Arial"/>
                                <w:sz w:val="20"/>
                              </w:rPr>
                            </w:pPr>
                            <w:r>
                              <w:rPr>
                                <w:rFonts w:cs="Arial"/>
                                <w:sz w:val="20"/>
                              </w:rPr>
                              <w:t>P &lt; 0,0001</w:t>
                            </w:r>
                          </w:p>
                          <w:p w14:paraId="586FD3DD" w14:textId="77777777" w:rsidR="00800EFA" w:rsidRPr="0055776F" w:rsidRDefault="00800EFA" w:rsidP="00C34BB0">
                            <w:pPr>
                              <w:rPr>
                                <w:rFonts w:cs="Arial"/>
                                <w:sz w:val="20"/>
                              </w:rPr>
                            </w:pPr>
                            <w:r>
                              <w:rPr>
                                <w:sz w:val="20"/>
                              </w:rPr>
                              <w:t>Riskisuhde</w:t>
                            </w:r>
                            <w:r>
                              <w:rPr>
                                <w:rFonts w:cs="Arial"/>
                                <w:sz w:val="20"/>
                              </w:rPr>
                              <w:t xml:space="preserve"> 0,</w:t>
                            </w:r>
                            <w:r w:rsidRPr="0055776F">
                              <w:rPr>
                                <w:rFonts w:cs="Arial"/>
                                <w:sz w:val="20"/>
                              </w:rPr>
                              <w:t>4</w:t>
                            </w:r>
                            <w:r>
                              <w:rPr>
                                <w:rFonts w:cs="Arial"/>
                                <w:sz w:val="20"/>
                              </w:rPr>
                              <w:t>6</w:t>
                            </w:r>
                          </w:p>
                          <w:p w14:paraId="586FD3DE" w14:textId="77777777" w:rsidR="00800EFA" w:rsidRPr="0055776F" w:rsidRDefault="00800EFA" w:rsidP="00C34BB0">
                            <w:pPr>
                              <w:rPr>
                                <w:rFonts w:cs="Arial"/>
                                <w:sz w:val="20"/>
                                <w:lang w:val="de-DE"/>
                              </w:rPr>
                            </w:pPr>
                            <w:r>
                              <w:rPr>
                                <w:rFonts w:cs="Arial"/>
                                <w:sz w:val="20"/>
                              </w:rPr>
                              <w:t>(</w:t>
                            </w:r>
                            <w:r>
                              <w:rPr>
                                <w:sz w:val="20"/>
                              </w:rPr>
                              <w:t>95 % luottamusväli</w:t>
                            </w:r>
                            <w:r>
                              <w:rPr>
                                <w:rFonts w:cs="Arial"/>
                                <w:sz w:val="20"/>
                              </w:rPr>
                              <w:t xml:space="preserve"> 0,3</w:t>
                            </w:r>
                            <w:r w:rsidRPr="0055776F">
                              <w:rPr>
                                <w:rFonts w:cs="Arial"/>
                                <w:sz w:val="20"/>
                              </w:rPr>
                              <w:t>2</w:t>
                            </w:r>
                            <w:r>
                              <w:rPr>
                                <w:rFonts w:cs="Arial"/>
                                <w:sz w:val="20"/>
                              </w:rPr>
                              <w:noBreakHyphen/>
                              <w:t>0,65</w:t>
                            </w:r>
                            <w:r w:rsidRPr="0055776F">
                              <w:rPr>
                                <w:rFonts w:cs="Arial"/>
                                <w:sz w:val="20"/>
                              </w:rPr>
                              <w:t>)</w:t>
                            </w:r>
                          </w:p>
                        </w:tc>
                      </w:tr>
                      <w:tr w:rsidR="00800EFA" w:rsidRPr="0055776F" w14:paraId="586FD3E5" w14:textId="77777777" w:rsidTr="00D43380">
                        <w:tc>
                          <w:tcPr>
                            <w:tcW w:w="817" w:type="dxa"/>
                            <w:shd w:val="clear" w:color="auto" w:fill="auto"/>
                          </w:tcPr>
                          <w:p w14:paraId="586FD3E0" w14:textId="77777777" w:rsidR="00800EFA" w:rsidRPr="0055776F" w:rsidRDefault="00800EFA" w:rsidP="006F2202">
                            <w:pPr>
                              <w:rPr>
                                <w:rFonts w:cs="Arial"/>
                                <w:sz w:val="20"/>
                              </w:rPr>
                            </w:pPr>
                          </w:p>
                        </w:tc>
                        <w:tc>
                          <w:tcPr>
                            <w:tcW w:w="2835" w:type="dxa"/>
                            <w:gridSpan w:val="2"/>
                            <w:shd w:val="clear" w:color="auto" w:fill="auto"/>
                          </w:tcPr>
                          <w:p w14:paraId="586FD3E1" w14:textId="77777777" w:rsidR="00800EFA" w:rsidRPr="0055776F" w:rsidRDefault="00800EFA" w:rsidP="006F2202">
                            <w:pPr>
                              <w:rPr>
                                <w:rFonts w:cs="Arial"/>
                                <w:sz w:val="20"/>
                              </w:rPr>
                            </w:pPr>
                          </w:p>
                        </w:tc>
                        <w:tc>
                          <w:tcPr>
                            <w:tcW w:w="851" w:type="dxa"/>
                            <w:tcBorders>
                              <w:bottom w:val="single" w:sz="4" w:space="0" w:color="auto"/>
                            </w:tcBorders>
                            <w:shd w:val="clear" w:color="auto" w:fill="auto"/>
                          </w:tcPr>
                          <w:p w14:paraId="586FD3E2" w14:textId="77777777" w:rsidR="00800EFA" w:rsidRPr="009F5C42" w:rsidRDefault="00800EFA" w:rsidP="006F2202">
                            <w:pPr>
                              <w:rPr>
                                <w:rFonts w:cs="Arial"/>
                                <w:sz w:val="20"/>
                              </w:rPr>
                            </w:pPr>
                            <w:r w:rsidRPr="009F5C42">
                              <w:rPr>
                                <w:rFonts w:cs="Arial"/>
                                <w:sz w:val="20"/>
                                <w:lang w:val="de-DE"/>
                              </w:rPr>
                              <w:t>N</w:t>
                            </w:r>
                          </w:p>
                        </w:tc>
                        <w:tc>
                          <w:tcPr>
                            <w:tcW w:w="1284" w:type="dxa"/>
                            <w:tcBorders>
                              <w:bottom w:val="single" w:sz="4" w:space="0" w:color="auto"/>
                            </w:tcBorders>
                            <w:shd w:val="clear" w:color="auto" w:fill="auto"/>
                          </w:tcPr>
                          <w:p w14:paraId="586FD3E3" w14:textId="77777777" w:rsidR="00800EFA" w:rsidRPr="009F5C42" w:rsidRDefault="00800EFA" w:rsidP="006F2202">
                            <w:pPr>
                              <w:rPr>
                                <w:rFonts w:cs="Arial"/>
                                <w:sz w:val="20"/>
                              </w:rPr>
                            </w:pPr>
                            <w:r w:rsidRPr="009F5C42">
                              <w:rPr>
                                <w:sz w:val="20"/>
                              </w:rPr>
                              <w:t>Tapahtumat</w:t>
                            </w:r>
                          </w:p>
                        </w:tc>
                        <w:tc>
                          <w:tcPr>
                            <w:tcW w:w="850" w:type="dxa"/>
                            <w:tcBorders>
                              <w:bottom w:val="single" w:sz="4" w:space="0" w:color="auto"/>
                            </w:tcBorders>
                            <w:shd w:val="clear" w:color="auto" w:fill="auto"/>
                          </w:tcPr>
                          <w:p w14:paraId="586FD3E4" w14:textId="77777777" w:rsidR="00800EFA" w:rsidRPr="009F5C42" w:rsidRDefault="00800EFA" w:rsidP="006F2202">
                            <w:pPr>
                              <w:rPr>
                                <w:rFonts w:cs="Arial"/>
                                <w:sz w:val="20"/>
                              </w:rPr>
                            </w:pPr>
                            <w:r w:rsidRPr="009F5C42">
                              <w:rPr>
                                <w:sz w:val="20"/>
                              </w:rPr>
                              <w:t>Rajatut</w:t>
                            </w:r>
                          </w:p>
                        </w:tc>
                      </w:tr>
                      <w:tr w:rsidR="00800EFA" w:rsidRPr="0055776F" w14:paraId="586FD3EB" w14:textId="77777777" w:rsidTr="00D43380">
                        <w:tc>
                          <w:tcPr>
                            <w:tcW w:w="817" w:type="dxa"/>
                            <w:shd w:val="clear" w:color="auto" w:fill="auto"/>
                          </w:tcPr>
                          <w:p w14:paraId="586FD3E6" w14:textId="77777777" w:rsidR="00800EFA" w:rsidRPr="0055776F" w:rsidRDefault="00800EFA" w:rsidP="006F2202">
                            <w:pPr>
                              <w:rPr>
                                <w:rFonts w:cs="Arial"/>
                                <w:sz w:val="20"/>
                              </w:rPr>
                            </w:pPr>
                            <w:r w:rsidRPr="0055776F">
                              <w:rPr>
                                <w:rFonts w:cs="Arial"/>
                                <w:b/>
                                <w:sz w:val="20"/>
                              </w:rPr>
                              <w:t>——</w:t>
                            </w:r>
                          </w:p>
                        </w:tc>
                        <w:tc>
                          <w:tcPr>
                            <w:tcW w:w="2835" w:type="dxa"/>
                            <w:gridSpan w:val="2"/>
                            <w:shd w:val="clear" w:color="auto" w:fill="auto"/>
                          </w:tcPr>
                          <w:p w14:paraId="586FD3E7" w14:textId="77777777" w:rsidR="00800EFA" w:rsidRPr="0055776F" w:rsidRDefault="00800EFA" w:rsidP="006F2202">
                            <w:pPr>
                              <w:rPr>
                                <w:rFonts w:cs="Arial"/>
                                <w:sz w:val="20"/>
                              </w:rPr>
                            </w:pPr>
                            <w:r w:rsidRPr="0055776F">
                              <w:rPr>
                                <w:rFonts w:cs="Arial"/>
                                <w:sz w:val="20"/>
                              </w:rPr>
                              <w:t xml:space="preserve">(1) </w:t>
                            </w:r>
                            <w:r>
                              <w:rPr>
                                <w:sz w:val="20"/>
                              </w:rPr>
                              <w:t>Imatinibi, 12 kk</w:t>
                            </w:r>
                            <w:r w:rsidRPr="0055776F">
                              <w:rPr>
                                <w:rFonts w:cs="Arial"/>
                                <w:sz w:val="20"/>
                              </w:rPr>
                              <w:t>:</w:t>
                            </w:r>
                          </w:p>
                        </w:tc>
                        <w:tc>
                          <w:tcPr>
                            <w:tcW w:w="851" w:type="dxa"/>
                            <w:tcBorders>
                              <w:top w:val="single" w:sz="4" w:space="0" w:color="auto"/>
                            </w:tcBorders>
                            <w:shd w:val="clear" w:color="auto" w:fill="auto"/>
                          </w:tcPr>
                          <w:p w14:paraId="586FD3E8" w14:textId="77777777" w:rsidR="00800EFA" w:rsidRPr="0055776F" w:rsidRDefault="00800EFA" w:rsidP="006F2202">
                            <w:pPr>
                              <w:rPr>
                                <w:rFonts w:cs="Arial"/>
                                <w:sz w:val="20"/>
                              </w:rPr>
                            </w:pPr>
                            <w:r w:rsidRPr="0055776F">
                              <w:rPr>
                                <w:rFonts w:cs="Arial"/>
                                <w:sz w:val="20"/>
                              </w:rPr>
                              <w:t>199</w:t>
                            </w:r>
                          </w:p>
                        </w:tc>
                        <w:tc>
                          <w:tcPr>
                            <w:tcW w:w="1284" w:type="dxa"/>
                            <w:tcBorders>
                              <w:top w:val="single" w:sz="4" w:space="0" w:color="auto"/>
                            </w:tcBorders>
                            <w:shd w:val="clear" w:color="auto" w:fill="auto"/>
                          </w:tcPr>
                          <w:p w14:paraId="586FD3E9" w14:textId="77777777" w:rsidR="00800EFA" w:rsidRPr="0055776F" w:rsidRDefault="00800EFA" w:rsidP="006F2202">
                            <w:pPr>
                              <w:rPr>
                                <w:rFonts w:cs="Arial"/>
                                <w:sz w:val="20"/>
                              </w:rPr>
                            </w:pPr>
                            <w:r w:rsidRPr="0055776F">
                              <w:rPr>
                                <w:rFonts w:cs="Arial"/>
                                <w:sz w:val="20"/>
                              </w:rPr>
                              <w:t>84</w:t>
                            </w:r>
                          </w:p>
                        </w:tc>
                        <w:tc>
                          <w:tcPr>
                            <w:tcW w:w="850" w:type="dxa"/>
                            <w:tcBorders>
                              <w:top w:val="single" w:sz="4" w:space="0" w:color="auto"/>
                            </w:tcBorders>
                            <w:shd w:val="clear" w:color="auto" w:fill="auto"/>
                          </w:tcPr>
                          <w:p w14:paraId="586FD3EA" w14:textId="77777777" w:rsidR="00800EFA" w:rsidRPr="0055776F" w:rsidRDefault="00800EFA" w:rsidP="006F2202">
                            <w:pPr>
                              <w:rPr>
                                <w:rFonts w:cs="Arial"/>
                                <w:sz w:val="20"/>
                              </w:rPr>
                            </w:pPr>
                            <w:r w:rsidRPr="0055776F">
                              <w:rPr>
                                <w:rFonts w:cs="Arial"/>
                                <w:sz w:val="20"/>
                              </w:rPr>
                              <w:t>115</w:t>
                            </w:r>
                          </w:p>
                        </w:tc>
                      </w:tr>
                      <w:tr w:rsidR="00800EFA" w:rsidRPr="0055776F" w14:paraId="586FD3F1" w14:textId="77777777" w:rsidTr="00D43380">
                        <w:tc>
                          <w:tcPr>
                            <w:tcW w:w="817" w:type="dxa"/>
                            <w:shd w:val="clear" w:color="auto" w:fill="auto"/>
                          </w:tcPr>
                          <w:p w14:paraId="586FD3EC" w14:textId="77777777" w:rsidR="00800EFA" w:rsidRPr="0055776F" w:rsidRDefault="00800EFA" w:rsidP="006F2202">
                            <w:pPr>
                              <w:rPr>
                                <w:rFonts w:cs="Arial"/>
                                <w:sz w:val="20"/>
                              </w:rPr>
                            </w:pPr>
                            <w:r w:rsidRPr="0055776F">
                              <w:rPr>
                                <w:rFonts w:cs="Arial"/>
                                <w:sz w:val="20"/>
                              </w:rPr>
                              <w:t>-----</w:t>
                            </w:r>
                          </w:p>
                        </w:tc>
                        <w:tc>
                          <w:tcPr>
                            <w:tcW w:w="2835" w:type="dxa"/>
                            <w:gridSpan w:val="2"/>
                            <w:shd w:val="clear" w:color="auto" w:fill="auto"/>
                          </w:tcPr>
                          <w:p w14:paraId="586FD3ED" w14:textId="77777777" w:rsidR="00800EFA" w:rsidRPr="0055776F" w:rsidRDefault="00800EFA" w:rsidP="006F2202">
                            <w:pPr>
                              <w:rPr>
                                <w:rFonts w:cs="Arial"/>
                                <w:sz w:val="20"/>
                              </w:rPr>
                            </w:pPr>
                            <w:r w:rsidRPr="0055776F">
                              <w:rPr>
                                <w:rFonts w:cs="Arial"/>
                                <w:sz w:val="20"/>
                              </w:rPr>
                              <w:t xml:space="preserve">(2) </w:t>
                            </w:r>
                            <w:r>
                              <w:rPr>
                                <w:sz w:val="20"/>
                              </w:rPr>
                              <w:t>Imatinibi, 36 kk</w:t>
                            </w:r>
                            <w:r w:rsidRPr="0055776F">
                              <w:rPr>
                                <w:rFonts w:cs="Arial"/>
                                <w:sz w:val="20"/>
                              </w:rPr>
                              <w:t>:</w:t>
                            </w:r>
                          </w:p>
                        </w:tc>
                        <w:tc>
                          <w:tcPr>
                            <w:tcW w:w="851" w:type="dxa"/>
                            <w:tcBorders>
                              <w:bottom w:val="single" w:sz="4" w:space="0" w:color="auto"/>
                            </w:tcBorders>
                            <w:shd w:val="clear" w:color="auto" w:fill="auto"/>
                          </w:tcPr>
                          <w:p w14:paraId="586FD3EE" w14:textId="77777777" w:rsidR="00800EFA" w:rsidRPr="0055776F" w:rsidRDefault="00800EFA" w:rsidP="006F2202">
                            <w:pPr>
                              <w:rPr>
                                <w:rFonts w:cs="Arial"/>
                                <w:sz w:val="20"/>
                              </w:rPr>
                            </w:pPr>
                            <w:r w:rsidRPr="0055776F">
                              <w:rPr>
                                <w:rFonts w:cs="Arial"/>
                                <w:sz w:val="20"/>
                              </w:rPr>
                              <w:t>198</w:t>
                            </w:r>
                          </w:p>
                        </w:tc>
                        <w:tc>
                          <w:tcPr>
                            <w:tcW w:w="1284" w:type="dxa"/>
                            <w:tcBorders>
                              <w:bottom w:val="single" w:sz="4" w:space="0" w:color="auto"/>
                            </w:tcBorders>
                            <w:shd w:val="clear" w:color="auto" w:fill="auto"/>
                          </w:tcPr>
                          <w:p w14:paraId="586FD3EF" w14:textId="77777777" w:rsidR="00800EFA" w:rsidRPr="0055776F" w:rsidRDefault="00800EFA" w:rsidP="006F2202">
                            <w:pPr>
                              <w:rPr>
                                <w:rFonts w:cs="Arial"/>
                                <w:sz w:val="20"/>
                              </w:rPr>
                            </w:pPr>
                            <w:r w:rsidRPr="0055776F">
                              <w:rPr>
                                <w:rFonts w:cs="Arial"/>
                                <w:sz w:val="20"/>
                              </w:rPr>
                              <w:t>50</w:t>
                            </w:r>
                          </w:p>
                        </w:tc>
                        <w:tc>
                          <w:tcPr>
                            <w:tcW w:w="850" w:type="dxa"/>
                            <w:tcBorders>
                              <w:bottom w:val="single" w:sz="4" w:space="0" w:color="auto"/>
                            </w:tcBorders>
                            <w:shd w:val="clear" w:color="auto" w:fill="auto"/>
                          </w:tcPr>
                          <w:p w14:paraId="586FD3F0" w14:textId="77777777" w:rsidR="00800EFA" w:rsidRPr="0055776F" w:rsidRDefault="00800EFA" w:rsidP="006F2202">
                            <w:pPr>
                              <w:rPr>
                                <w:rFonts w:cs="Arial"/>
                                <w:sz w:val="20"/>
                              </w:rPr>
                            </w:pPr>
                            <w:r w:rsidRPr="0055776F">
                              <w:rPr>
                                <w:rFonts w:cs="Arial"/>
                                <w:sz w:val="20"/>
                              </w:rPr>
                              <w:t>148</w:t>
                            </w:r>
                          </w:p>
                        </w:tc>
                      </w:tr>
                      <w:tr w:rsidR="00800EFA" w:rsidRPr="0055776F" w14:paraId="586FD3F7" w14:textId="77777777" w:rsidTr="00D43380">
                        <w:tc>
                          <w:tcPr>
                            <w:tcW w:w="817" w:type="dxa"/>
                            <w:shd w:val="clear" w:color="auto" w:fill="auto"/>
                          </w:tcPr>
                          <w:p w14:paraId="586FD3F2" w14:textId="77777777" w:rsidR="00800EFA" w:rsidRPr="0055776F" w:rsidRDefault="00800EFA" w:rsidP="006F2202">
                            <w:pPr>
                              <w:rPr>
                                <w:rFonts w:cs="Arial"/>
                                <w:sz w:val="20"/>
                              </w:rPr>
                            </w:pPr>
                            <w:r w:rsidRPr="0055776F">
                              <w:rPr>
                                <w:rFonts w:cs="Arial"/>
                                <w:sz w:val="20"/>
                              </w:rPr>
                              <w:t>│││</w:t>
                            </w:r>
                          </w:p>
                        </w:tc>
                        <w:tc>
                          <w:tcPr>
                            <w:tcW w:w="2835" w:type="dxa"/>
                            <w:gridSpan w:val="2"/>
                            <w:shd w:val="clear" w:color="auto" w:fill="auto"/>
                          </w:tcPr>
                          <w:p w14:paraId="586FD3F3" w14:textId="77777777" w:rsidR="00800EFA" w:rsidRPr="0055776F" w:rsidRDefault="00800EFA" w:rsidP="006F2202">
                            <w:pPr>
                              <w:rPr>
                                <w:rFonts w:cs="Arial"/>
                                <w:sz w:val="20"/>
                              </w:rPr>
                            </w:pPr>
                            <w:r>
                              <w:rPr>
                                <w:sz w:val="20"/>
                              </w:rPr>
                              <w:t>Rajatut havaintoarvot</w:t>
                            </w:r>
                          </w:p>
                        </w:tc>
                        <w:tc>
                          <w:tcPr>
                            <w:tcW w:w="851" w:type="dxa"/>
                            <w:tcBorders>
                              <w:top w:val="single" w:sz="4" w:space="0" w:color="auto"/>
                            </w:tcBorders>
                            <w:shd w:val="clear" w:color="auto" w:fill="auto"/>
                          </w:tcPr>
                          <w:p w14:paraId="586FD3F4" w14:textId="77777777" w:rsidR="00800EFA" w:rsidRPr="0055776F" w:rsidRDefault="00800EFA" w:rsidP="006F2202">
                            <w:pPr>
                              <w:rPr>
                                <w:rFonts w:cs="Arial"/>
                                <w:sz w:val="20"/>
                              </w:rPr>
                            </w:pPr>
                          </w:p>
                        </w:tc>
                        <w:tc>
                          <w:tcPr>
                            <w:tcW w:w="1284" w:type="dxa"/>
                            <w:tcBorders>
                              <w:top w:val="single" w:sz="4" w:space="0" w:color="auto"/>
                            </w:tcBorders>
                            <w:shd w:val="clear" w:color="auto" w:fill="auto"/>
                          </w:tcPr>
                          <w:p w14:paraId="586FD3F5" w14:textId="77777777" w:rsidR="00800EFA" w:rsidRPr="0055776F" w:rsidRDefault="00800EFA" w:rsidP="006F2202">
                            <w:pPr>
                              <w:rPr>
                                <w:rFonts w:cs="Arial"/>
                                <w:sz w:val="20"/>
                              </w:rPr>
                            </w:pPr>
                          </w:p>
                        </w:tc>
                        <w:tc>
                          <w:tcPr>
                            <w:tcW w:w="850" w:type="dxa"/>
                            <w:tcBorders>
                              <w:top w:val="single" w:sz="4" w:space="0" w:color="auto"/>
                            </w:tcBorders>
                            <w:shd w:val="clear" w:color="auto" w:fill="auto"/>
                          </w:tcPr>
                          <w:p w14:paraId="586FD3F6" w14:textId="77777777" w:rsidR="00800EFA" w:rsidRPr="0055776F" w:rsidRDefault="00800EFA" w:rsidP="006F2202">
                            <w:pPr>
                              <w:rPr>
                                <w:rFonts w:cs="Arial"/>
                                <w:sz w:val="20"/>
                              </w:rPr>
                            </w:pPr>
                          </w:p>
                        </w:tc>
                      </w:tr>
                    </w:tbl>
                    <w:p w14:paraId="586FD3F8" w14:textId="77777777" w:rsidR="00800EFA" w:rsidRPr="00A33DBA" w:rsidRDefault="00800EFA" w:rsidP="009F2B12">
                      <w:pPr>
                        <w:rPr>
                          <w:rFonts w:cs="Arial"/>
                          <w:sz w:val="20"/>
                        </w:rPr>
                      </w:pPr>
                    </w:p>
                  </w:txbxContent>
                </v:textbox>
              </v:shape>
            </w:pict>
          </mc:Fallback>
        </mc:AlternateContent>
      </w:r>
      <w:r w:rsidRPr="00D82973">
        <w:rPr>
          <w:noProof/>
          <w:lang w:val="en-US"/>
        </w:rPr>
        <w:drawing>
          <wp:inline distT="0" distB="0" distL="0" distR="0" wp14:anchorId="586FD3AE" wp14:editId="586FD3AF">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586FC3D4" w14:textId="77777777" w:rsidR="009F2B12" w:rsidRDefault="009F2B12" w:rsidP="009F2B12">
      <w:pPr>
        <w:pStyle w:val="EndnoteText"/>
        <w:widowControl w:val="0"/>
        <w:tabs>
          <w:tab w:val="clear" w:pos="567"/>
        </w:tabs>
        <w:rPr>
          <w:color w:val="000000"/>
          <w:szCs w:val="22"/>
          <w:lang w:val="fi-FI"/>
        </w:rPr>
      </w:pPr>
    </w:p>
    <w:p w14:paraId="586FC3D5" w14:textId="77777777" w:rsidR="009F2B12" w:rsidRPr="009F2B12" w:rsidRDefault="009F2B12" w:rsidP="009F2B12">
      <w:pPr>
        <w:rPr>
          <w:rFonts w:ascii="Times New Roman" w:hAnsi="Times New Roman"/>
          <w:noProof/>
          <w:sz w:val="22"/>
          <w:szCs w:val="22"/>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9F2B12" w:rsidRPr="0055776F" w14:paraId="586FC3D7" w14:textId="77777777" w:rsidTr="00BE2219">
        <w:tc>
          <w:tcPr>
            <w:tcW w:w="10599" w:type="dxa"/>
            <w:gridSpan w:val="16"/>
            <w:shd w:val="clear" w:color="auto" w:fill="auto"/>
          </w:tcPr>
          <w:p w14:paraId="586FC3D6" w14:textId="77777777" w:rsidR="009F2B12" w:rsidRPr="0055776F" w:rsidRDefault="009F5C42" w:rsidP="00BE2219">
            <w:pPr>
              <w:ind w:left="-27"/>
              <w:rPr>
                <w:rFonts w:cs="Arial"/>
                <w:sz w:val="16"/>
                <w:szCs w:val="16"/>
              </w:rPr>
            </w:pPr>
            <w:r>
              <w:rPr>
                <w:sz w:val="20"/>
              </w:rPr>
              <w:t>Potilaita : Tapahtumia</w:t>
            </w:r>
          </w:p>
        </w:tc>
      </w:tr>
      <w:tr w:rsidR="009F2B12" w:rsidRPr="009F2B12" w14:paraId="586FC3E8" w14:textId="77777777" w:rsidTr="00BE2219">
        <w:tc>
          <w:tcPr>
            <w:tcW w:w="450" w:type="dxa"/>
            <w:shd w:val="clear" w:color="auto" w:fill="auto"/>
          </w:tcPr>
          <w:p w14:paraId="586FC3D8" w14:textId="77777777" w:rsidR="009F2B12" w:rsidRPr="009F2B12" w:rsidRDefault="009F2B12" w:rsidP="00BE2219">
            <w:pPr>
              <w:rPr>
                <w:rFonts w:ascii="Times New Roman" w:hAnsi="Times New Roman"/>
                <w:sz w:val="18"/>
                <w:szCs w:val="18"/>
              </w:rPr>
            </w:pPr>
            <w:r w:rsidRPr="009F2B12">
              <w:rPr>
                <w:rFonts w:ascii="Times New Roman" w:hAnsi="Times New Roman"/>
                <w:sz w:val="18"/>
                <w:szCs w:val="18"/>
              </w:rPr>
              <w:t>(1)</w:t>
            </w:r>
          </w:p>
        </w:tc>
        <w:tc>
          <w:tcPr>
            <w:tcW w:w="646" w:type="dxa"/>
            <w:shd w:val="clear" w:color="auto" w:fill="auto"/>
          </w:tcPr>
          <w:p w14:paraId="586FC3D9"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199:0</w:t>
            </w:r>
          </w:p>
        </w:tc>
        <w:tc>
          <w:tcPr>
            <w:tcW w:w="645" w:type="dxa"/>
            <w:shd w:val="clear" w:color="auto" w:fill="auto"/>
          </w:tcPr>
          <w:p w14:paraId="586FC3DA"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182:8</w:t>
            </w:r>
          </w:p>
        </w:tc>
        <w:tc>
          <w:tcPr>
            <w:tcW w:w="745" w:type="dxa"/>
            <w:shd w:val="clear" w:color="auto" w:fill="auto"/>
          </w:tcPr>
          <w:p w14:paraId="586FC3DB"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177:12</w:t>
            </w:r>
          </w:p>
        </w:tc>
        <w:tc>
          <w:tcPr>
            <w:tcW w:w="745" w:type="dxa"/>
            <w:shd w:val="clear" w:color="auto" w:fill="auto"/>
          </w:tcPr>
          <w:p w14:paraId="586FC3DC"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163:25</w:t>
            </w:r>
          </w:p>
        </w:tc>
        <w:tc>
          <w:tcPr>
            <w:tcW w:w="745" w:type="dxa"/>
            <w:shd w:val="clear" w:color="auto" w:fill="auto"/>
          </w:tcPr>
          <w:p w14:paraId="586FC3DD"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137:46</w:t>
            </w:r>
          </w:p>
        </w:tc>
        <w:tc>
          <w:tcPr>
            <w:tcW w:w="752" w:type="dxa"/>
            <w:shd w:val="clear" w:color="auto" w:fill="auto"/>
          </w:tcPr>
          <w:p w14:paraId="586FC3DE"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105:65</w:t>
            </w:r>
          </w:p>
        </w:tc>
        <w:tc>
          <w:tcPr>
            <w:tcW w:w="745" w:type="dxa"/>
            <w:shd w:val="clear" w:color="auto" w:fill="auto"/>
          </w:tcPr>
          <w:p w14:paraId="586FC3DF"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88:72</w:t>
            </w:r>
          </w:p>
        </w:tc>
        <w:tc>
          <w:tcPr>
            <w:tcW w:w="745" w:type="dxa"/>
            <w:shd w:val="clear" w:color="auto" w:fill="auto"/>
          </w:tcPr>
          <w:p w14:paraId="586FC3E0"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61:77</w:t>
            </w:r>
          </w:p>
        </w:tc>
        <w:tc>
          <w:tcPr>
            <w:tcW w:w="652" w:type="dxa"/>
            <w:shd w:val="clear" w:color="auto" w:fill="auto"/>
          </w:tcPr>
          <w:p w14:paraId="586FC3E1"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49:81</w:t>
            </w:r>
          </w:p>
        </w:tc>
        <w:tc>
          <w:tcPr>
            <w:tcW w:w="652" w:type="dxa"/>
            <w:shd w:val="clear" w:color="auto" w:fill="auto"/>
          </w:tcPr>
          <w:p w14:paraId="586FC3E2"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36:83</w:t>
            </w:r>
          </w:p>
        </w:tc>
        <w:tc>
          <w:tcPr>
            <w:tcW w:w="649" w:type="dxa"/>
            <w:shd w:val="clear" w:color="auto" w:fill="auto"/>
          </w:tcPr>
          <w:p w14:paraId="586FC3E3"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27:84</w:t>
            </w:r>
          </w:p>
        </w:tc>
        <w:tc>
          <w:tcPr>
            <w:tcW w:w="660" w:type="dxa"/>
            <w:shd w:val="clear" w:color="auto" w:fill="auto"/>
          </w:tcPr>
          <w:p w14:paraId="586FC3E4"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14:84</w:t>
            </w:r>
          </w:p>
        </w:tc>
        <w:tc>
          <w:tcPr>
            <w:tcW w:w="649" w:type="dxa"/>
            <w:shd w:val="clear" w:color="auto" w:fill="auto"/>
          </w:tcPr>
          <w:p w14:paraId="586FC3E5"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10:84</w:t>
            </w:r>
          </w:p>
        </w:tc>
        <w:tc>
          <w:tcPr>
            <w:tcW w:w="564" w:type="dxa"/>
            <w:shd w:val="clear" w:color="auto" w:fill="auto"/>
          </w:tcPr>
          <w:p w14:paraId="586FC3E6"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2:84</w:t>
            </w:r>
          </w:p>
        </w:tc>
        <w:tc>
          <w:tcPr>
            <w:tcW w:w="555" w:type="dxa"/>
            <w:shd w:val="clear" w:color="auto" w:fill="auto"/>
          </w:tcPr>
          <w:p w14:paraId="586FC3E7"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0:84</w:t>
            </w:r>
          </w:p>
        </w:tc>
      </w:tr>
      <w:tr w:rsidR="009F2B12" w:rsidRPr="009F2B12" w14:paraId="586FC3F9" w14:textId="77777777" w:rsidTr="00BE2219">
        <w:tc>
          <w:tcPr>
            <w:tcW w:w="450" w:type="dxa"/>
            <w:shd w:val="clear" w:color="auto" w:fill="auto"/>
          </w:tcPr>
          <w:p w14:paraId="586FC3E9" w14:textId="77777777" w:rsidR="009F2B12" w:rsidRPr="009F2B12" w:rsidRDefault="009F2B12" w:rsidP="00BE2219">
            <w:pPr>
              <w:rPr>
                <w:rFonts w:ascii="Times New Roman" w:hAnsi="Times New Roman"/>
                <w:sz w:val="18"/>
                <w:szCs w:val="18"/>
              </w:rPr>
            </w:pPr>
            <w:r w:rsidRPr="009F2B12">
              <w:rPr>
                <w:rFonts w:ascii="Times New Roman" w:hAnsi="Times New Roman"/>
                <w:sz w:val="18"/>
                <w:szCs w:val="18"/>
              </w:rPr>
              <w:t>(2)</w:t>
            </w:r>
          </w:p>
        </w:tc>
        <w:tc>
          <w:tcPr>
            <w:tcW w:w="646" w:type="dxa"/>
            <w:shd w:val="clear" w:color="auto" w:fill="auto"/>
          </w:tcPr>
          <w:p w14:paraId="586FC3EA"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198:0</w:t>
            </w:r>
          </w:p>
        </w:tc>
        <w:tc>
          <w:tcPr>
            <w:tcW w:w="645" w:type="dxa"/>
            <w:shd w:val="clear" w:color="auto" w:fill="auto"/>
          </w:tcPr>
          <w:p w14:paraId="586FC3EB"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189:5</w:t>
            </w:r>
          </w:p>
        </w:tc>
        <w:tc>
          <w:tcPr>
            <w:tcW w:w="745" w:type="dxa"/>
            <w:shd w:val="clear" w:color="auto" w:fill="auto"/>
          </w:tcPr>
          <w:p w14:paraId="586FC3EC"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184:8</w:t>
            </w:r>
          </w:p>
        </w:tc>
        <w:tc>
          <w:tcPr>
            <w:tcW w:w="745" w:type="dxa"/>
            <w:shd w:val="clear" w:color="auto" w:fill="auto"/>
          </w:tcPr>
          <w:p w14:paraId="586FC3ED"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181:11</w:t>
            </w:r>
          </w:p>
        </w:tc>
        <w:tc>
          <w:tcPr>
            <w:tcW w:w="745" w:type="dxa"/>
            <w:shd w:val="clear" w:color="auto" w:fill="auto"/>
          </w:tcPr>
          <w:p w14:paraId="586FC3EE"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173:18</w:t>
            </w:r>
          </w:p>
        </w:tc>
        <w:tc>
          <w:tcPr>
            <w:tcW w:w="752" w:type="dxa"/>
            <w:shd w:val="clear" w:color="auto" w:fill="auto"/>
          </w:tcPr>
          <w:p w14:paraId="586FC3EF"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152:22</w:t>
            </w:r>
          </w:p>
        </w:tc>
        <w:tc>
          <w:tcPr>
            <w:tcW w:w="745" w:type="dxa"/>
            <w:shd w:val="clear" w:color="auto" w:fill="auto"/>
          </w:tcPr>
          <w:p w14:paraId="586FC3F0"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133:25</w:t>
            </w:r>
          </w:p>
        </w:tc>
        <w:tc>
          <w:tcPr>
            <w:tcW w:w="745" w:type="dxa"/>
            <w:shd w:val="clear" w:color="auto" w:fill="auto"/>
          </w:tcPr>
          <w:p w14:paraId="586FC3F1"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102:29</w:t>
            </w:r>
          </w:p>
        </w:tc>
        <w:tc>
          <w:tcPr>
            <w:tcW w:w="652" w:type="dxa"/>
            <w:shd w:val="clear" w:color="auto" w:fill="auto"/>
          </w:tcPr>
          <w:p w14:paraId="586FC3F2"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82:35</w:t>
            </w:r>
          </w:p>
        </w:tc>
        <w:tc>
          <w:tcPr>
            <w:tcW w:w="652" w:type="dxa"/>
            <w:shd w:val="clear" w:color="auto" w:fill="auto"/>
          </w:tcPr>
          <w:p w14:paraId="586FC3F3"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54:46</w:t>
            </w:r>
          </w:p>
        </w:tc>
        <w:tc>
          <w:tcPr>
            <w:tcW w:w="649" w:type="dxa"/>
            <w:shd w:val="clear" w:color="auto" w:fill="auto"/>
          </w:tcPr>
          <w:p w14:paraId="586FC3F4"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39:47</w:t>
            </w:r>
          </w:p>
        </w:tc>
        <w:tc>
          <w:tcPr>
            <w:tcW w:w="660" w:type="dxa"/>
            <w:shd w:val="clear" w:color="auto" w:fill="auto"/>
          </w:tcPr>
          <w:p w14:paraId="586FC3F5"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21:49</w:t>
            </w:r>
          </w:p>
        </w:tc>
        <w:tc>
          <w:tcPr>
            <w:tcW w:w="649" w:type="dxa"/>
            <w:shd w:val="clear" w:color="auto" w:fill="auto"/>
          </w:tcPr>
          <w:p w14:paraId="586FC3F6"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8:50</w:t>
            </w:r>
          </w:p>
        </w:tc>
        <w:tc>
          <w:tcPr>
            <w:tcW w:w="564" w:type="dxa"/>
            <w:shd w:val="clear" w:color="auto" w:fill="auto"/>
          </w:tcPr>
          <w:p w14:paraId="586FC3F7" w14:textId="77777777" w:rsidR="009F2B12" w:rsidRPr="009F2B12" w:rsidRDefault="009F2B12" w:rsidP="00BE2219">
            <w:pPr>
              <w:ind w:left="-27"/>
              <w:rPr>
                <w:rFonts w:ascii="Times New Roman" w:hAnsi="Times New Roman"/>
                <w:sz w:val="18"/>
                <w:szCs w:val="18"/>
              </w:rPr>
            </w:pPr>
            <w:r w:rsidRPr="009F2B12">
              <w:rPr>
                <w:rFonts w:ascii="Times New Roman" w:hAnsi="Times New Roman"/>
                <w:sz w:val="18"/>
                <w:szCs w:val="18"/>
              </w:rPr>
              <w:t>0:50</w:t>
            </w:r>
          </w:p>
        </w:tc>
        <w:tc>
          <w:tcPr>
            <w:tcW w:w="555" w:type="dxa"/>
            <w:shd w:val="clear" w:color="auto" w:fill="auto"/>
          </w:tcPr>
          <w:p w14:paraId="586FC3F8" w14:textId="77777777" w:rsidR="009F2B12" w:rsidRPr="009F2B12" w:rsidRDefault="009F2B12" w:rsidP="00BE2219">
            <w:pPr>
              <w:ind w:left="-27"/>
              <w:rPr>
                <w:rFonts w:ascii="Times New Roman" w:hAnsi="Times New Roman"/>
                <w:sz w:val="18"/>
                <w:szCs w:val="18"/>
              </w:rPr>
            </w:pPr>
          </w:p>
        </w:tc>
      </w:tr>
    </w:tbl>
    <w:p w14:paraId="586FC3FA" w14:textId="77777777" w:rsidR="009F2B12" w:rsidRDefault="009F2B12" w:rsidP="009F2B12">
      <w:pPr>
        <w:pStyle w:val="EndnoteText"/>
        <w:widowControl w:val="0"/>
        <w:tabs>
          <w:tab w:val="clear" w:pos="567"/>
        </w:tabs>
        <w:rPr>
          <w:color w:val="000000"/>
          <w:szCs w:val="22"/>
          <w:lang w:val="fi-FI"/>
        </w:rPr>
      </w:pPr>
    </w:p>
    <w:p w14:paraId="586FC3FB" w14:textId="77777777" w:rsidR="009F2B12" w:rsidRPr="008A5B9A" w:rsidRDefault="009F2B12" w:rsidP="009F2B12">
      <w:pPr>
        <w:keepNext/>
        <w:widowControl w:val="0"/>
        <w:ind w:left="1134" w:hanging="1134"/>
        <w:outlineLvl w:val="6"/>
        <w:rPr>
          <w:rFonts w:ascii="Times New Roman" w:eastAsia="MS Mincho" w:hAnsi="Times New Roman"/>
          <w:b/>
          <w:sz w:val="22"/>
          <w:szCs w:val="22"/>
        </w:rPr>
      </w:pPr>
      <w:r>
        <w:rPr>
          <w:rFonts w:ascii="Times New Roman" w:hAnsi="Times New Roman"/>
          <w:b/>
          <w:sz w:val="22"/>
        </w:rPr>
        <w:t>Kuva 2</w:t>
      </w:r>
      <w:r>
        <w:rPr>
          <w:rFonts w:ascii="Times New Roman" w:hAnsi="Times New Roman"/>
          <w:b/>
          <w:sz w:val="22"/>
        </w:rPr>
        <w:tab/>
      </w:r>
      <w:r w:rsidRPr="008A5B9A">
        <w:rPr>
          <w:rFonts w:ascii="Times New Roman" w:hAnsi="Times New Roman"/>
          <w:b/>
          <w:sz w:val="22"/>
        </w:rPr>
        <w:t>Kokonaiselossaolon Kaplan–Meier-estimaatit (ITT-populaatio)</w:t>
      </w:r>
    </w:p>
    <w:p w14:paraId="586FC3FC" w14:textId="77777777" w:rsidR="009F2B12" w:rsidRDefault="009F2B12" w:rsidP="009F2B12">
      <w:pPr>
        <w:pStyle w:val="EndnoteText"/>
        <w:keepNext/>
        <w:widowControl w:val="0"/>
        <w:tabs>
          <w:tab w:val="clear" w:pos="567"/>
        </w:tabs>
        <w:ind w:left="1134" w:hanging="1134"/>
        <w:outlineLvl w:val="6"/>
        <w:rPr>
          <w:color w:val="000000"/>
          <w:szCs w:val="22"/>
          <w:lang w:val="fi-FI"/>
        </w:rPr>
      </w:pPr>
    </w:p>
    <w:p w14:paraId="586FC3FD" w14:textId="77777777" w:rsidR="009F2B12" w:rsidRDefault="00CC29DC" w:rsidP="009F2B12">
      <w:pPr>
        <w:pStyle w:val="EndnoteText"/>
        <w:widowControl w:val="0"/>
        <w:tabs>
          <w:tab w:val="clear" w:pos="567"/>
        </w:tabs>
        <w:rPr>
          <w:color w:val="000000"/>
          <w:szCs w:val="22"/>
          <w:lang w:val="fi-FI"/>
        </w:rPr>
      </w:pPr>
      <w:r>
        <w:rPr>
          <w:noProof/>
          <w:lang w:val="en-US"/>
        </w:rPr>
        <mc:AlternateContent>
          <mc:Choice Requires="wps">
            <w:drawing>
              <wp:anchor distT="0" distB="0" distL="114300" distR="114300" simplePos="0" relativeHeight="251655168" behindDoc="0" locked="0" layoutInCell="1" allowOverlap="1" wp14:anchorId="586FD3B0" wp14:editId="586FD3B1">
                <wp:simplePos x="0" y="0"/>
                <wp:positionH relativeFrom="column">
                  <wp:posOffset>-202565</wp:posOffset>
                </wp:positionH>
                <wp:positionV relativeFrom="paragraph">
                  <wp:posOffset>6350</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FD3F9" w14:textId="77777777" w:rsidR="00800EFA" w:rsidRPr="00A33DBA" w:rsidRDefault="00800EFA" w:rsidP="009F2B12">
                            <w:pPr>
                              <w:rPr>
                                <w:rFonts w:cs="Arial"/>
                                <w:sz w:val="20"/>
                              </w:rPr>
                            </w:pPr>
                            <w:r>
                              <w:rPr>
                                <w:sz w:val="20"/>
                              </w:rPr>
                              <w:t>Kokonaiselossaolon todennäköisyys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B0" id="_x0000_s1029" type="#_x0000_t202" style="position:absolute;margin-left:-15.95pt;margin-top:.5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69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" stroked="f">
                <v:fill opacity="0"/>
                <v:textbox style="layout-flow:vertical;mso-layout-flow-alt:bottom-to-top">
                  <w:txbxContent>
                    <w:p w14:paraId="586FD3F9" w14:textId="77777777" w:rsidR="00800EFA" w:rsidRPr="00A33DBA" w:rsidRDefault="00800EFA" w:rsidP="009F2B12">
                      <w:pPr>
                        <w:rPr>
                          <w:rFonts w:cs="Arial"/>
                          <w:sz w:val="20"/>
                        </w:rPr>
                      </w:pPr>
                      <w:r>
                        <w:rPr>
                          <w:sz w:val="20"/>
                        </w:rPr>
                        <w:t>Kokonaiselossaolon todennäköisyys</w:t>
                      </w:r>
                    </w:p>
                  </w:txbxContent>
                </v:textbox>
              </v:shape>
            </w:pict>
          </mc:Fallback>
        </mc:AlternateContent>
      </w:r>
      <w:r>
        <w:rPr>
          <w:noProof/>
          <w:color w:val="000000"/>
          <w:szCs w:val="22"/>
          <w:lang w:val="en-US"/>
        </w:rPr>
        <mc:AlternateContent>
          <mc:Choice Requires="wps">
            <w:drawing>
              <wp:anchor distT="0" distB="0" distL="114300" distR="114300" simplePos="0" relativeHeight="251657216" behindDoc="0" locked="0" layoutInCell="1" allowOverlap="1" wp14:anchorId="586FD3B2" wp14:editId="586FD3B3">
                <wp:simplePos x="0" y="0"/>
                <wp:positionH relativeFrom="column">
                  <wp:posOffset>2301240</wp:posOffset>
                </wp:positionH>
                <wp:positionV relativeFrom="paragraph">
                  <wp:posOffset>2635250</wp:posOffset>
                </wp:positionV>
                <wp:extent cx="1275080"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FD3FA" w14:textId="77777777" w:rsidR="00800EFA" w:rsidRPr="00A33DBA" w:rsidRDefault="00800EFA" w:rsidP="009F2B12">
                            <w:pPr>
                              <w:rPr>
                                <w:rFonts w:cs="Arial"/>
                                <w:sz w:val="20"/>
                              </w:rPr>
                            </w:pPr>
                            <w:r>
                              <w:rPr>
                                <w:sz w:val="20"/>
                              </w:rPr>
                              <w:t>Elossaolo (kk)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B2" id="_x0000_s1030" type="#_x0000_t202" style="position:absolute;margin-left:181.2pt;margin-top:207.5pt;width:100.4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" stroked="f">
                <v:fill opacity="0"/>
                <v:textbox>
                  <w:txbxContent>
                    <w:p w14:paraId="586FD3FA" w14:textId="77777777" w:rsidR="00800EFA" w:rsidRPr="00A33DBA" w:rsidRDefault="00800EFA" w:rsidP="009F2B12">
                      <w:pPr>
                        <w:rPr>
                          <w:rFonts w:cs="Arial"/>
                          <w:sz w:val="20"/>
                        </w:rPr>
                      </w:pPr>
                      <w:r>
                        <w:rPr>
                          <w:sz w:val="20"/>
                        </w:rPr>
                        <w:t>Elossaolo (kk)</w:t>
                      </w:r>
                    </w:p>
                  </w:txbxContent>
                </v:textbox>
              </v:shape>
            </w:pict>
          </mc:Fallback>
        </mc:AlternateContent>
      </w:r>
      <w:r>
        <w:rPr>
          <w:noProof/>
          <w:lang w:val="en-US"/>
        </w:rPr>
        <mc:AlternateContent>
          <mc:Choice Requires="wps">
            <w:drawing>
              <wp:anchor distT="0" distB="0" distL="114300" distR="114300" simplePos="0" relativeHeight="251656192" behindDoc="0" locked="0" layoutInCell="1" allowOverlap="1" wp14:anchorId="586FD3B4" wp14:editId="586FD3B5">
                <wp:simplePos x="0" y="0"/>
                <wp:positionH relativeFrom="column">
                  <wp:posOffset>350520</wp:posOffset>
                </wp:positionH>
                <wp:positionV relativeFrom="paragraph">
                  <wp:posOffset>939800</wp:posOffset>
                </wp:positionV>
                <wp:extent cx="4585335" cy="1428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FD3FB" w14:textId="77777777" w:rsidR="00800EFA" w:rsidRDefault="00800EFA" w:rsidP="00D43380">
                            <w:pPr>
                              <w:rPr>
                                <w:rFonts w:cs="Arial"/>
                                <w:sz w:val="20"/>
                              </w:rPr>
                            </w:pPr>
                          </w:p>
                          <w:tbl>
                            <w:tblPr>
                              <w:tblW w:w="0" w:type="auto"/>
                              <w:tblLook w:val="04A0" w:firstRow="1" w:lastRow="0" w:firstColumn="1" w:lastColumn="0" w:noHBand="0" w:noVBand="1"/>
                            </w:tblPr>
                            <w:tblGrid>
                              <w:gridCol w:w="817"/>
                              <w:gridCol w:w="2464"/>
                              <w:gridCol w:w="851"/>
                              <w:gridCol w:w="1284"/>
                              <w:gridCol w:w="850"/>
                            </w:tblGrid>
                            <w:tr w:rsidR="00800EFA" w:rsidRPr="0055776F" w14:paraId="586FD3FF" w14:textId="77777777" w:rsidTr="006F2202">
                              <w:tc>
                                <w:tcPr>
                                  <w:tcW w:w="5691" w:type="dxa"/>
                                  <w:gridSpan w:val="5"/>
                                  <w:shd w:val="clear" w:color="auto" w:fill="auto"/>
                                </w:tcPr>
                                <w:p w14:paraId="586FD3FC" w14:textId="77777777" w:rsidR="00800EFA" w:rsidRPr="0055776F" w:rsidRDefault="00800EFA" w:rsidP="006F2202">
                                  <w:pPr>
                                    <w:rPr>
                                      <w:rFonts w:cs="Arial"/>
                                      <w:sz w:val="20"/>
                                    </w:rPr>
                                  </w:pPr>
                                  <w:r>
                                    <w:rPr>
                                      <w:rFonts w:cs="Arial"/>
                                      <w:sz w:val="20"/>
                                    </w:rPr>
                                    <w:t>P = 0,0</w:t>
                                  </w:r>
                                  <w:r w:rsidRPr="0055776F">
                                    <w:rPr>
                                      <w:rFonts w:cs="Arial"/>
                                      <w:sz w:val="20"/>
                                    </w:rPr>
                                    <w:t>19</w:t>
                                  </w:r>
                                </w:p>
                                <w:p w14:paraId="586FD3FD" w14:textId="77777777" w:rsidR="00800EFA" w:rsidRDefault="00800EFA" w:rsidP="009F5C42">
                                  <w:pPr>
                                    <w:rPr>
                                      <w:rFonts w:cs="Arial"/>
                                      <w:sz w:val="20"/>
                                    </w:rPr>
                                  </w:pPr>
                                  <w:r>
                                    <w:rPr>
                                      <w:sz w:val="20"/>
                                    </w:rPr>
                                    <w:t>Riskisuhde 0,45</w:t>
                                  </w:r>
                                </w:p>
                                <w:p w14:paraId="586FD3FE" w14:textId="77777777" w:rsidR="00800EFA" w:rsidRPr="0055776F" w:rsidRDefault="00800EFA" w:rsidP="009F5C42">
                                  <w:pPr>
                                    <w:rPr>
                                      <w:rFonts w:cs="Arial"/>
                                      <w:sz w:val="20"/>
                                      <w:lang w:val="de-DE"/>
                                    </w:rPr>
                                  </w:pPr>
                                  <w:r>
                                    <w:rPr>
                                      <w:sz w:val="20"/>
                                    </w:rPr>
                                    <w:t>(95 % luottamusväli 0,22</w:t>
                                  </w:r>
                                  <w:r>
                                    <w:rPr>
                                      <w:sz w:val="20"/>
                                    </w:rPr>
                                    <w:noBreakHyphen/>
                                    <w:t>0,89)</w:t>
                                  </w:r>
                                </w:p>
                              </w:tc>
                            </w:tr>
                            <w:tr w:rsidR="00800EFA" w:rsidRPr="0055776F" w14:paraId="586FD405" w14:textId="77777777" w:rsidTr="006F2202">
                              <w:tc>
                                <w:tcPr>
                                  <w:tcW w:w="817" w:type="dxa"/>
                                  <w:shd w:val="clear" w:color="auto" w:fill="auto"/>
                                </w:tcPr>
                                <w:p w14:paraId="586FD400" w14:textId="77777777" w:rsidR="00800EFA" w:rsidRPr="0055776F" w:rsidRDefault="00800EFA" w:rsidP="006F2202">
                                  <w:pPr>
                                    <w:rPr>
                                      <w:rFonts w:cs="Arial"/>
                                      <w:sz w:val="20"/>
                                    </w:rPr>
                                  </w:pPr>
                                </w:p>
                              </w:tc>
                              <w:tc>
                                <w:tcPr>
                                  <w:tcW w:w="2464" w:type="dxa"/>
                                  <w:shd w:val="clear" w:color="auto" w:fill="auto"/>
                                </w:tcPr>
                                <w:p w14:paraId="586FD401" w14:textId="77777777" w:rsidR="00800EFA" w:rsidRPr="0055776F" w:rsidRDefault="00800EFA" w:rsidP="006F2202">
                                  <w:pPr>
                                    <w:rPr>
                                      <w:rFonts w:cs="Arial"/>
                                      <w:sz w:val="20"/>
                                    </w:rPr>
                                  </w:pPr>
                                </w:p>
                              </w:tc>
                              <w:tc>
                                <w:tcPr>
                                  <w:tcW w:w="851" w:type="dxa"/>
                                  <w:tcBorders>
                                    <w:bottom w:val="single" w:sz="4" w:space="0" w:color="auto"/>
                                  </w:tcBorders>
                                  <w:shd w:val="clear" w:color="auto" w:fill="auto"/>
                                </w:tcPr>
                                <w:p w14:paraId="586FD402" w14:textId="77777777" w:rsidR="00800EFA" w:rsidRPr="0055776F" w:rsidRDefault="00800EFA" w:rsidP="006F2202">
                                  <w:pPr>
                                    <w:rPr>
                                      <w:rFonts w:cs="Arial"/>
                                      <w:sz w:val="20"/>
                                    </w:rPr>
                                  </w:pPr>
                                  <w:r w:rsidRPr="009F5C42">
                                    <w:rPr>
                                      <w:rFonts w:cs="Arial"/>
                                      <w:sz w:val="20"/>
                                      <w:lang w:val="de-DE"/>
                                    </w:rPr>
                                    <w:t>N</w:t>
                                  </w:r>
                                </w:p>
                              </w:tc>
                              <w:tc>
                                <w:tcPr>
                                  <w:tcW w:w="709" w:type="dxa"/>
                                  <w:tcBorders>
                                    <w:bottom w:val="single" w:sz="4" w:space="0" w:color="auto"/>
                                  </w:tcBorders>
                                  <w:shd w:val="clear" w:color="auto" w:fill="auto"/>
                                </w:tcPr>
                                <w:p w14:paraId="586FD403" w14:textId="77777777" w:rsidR="00800EFA" w:rsidRPr="0055776F" w:rsidRDefault="00800EFA" w:rsidP="006F2202">
                                  <w:pPr>
                                    <w:rPr>
                                      <w:rFonts w:cs="Arial"/>
                                      <w:sz w:val="20"/>
                                    </w:rPr>
                                  </w:pPr>
                                  <w:r w:rsidRPr="009F5C42">
                                    <w:rPr>
                                      <w:sz w:val="20"/>
                                    </w:rPr>
                                    <w:t>Tapahtumat</w:t>
                                  </w:r>
                                </w:p>
                              </w:tc>
                              <w:tc>
                                <w:tcPr>
                                  <w:tcW w:w="850" w:type="dxa"/>
                                  <w:tcBorders>
                                    <w:bottom w:val="single" w:sz="4" w:space="0" w:color="auto"/>
                                  </w:tcBorders>
                                  <w:shd w:val="clear" w:color="auto" w:fill="auto"/>
                                </w:tcPr>
                                <w:p w14:paraId="586FD404" w14:textId="77777777" w:rsidR="00800EFA" w:rsidRPr="0055776F" w:rsidRDefault="00800EFA" w:rsidP="006F2202">
                                  <w:pPr>
                                    <w:rPr>
                                      <w:rFonts w:cs="Arial"/>
                                      <w:sz w:val="20"/>
                                    </w:rPr>
                                  </w:pPr>
                                  <w:r w:rsidRPr="009F5C42">
                                    <w:rPr>
                                      <w:sz w:val="20"/>
                                    </w:rPr>
                                    <w:t>Rajatut</w:t>
                                  </w:r>
                                </w:p>
                              </w:tc>
                            </w:tr>
                            <w:tr w:rsidR="00800EFA" w:rsidRPr="0055776F" w14:paraId="586FD40B" w14:textId="77777777" w:rsidTr="006F2202">
                              <w:tc>
                                <w:tcPr>
                                  <w:tcW w:w="817" w:type="dxa"/>
                                  <w:shd w:val="clear" w:color="auto" w:fill="auto"/>
                                </w:tcPr>
                                <w:p w14:paraId="586FD406" w14:textId="77777777" w:rsidR="00800EFA" w:rsidRPr="0055776F" w:rsidRDefault="00800EFA" w:rsidP="006F2202">
                                  <w:pPr>
                                    <w:rPr>
                                      <w:rFonts w:cs="Arial"/>
                                      <w:sz w:val="20"/>
                                    </w:rPr>
                                  </w:pPr>
                                  <w:r w:rsidRPr="0055776F">
                                    <w:rPr>
                                      <w:rFonts w:cs="Arial"/>
                                      <w:b/>
                                      <w:sz w:val="20"/>
                                    </w:rPr>
                                    <w:t>——</w:t>
                                  </w:r>
                                </w:p>
                              </w:tc>
                              <w:tc>
                                <w:tcPr>
                                  <w:tcW w:w="2464" w:type="dxa"/>
                                  <w:shd w:val="clear" w:color="auto" w:fill="auto"/>
                                </w:tcPr>
                                <w:p w14:paraId="586FD407" w14:textId="77777777" w:rsidR="00800EFA" w:rsidRPr="0055776F" w:rsidRDefault="00800EFA" w:rsidP="006F2202">
                                  <w:pPr>
                                    <w:rPr>
                                      <w:rFonts w:cs="Arial"/>
                                      <w:sz w:val="20"/>
                                    </w:rPr>
                                  </w:pPr>
                                  <w:r w:rsidRPr="0055776F">
                                    <w:rPr>
                                      <w:rFonts w:cs="Arial"/>
                                      <w:sz w:val="20"/>
                                    </w:rPr>
                                    <w:t xml:space="preserve">(1) </w:t>
                                  </w:r>
                                  <w:r>
                                    <w:rPr>
                                      <w:sz w:val="20"/>
                                    </w:rPr>
                                    <w:t>Imatinibi, 12 kk</w:t>
                                  </w:r>
                                  <w:r w:rsidRPr="0055776F">
                                    <w:rPr>
                                      <w:rFonts w:cs="Arial"/>
                                      <w:sz w:val="20"/>
                                    </w:rPr>
                                    <w:t>:</w:t>
                                  </w:r>
                                </w:p>
                              </w:tc>
                              <w:tc>
                                <w:tcPr>
                                  <w:tcW w:w="851" w:type="dxa"/>
                                  <w:tcBorders>
                                    <w:top w:val="single" w:sz="4" w:space="0" w:color="auto"/>
                                  </w:tcBorders>
                                  <w:shd w:val="clear" w:color="auto" w:fill="auto"/>
                                </w:tcPr>
                                <w:p w14:paraId="586FD408" w14:textId="77777777" w:rsidR="00800EFA" w:rsidRPr="0055776F" w:rsidRDefault="00800EFA" w:rsidP="006F2202">
                                  <w:pPr>
                                    <w:rPr>
                                      <w:rFonts w:cs="Arial"/>
                                      <w:sz w:val="20"/>
                                    </w:rPr>
                                  </w:pPr>
                                  <w:r w:rsidRPr="0055776F">
                                    <w:rPr>
                                      <w:rFonts w:cs="Arial"/>
                                      <w:sz w:val="20"/>
                                    </w:rPr>
                                    <w:t>199</w:t>
                                  </w:r>
                                </w:p>
                              </w:tc>
                              <w:tc>
                                <w:tcPr>
                                  <w:tcW w:w="709" w:type="dxa"/>
                                  <w:tcBorders>
                                    <w:top w:val="single" w:sz="4" w:space="0" w:color="auto"/>
                                  </w:tcBorders>
                                  <w:shd w:val="clear" w:color="auto" w:fill="auto"/>
                                </w:tcPr>
                                <w:p w14:paraId="586FD409" w14:textId="77777777" w:rsidR="00800EFA" w:rsidRPr="0055776F" w:rsidRDefault="00800EFA" w:rsidP="006F2202">
                                  <w:pPr>
                                    <w:rPr>
                                      <w:rFonts w:cs="Arial"/>
                                      <w:sz w:val="20"/>
                                    </w:rPr>
                                  </w:pPr>
                                  <w:r w:rsidRPr="0055776F">
                                    <w:rPr>
                                      <w:rFonts w:cs="Arial"/>
                                      <w:sz w:val="20"/>
                                    </w:rPr>
                                    <w:t>25</w:t>
                                  </w:r>
                                </w:p>
                              </w:tc>
                              <w:tc>
                                <w:tcPr>
                                  <w:tcW w:w="850" w:type="dxa"/>
                                  <w:tcBorders>
                                    <w:top w:val="single" w:sz="4" w:space="0" w:color="auto"/>
                                  </w:tcBorders>
                                  <w:shd w:val="clear" w:color="auto" w:fill="auto"/>
                                </w:tcPr>
                                <w:p w14:paraId="586FD40A" w14:textId="77777777" w:rsidR="00800EFA" w:rsidRPr="0055776F" w:rsidRDefault="00800EFA" w:rsidP="006F2202">
                                  <w:pPr>
                                    <w:rPr>
                                      <w:rFonts w:cs="Arial"/>
                                      <w:sz w:val="20"/>
                                    </w:rPr>
                                  </w:pPr>
                                  <w:r w:rsidRPr="0055776F">
                                    <w:rPr>
                                      <w:rFonts w:cs="Arial"/>
                                      <w:sz w:val="20"/>
                                    </w:rPr>
                                    <w:t>174</w:t>
                                  </w:r>
                                </w:p>
                              </w:tc>
                            </w:tr>
                            <w:tr w:rsidR="00800EFA" w:rsidRPr="0055776F" w14:paraId="586FD411" w14:textId="77777777" w:rsidTr="006F2202">
                              <w:tc>
                                <w:tcPr>
                                  <w:tcW w:w="817" w:type="dxa"/>
                                  <w:shd w:val="clear" w:color="auto" w:fill="auto"/>
                                </w:tcPr>
                                <w:p w14:paraId="586FD40C" w14:textId="77777777" w:rsidR="00800EFA" w:rsidRPr="0055776F" w:rsidRDefault="00800EFA" w:rsidP="006F2202">
                                  <w:pPr>
                                    <w:rPr>
                                      <w:rFonts w:cs="Arial"/>
                                      <w:sz w:val="20"/>
                                    </w:rPr>
                                  </w:pPr>
                                  <w:r w:rsidRPr="0055776F">
                                    <w:rPr>
                                      <w:rFonts w:cs="Arial"/>
                                      <w:sz w:val="20"/>
                                    </w:rPr>
                                    <w:t>-----</w:t>
                                  </w:r>
                                </w:p>
                              </w:tc>
                              <w:tc>
                                <w:tcPr>
                                  <w:tcW w:w="2464" w:type="dxa"/>
                                  <w:shd w:val="clear" w:color="auto" w:fill="auto"/>
                                </w:tcPr>
                                <w:p w14:paraId="586FD40D" w14:textId="77777777" w:rsidR="00800EFA" w:rsidRPr="0055776F" w:rsidRDefault="00800EFA" w:rsidP="006F2202">
                                  <w:pPr>
                                    <w:rPr>
                                      <w:rFonts w:cs="Arial"/>
                                      <w:sz w:val="20"/>
                                    </w:rPr>
                                  </w:pPr>
                                  <w:r w:rsidRPr="0055776F">
                                    <w:rPr>
                                      <w:rFonts w:cs="Arial"/>
                                      <w:sz w:val="20"/>
                                    </w:rPr>
                                    <w:t xml:space="preserve">(2) </w:t>
                                  </w:r>
                                  <w:r>
                                    <w:rPr>
                                      <w:sz w:val="20"/>
                                    </w:rPr>
                                    <w:t>Imatinibi, 36 kk</w:t>
                                  </w:r>
                                  <w:r w:rsidRPr="0055776F">
                                    <w:rPr>
                                      <w:rFonts w:cs="Arial"/>
                                      <w:sz w:val="20"/>
                                    </w:rPr>
                                    <w:t>:</w:t>
                                  </w:r>
                                </w:p>
                              </w:tc>
                              <w:tc>
                                <w:tcPr>
                                  <w:tcW w:w="851" w:type="dxa"/>
                                  <w:tcBorders>
                                    <w:bottom w:val="single" w:sz="4" w:space="0" w:color="auto"/>
                                  </w:tcBorders>
                                  <w:shd w:val="clear" w:color="auto" w:fill="auto"/>
                                </w:tcPr>
                                <w:p w14:paraId="586FD40E" w14:textId="77777777" w:rsidR="00800EFA" w:rsidRPr="0055776F" w:rsidRDefault="00800EFA" w:rsidP="006F2202">
                                  <w:pPr>
                                    <w:rPr>
                                      <w:rFonts w:cs="Arial"/>
                                      <w:sz w:val="20"/>
                                    </w:rPr>
                                  </w:pPr>
                                  <w:r w:rsidRPr="0055776F">
                                    <w:rPr>
                                      <w:rFonts w:cs="Arial"/>
                                      <w:sz w:val="20"/>
                                    </w:rPr>
                                    <w:t>198</w:t>
                                  </w:r>
                                </w:p>
                              </w:tc>
                              <w:tc>
                                <w:tcPr>
                                  <w:tcW w:w="709" w:type="dxa"/>
                                  <w:tcBorders>
                                    <w:bottom w:val="single" w:sz="4" w:space="0" w:color="auto"/>
                                  </w:tcBorders>
                                  <w:shd w:val="clear" w:color="auto" w:fill="auto"/>
                                </w:tcPr>
                                <w:p w14:paraId="586FD40F" w14:textId="77777777" w:rsidR="00800EFA" w:rsidRPr="0055776F" w:rsidRDefault="00800EFA" w:rsidP="006F2202">
                                  <w:pPr>
                                    <w:rPr>
                                      <w:rFonts w:cs="Arial"/>
                                      <w:sz w:val="20"/>
                                    </w:rPr>
                                  </w:pPr>
                                  <w:r w:rsidRPr="0055776F">
                                    <w:rPr>
                                      <w:rFonts w:cs="Arial"/>
                                      <w:sz w:val="20"/>
                                    </w:rPr>
                                    <w:t>12</w:t>
                                  </w:r>
                                </w:p>
                              </w:tc>
                              <w:tc>
                                <w:tcPr>
                                  <w:tcW w:w="850" w:type="dxa"/>
                                  <w:tcBorders>
                                    <w:bottom w:val="single" w:sz="4" w:space="0" w:color="auto"/>
                                  </w:tcBorders>
                                  <w:shd w:val="clear" w:color="auto" w:fill="auto"/>
                                </w:tcPr>
                                <w:p w14:paraId="586FD410" w14:textId="77777777" w:rsidR="00800EFA" w:rsidRPr="0055776F" w:rsidRDefault="00800EFA" w:rsidP="006F2202">
                                  <w:pPr>
                                    <w:rPr>
                                      <w:rFonts w:cs="Arial"/>
                                      <w:sz w:val="20"/>
                                    </w:rPr>
                                  </w:pPr>
                                  <w:r w:rsidRPr="0055776F">
                                    <w:rPr>
                                      <w:rFonts w:cs="Arial"/>
                                      <w:sz w:val="20"/>
                                    </w:rPr>
                                    <w:t>186</w:t>
                                  </w:r>
                                </w:p>
                              </w:tc>
                            </w:tr>
                            <w:tr w:rsidR="00800EFA" w:rsidRPr="0055776F" w14:paraId="586FD417" w14:textId="77777777" w:rsidTr="006F2202">
                              <w:tc>
                                <w:tcPr>
                                  <w:tcW w:w="817" w:type="dxa"/>
                                  <w:shd w:val="clear" w:color="auto" w:fill="auto"/>
                                </w:tcPr>
                                <w:p w14:paraId="586FD412" w14:textId="77777777" w:rsidR="00800EFA" w:rsidRPr="0055776F" w:rsidRDefault="00800EFA" w:rsidP="006F2202">
                                  <w:pPr>
                                    <w:rPr>
                                      <w:rFonts w:cs="Arial"/>
                                      <w:sz w:val="20"/>
                                    </w:rPr>
                                  </w:pPr>
                                  <w:r w:rsidRPr="0055776F">
                                    <w:rPr>
                                      <w:rFonts w:cs="Arial"/>
                                      <w:sz w:val="20"/>
                                    </w:rPr>
                                    <w:t>│││</w:t>
                                  </w:r>
                                </w:p>
                              </w:tc>
                              <w:tc>
                                <w:tcPr>
                                  <w:tcW w:w="2464" w:type="dxa"/>
                                  <w:shd w:val="clear" w:color="auto" w:fill="auto"/>
                                </w:tcPr>
                                <w:p w14:paraId="586FD413" w14:textId="77777777" w:rsidR="00800EFA" w:rsidRPr="0055776F" w:rsidRDefault="00800EFA" w:rsidP="006F2202">
                                  <w:pPr>
                                    <w:rPr>
                                      <w:rFonts w:cs="Arial"/>
                                      <w:sz w:val="20"/>
                                    </w:rPr>
                                  </w:pPr>
                                  <w:r>
                                    <w:rPr>
                                      <w:sz w:val="20"/>
                                    </w:rPr>
                                    <w:t>Rajatut havaintoarvot</w:t>
                                  </w:r>
                                </w:p>
                              </w:tc>
                              <w:tc>
                                <w:tcPr>
                                  <w:tcW w:w="851" w:type="dxa"/>
                                  <w:tcBorders>
                                    <w:top w:val="single" w:sz="4" w:space="0" w:color="auto"/>
                                  </w:tcBorders>
                                  <w:shd w:val="clear" w:color="auto" w:fill="auto"/>
                                </w:tcPr>
                                <w:p w14:paraId="586FD414" w14:textId="77777777" w:rsidR="00800EFA" w:rsidRPr="0055776F" w:rsidRDefault="00800EFA" w:rsidP="006F2202">
                                  <w:pPr>
                                    <w:rPr>
                                      <w:rFonts w:cs="Arial"/>
                                      <w:sz w:val="20"/>
                                    </w:rPr>
                                  </w:pPr>
                                </w:p>
                              </w:tc>
                              <w:tc>
                                <w:tcPr>
                                  <w:tcW w:w="709" w:type="dxa"/>
                                  <w:tcBorders>
                                    <w:top w:val="single" w:sz="4" w:space="0" w:color="auto"/>
                                  </w:tcBorders>
                                  <w:shd w:val="clear" w:color="auto" w:fill="auto"/>
                                </w:tcPr>
                                <w:p w14:paraId="586FD415" w14:textId="77777777" w:rsidR="00800EFA" w:rsidRPr="0055776F" w:rsidRDefault="00800EFA" w:rsidP="006F2202">
                                  <w:pPr>
                                    <w:rPr>
                                      <w:rFonts w:cs="Arial"/>
                                      <w:sz w:val="20"/>
                                    </w:rPr>
                                  </w:pPr>
                                </w:p>
                              </w:tc>
                              <w:tc>
                                <w:tcPr>
                                  <w:tcW w:w="850" w:type="dxa"/>
                                  <w:tcBorders>
                                    <w:top w:val="single" w:sz="4" w:space="0" w:color="auto"/>
                                  </w:tcBorders>
                                  <w:shd w:val="clear" w:color="auto" w:fill="auto"/>
                                </w:tcPr>
                                <w:p w14:paraId="586FD416" w14:textId="77777777" w:rsidR="00800EFA" w:rsidRPr="0055776F" w:rsidRDefault="00800EFA" w:rsidP="006F2202">
                                  <w:pPr>
                                    <w:rPr>
                                      <w:rFonts w:cs="Arial"/>
                                      <w:sz w:val="20"/>
                                    </w:rPr>
                                  </w:pPr>
                                </w:p>
                              </w:tc>
                            </w:tr>
                          </w:tbl>
                          <w:p w14:paraId="586FD418" w14:textId="77777777" w:rsidR="00800EFA" w:rsidRPr="00A33DBA" w:rsidRDefault="00800EFA" w:rsidP="009F2B12">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B4" id="_x0000_s1031" type="#_x0000_t202" style="position:absolute;margin-left:27.6pt;margin-top:74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" filled="f" stroked="f">
                <v:textbox>
                  <w:txbxContent>
                    <w:p w14:paraId="586FD3FB" w14:textId="77777777" w:rsidR="00800EFA" w:rsidRDefault="00800EFA" w:rsidP="00D43380">
                      <w:pPr>
                        <w:rPr>
                          <w:rFonts w:cs="Arial"/>
                          <w:sz w:val="20"/>
                        </w:rPr>
                      </w:pPr>
                    </w:p>
                    <w:tbl>
                      <w:tblPr>
                        <w:tblW w:w="0" w:type="auto"/>
                        <w:tblLook w:val="04A0" w:firstRow="1" w:lastRow="0" w:firstColumn="1" w:lastColumn="0" w:noHBand="0" w:noVBand="1"/>
                      </w:tblPr>
                      <w:tblGrid>
                        <w:gridCol w:w="817"/>
                        <w:gridCol w:w="2464"/>
                        <w:gridCol w:w="851"/>
                        <w:gridCol w:w="1284"/>
                        <w:gridCol w:w="850"/>
                      </w:tblGrid>
                      <w:tr w:rsidR="00800EFA" w:rsidRPr="0055776F" w14:paraId="586FD3FF" w14:textId="77777777" w:rsidTr="006F2202">
                        <w:tc>
                          <w:tcPr>
                            <w:tcW w:w="5691" w:type="dxa"/>
                            <w:gridSpan w:val="5"/>
                            <w:shd w:val="clear" w:color="auto" w:fill="auto"/>
                          </w:tcPr>
                          <w:p w14:paraId="586FD3FC" w14:textId="77777777" w:rsidR="00800EFA" w:rsidRPr="0055776F" w:rsidRDefault="00800EFA" w:rsidP="006F2202">
                            <w:pPr>
                              <w:rPr>
                                <w:rFonts w:cs="Arial"/>
                                <w:sz w:val="20"/>
                              </w:rPr>
                            </w:pPr>
                            <w:r>
                              <w:rPr>
                                <w:rFonts w:cs="Arial"/>
                                <w:sz w:val="20"/>
                              </w:rPr>
                              <w:t>P = 0,0</w:t>
                            </w:r>
                            <w:r w:rsidRPr="0055776F">
                              <w:rPr>
                                <w:rFonts w:cs="Arial"/>
                                <w:sz w:val="20"/>
                              </w:rPr>
                              <w:t>19</w:t>
                            </w:r>
                          </w:p>
                          <w:p w14:paraId="586FD3FD" w14:textId="77777777" w:rsidR="00800EFA" w:rsidRDefault="00800EFA" w:rsidP="009F5C42">
                            <w:pPr>
                              <w:rPr>
                                <w:rFonts w:cs="Arial"/>
                                <w:sz w:val="20"/>
                              </w:rPr>
                            </w:pPr>
                            <w:r>
                              <w:rPr>
                                <w:sz w:val="20"/>
                              </w:rPr>
                              <w:t>Riskisuhde 0,45</w:t>
                            </w:r>
                          </w:p>
                          <w:p w14:paraId="586FD3FE" w14:textId="77777777" w:rsidR="00800EFA" w:rsidRPr="0055776F" w:rsidRDefault="00800EFA" w:rsidP="009F5C42">
                            <w:pPr>
                              <w:rPr>
                                <w:rFonts w:cs="Arial"/>
                                <w:sz w:val="20"/>
                                <w:lang w:val="de-DE"/>
                              </w:rPr>
                            </w:pPr>
                            <w:r>
                              <w:rPr>
                                <w:sz w:val="20"/>
                              </w:rPr>
                              <w:t>(95 % luottamusväli 0,22</w:t>
                            </w:r>
                            <w:r>
                              <w:rPr>
                                <w:sz w:val="20"/>
                              </w:rPr>
                              <w:noBreakHyphen/>
                              <w:t>0,89)</w:t>
                            </w:r>
                          </w:p>
                        </w:tc>
                      </w:tr>
                      <w:tr w:rsidR="00800EFA" w:rsidRPr="0055776F" w14:paraId="586FD405" w14:textId="77777777" w:rsidTr="006F2202">
                        <w:tc>
                          <w:tcPr>
                            <w:tcW w:w="817" w:type="dxa"/>
                            <w:shd w:val="clear" w:color="auto" w:fill="auto"/>
                          </w:tcPr>
                          <w:p w14:paraId="586FD400" w14:textId="77777777" w:rsidR="00800EFA" w:rsidRPr="0055776F" w:rsidRDefault="00800EFA" w:rsidP="006F2202">
                            <w:pPr>
                              <w:rPr>
                                <w:rFonts w:cs="Arial"/>
                                <w:sz w:val="20"/>
                              </w:rPr>
                            </w:pPr>
                          </w:p>
                        </w:tc>
                        <w:tc>
                          <w:tcPr>
                            <w:tcW w:w="2464" w:type="dxa"/>
                            <w:shd w:val="clear" w:color="auto" w:fill="auto"/>
                          </w:tcPr>
                          <w:p w14:paraId="586FD401" w14:textId="77777777" w:rsidR="00800EFA" w:rsidRPr="0055776F" w:rsidRDefault="00800EFA" w:rsidP="006F2202">
                            <w:pPr>
                              <w:rPr>
                                <w:rFonts w:cs="Arial"/>
                                <w:sz w:val="20"/>
                              </w:rPr>
                            </w:pPr>
                          </w:p>
                        </w:tc>
                        <w:tc>
                          <w:tcPr>
                            <w:tcW w:w="851" w:type="dxa"/>
                            <w:tcBorders>
                              <w:bottom w:val="single" w:sz="4" w:space="0" w:color="auto"/>
                            </w:tcBorders>
                            <w:shd w:val="clear" w:color="auto" w:fill="auto"/>
                          </w:tcPr>
                          <w:p w14:paraId="586FD402" w14:textId="77777777" w:rsidR="00800EFA" w:rsidRPr="0055776F" w:rsidRDefault="00800EFA" w:rsidP="006F2202">
                            <w:pPr>
                              <w:rPr>
                                <w:rFonts w:cs="Arial"/>
                                <w:sz w:val="20"/>
                              </w:rPr>
                            </w:pPr>
                            <w:r w:rsidRPr="009F5C42">
                              <w:rPr>
                                <w:rFonts w:cs="Arial"/>
                                <w:sz w:val="20"/>
                                <w:lang w:val="de-DE"/>
                              </w:rPr>
                              <w:t>N</w:t>
                            </w:r>
                          </w:p>
                        </w:tc>
                        <w:tc>
                          <w:tcPr>
                            <w:tcW w:w="709" w:type="dxa"/>
                            <w:tcBorders>
                              <w:bottom w:val="single" w:sz="4" w:space="0" w:color="auto"/>
                            </w:tcBorders>
                            <w:shd w:val="clear" w:color="auto" w:fill="auto"/>
                          </w:tcPr>
                          <w:p w14:paraId="586FD403" w14:textId="77777777" w:rsidR="00800EFA" w:rsidRPr="0055776F" w:rsidRDefault="00800EFA" w:rsidP="006F2202">
                            <w:pPr>
                              <w:rPr>
                                <w:rFonts w:cs="Arial"/>
                                <w:sz w:val="20"/>
                              </w:rPr>
                            </w:pPr>
                            <w:r w:rsidRPr="009F5C42">
                              <w:rPr>
                                <w:sz w:val="20"/>
                              </w:rPr>
                              <w:t>Tapahtumat</w:t>
                            </w:r>
                          </w:p>
                        </w:tc>
                        <w:tc>
                          <w:tcPr>
                            <w:tcW w:w="850" w:type="dxa"/>
                            <w:tcBorders>
                              <w:bottom w:val="single" w:sz="4" w:space="0" w:color="auto"/>
                            </w:tcBorders>
                            <w:shd w:val="clear" w:color="auto" w:fill="auto"/>
                          </w:tcPr>
                          <w:p w14:paraId="586FD404" w14:textId="77777777" w:rsidR="00800EFA" w:rsidRPr="0055776F" w:rsidRDefault="00800EFA" w:rsidP="006F2202">
                            <w:pPr>
                              <w:rPr>
                                <w:rFonts w:cs="Arial"/>
                                <w:sz w:val="20"/>
                              </w:rPr>
                            </w:pPr>
                            <w:r w:rsidRPr="009F5C42">
                              <w:rPr>
                                <w:sz w:val="20"/>
                              </w:rPr>
                              <w:t>Rajatut</w:t>
                            </w:r>
                          </w:p>
                        </w:tc>
                      </w:tr>
                      <w:tr w:rsidR="00800EFA" w:rsidRPr="0055776F" w14:paraId="586FD40B" w14:textId="77777777" w:rsidTr="006F2202">
                        <w:tc>
                          <w:tcPr>
                            <w:tcW w:w="817" w:type="dxa"/>
                            <w:shd w:val="clear" w:color="auto" w:fill="auto"/>
                          </w:tcPr>
                          <w:p w14:paraId="586FD406" w14:textId="77777777" w:rsidR="00800EFA" w:rsidRPr="0055776F" w:rsidRDefault="00800EFA" w:rsidP="006F2202">
                            <w:pPr>
                              <w:rPr>
                                <w:rFonts w:cs="Arial"/>
                                <w:sz w:val="20"/>
                              </w:rPr>
                            </w:pPr>
                            <w:r w:rsidRPr="0055776F">
                              <w:rPr>
                                <w:rFonts w:cs="Arial"/>
                                <w:b/>
                                <w:sz w:val="20"/>
                              </w:rPr>
                              <w:t>——</w:t>
                            </w:r>
                          </w:p>
                        </w:tc>
                        <w:tc>
                          <w:tcPr>
                            <w:tcW w:w="2464" w:type="dxa"/>
                            <w:shd w:val="clear" w:color="auto" w:fill="auto"/>
                          </w:tcPr>
                          <w:p w14:paraId="586FD407" w14:textId="77777777" w:rsidR="00800EFA" w:rsidRPr="0055776F" w:rsidRDefault="00800EFA" w:rsidP="006F2202">
                            <w:pPr>
                              <w:rPr>
                                <w:rFonts w:cs="Arial"/>
                                <w:sz w:val="20"/>
                              </w:rPr>
                            </w:pPr>
                            <w:r w:rsidRPr="0055776F">
                              <w:rPr>
                                <w:rFonts w:cs="Arial"/>
                                <w:sz w:val="20"/>
                              </w:rPr>
                              <w:t xml:space="preserve">(1) </w:t>
                            </w:r>
                            <w:r>
                              <w:rPr>
                                <w:sz w:val="20"/>
                              </w:rPr>
                              <w:t>Imatinibi, 12 kk</w:t>
                            </w:r>
                            <w:r w:rsidRPr="0055776F">
                              <w:rPr>
                                <w:rFonts w:cs="Arial"/>
                                <w:sz w:val="20"/>
                              </w:rPr>
                              <w:t>:</w:t>
                            </w:r>
                          </w:p>
                        </w:tc>
                        <w:tc>
                          <w:tcPr>
                            <w:tcW w:w="851" w:type="dxa"/>
                            <w:tcBorders>
                              <w:top w:val="single" w:sz="4" w:space="0" w:color="auto"/>
                            </w:tcBorders>
                            <w:shd w:val="clear" w:color="auto" w:fill="auto"/>
                          </w:tcPr>
                          <w:p w14:paraId="586FD408" w14:textId="77777777" w:rsidR="00800EFA" w:rsidRPr="0055776F" w:rsidRDefault="00800EFA" w:rsidP="006F2202">
                            <w:pPr>
                              <w:rPr>
                                <w:rFonts w:cs="Arial"/>
                                <w:sz w:val="20"/>
                              </w:rPr>
                            </w:pPr>
                            <w:r w:rsidRPr="0055776F">
                              <w:rPr>
                                <w:rFonts w:cs="Arial"/>
                                <w:sz w:val="20"/>
                              </w:rPr>
                              <w:t>199</w:t>
                            </w:r>
                          </w:p>
                        </w:tc>
                        <w:tc>
                          <w:tcPr>
                            <w:tcW w:w="709" w:type="dxa"/>
                            <w:tcBorders>
                              <w:top w:val="single" w:sz="4" w:space="0" w:color="auto"/>
                            </w:tcBorders>
                            <w:shd w:val="clear" w:color="auto" w:fill="auto"/>
                          </w:tcPr>
                          <w:p w14:paraId="586FD409" w14:textId="77777777" w:rsidR="00800EFA" w:rsidRPr="0055776F" w:rsidRDefault="00800EFA" w:rsidP="006F2202">
                            <w:pPr>
                              <w:rPr>
                                <w:rFonts w:cs="Arial"/>
                                <w:sz w:val="20"/>
                              </w:rPr>
                            </w:pPr>
                            <w:r w:rsidRPr="0055776F">
                              <w:rPr>
                                <w:rFonts w:cs="Arial"/>
                                <w:sz w:val="20"/>
                              </w:rPr>
                              <w:t>25</w:t>
                            </w:r>
                          </w:p>
                        </w:tc>
                        <w:tc>
                          <w:tcPr>
                            <w:tcW w:w="850" w:type="dxa"/>
                            <w:tcBorders>
                              <w:top w:val="single" w:sz="4" w:space="0" w:color="auto"/>
                            </w:tcBorders>
                            <w:shd w:val="clear" w:color="auto" w:fill="auto"/>
                          </w:tcPr>
                          <w:p w14:paraId="586FD40A" w14:textId="77777777" w:rsidR="00800EFA" w:rsidRPr="0055776F" w:rsidRDefault="00800EFA" w:rsidP="006F2202">
                            <w:pPr>
                              <w:rPr>
                                <w:rFonts w:cs="Arial"/>
                                <w:sz w:val="20"/>
                              </w:rPr>
                            </w:pPr>
                            <w:r w:rsidRPr="0055776F">
                              <w:rPr>
                                <w:rFonts w:cs="Arial"/>
                                <w:sz w:val="20"/>
                              </w:rPr>
                              <w:t>174</w:t>
                            </w:r>
                          </w:p>
                        </w:tc>
                      </w:tr>
                      <w:tr w:rsidR="00800EFA" w:rsidRPr="0055776F" w14:paraId="586FD411" w14:textId="77777777" w:rsidTr="006F2202">
                        <w:tc>
                          <w:tcPr>
                            <w:tcW w:w="817" w:type="dxa"/>
                            <w:shd w:val="clear" w:color="auto" w:fill="auto"/>
                          </w:tcPr>
                          <w:p w14:paraId="586FD40C" w14:textId="77777777" w:rsidR="00800EFA" w:rsidRPr="0055776F" w:rsidRDefault="00800EFA" w:rsidP="006F2202">
                            <w:pPr>
                              <w:rPr>
                                <w:rFonts w:cs="Arial"/>
                                <w:sz w:val="20"/>
                              </w:rPr>
                            </w:pPr>
                            <w:r w:rsidRPr="0055776F">
                              <w:rPr>
                                <w:rFonts w:cs="Arial"/>
                                <w:sz w:val="20"/>
                              </w:rPr>
                              <w:t>-----</w:t>
                            </w:r>
                          </w:p>
                        </w:tc>
                        <w:tc>
                          <w:tcPr>
                            <w:tcW w:w="2464" w:type="dxa"/>
                            <w:shd w:val="clear" w:color="auto" w:fill="auto"/>
                          </w:tcPr>
                          <w:p w14:paraId="586FD40D" w14:textId="77777777" w:rsidR="00800EFA" w:rsidRPr="0055776F" w:rsidRDefault="00800EFA" w:rsidP="006F2202">
                            <w:pPr>
                              <w:rPr>
                                <w:rFonts w:cs="Arial"/>
                                <w:sz w:val="20"/>
                              </w:rPr>
                            </w:pPr>
                            <w:r w:rsidRPr="0055776F">
                              <w:rPr>
                                <w:rFonts w:cs="Arial"/>
                                <w:sz w:val="20"/>
                              </w:rPr>
                              <w:t xml:space="preserve">(2) </w:t>
                            </w:r>
                            <w:r>
                              <w:rPr>
                                <w:sz w:val="20"/>
                              </w:rPr>
                              <w:t>Imatinibi, 36 kk</w:t>
                            </w:r>
                            <w:r w:rsidRPr="0055776F">
                              <w:rPr>
                                <w:rFonts w:cs="Arial"/>
                                <w:sz w:val="20"/>
                              </w:rPr>
                              <w:t>:</w:t>
                            </w:r>
                          </w:p>
                        </w:tc>
                        <w:tc>
                          <w:tcPr>
                            <w:tcW w:w="851" w:type="dxa"/>
                            <w:tcBorders>
                              <w:bottom w:val="single" w:sz="4" w:space="0" w:color="auto"/>
                            </w:tcBorders>
                            <w:shd w:val="clear" w:color="auto" w:fill="auto"/>
                          </w:tcPr>
                          <w:p w14:paraId="586FD40E" w14:textId="77777777" w:rsidR="00800EFA" w:rsidRPr="0055776F" w:rsidRDefault="00800EFA" w:rsidP="006F2202">
                            <w:pPr>
                              <w:rPr>
                                <w:rFonts w:cs="Arial"/>
                                <w:sz w:val="20"/>
                              </w:rPr>
                            </w:pPr>
                            <w:r w:rsidRPr="0055776F">
                              <w:rPr>
                                <w:rFonts w:cs="Arial"/>
                                <w:sz w:val="20"/>
                              </w:rPr>
                              <w:t>198</w:t>
                            </w:r>
                          </w:p>
                        </w:tc>
                        <w:tc>
                          <w:tcPr>
                            <w:tcW w:w="709" w:type="dxa"/>
                            <w:tcBorders>
                              <w:bottom w:val="single" w:sz="4" w:space="0" w:color="auto"/>
                            </w:tcBorders>
                            <w:shd w:val="clear" w:color="auto" w:fill="auto"/>
                          </w:tcPr>
                          <w:p w14:paraId="586FD40F" w14:textId="77777777" w:rsidR="00800EFA" w:rsidRPr="0055776F" w:rsidRDefault="00800EFA" w:rsidP="006F2202">
                            <w:pPr>
                              <w:rPr>
                                <w:rFonts w:cs="Arial"/>
                                <w:sz w:val="20"/>
                              </w:rPr>
                            </w:pPr>
                            <w:r w:rsidRPr="0055776F">
                              <w:rPr>
                                <w:rFonts w:cs="Arial"/>
                                <w:sz w:val="20"/>
                              </w:rPr>
                              <w:t>12</w:t>
                            </w:r>
                          </w:p>
                        </w:tc>
                        <w:tc>
                          <w:tcPr>
                            <w:tcW w:w="850" w:type="dxa"/>
                            <w:tcBorders>
                              <w:bottom w:val="single" w:sz="4" w:space="0" w:color="auto"/>
                            </w:tcBorders>
                            <w:shd w:val="clear" w:color="auto" w:fill="auto"/>
                          </w:tcPr>
                          <w:p w14:paraId="586FD410" w14:textId="77777777" w:rsidR="00800EFA" w:rsidRPr="0055776F" w:rsidRDefault="00800EFA" w:rsidP="006F2202">
                            <w:pPr>
                              <w:rPr>
                                <w:rFonts w:cs="Arial"/>
                                <w:sz w:val="20"/>
                              </w:rPr>
                            </w:pPr>
                            <w:r w:rsidRPr="0055776F">
                              <w:rPr>
                                <w:rFonts w:cs="Arial"/>
                                <w:sz w:val="20"/>
                              </w:rPr>
                              <w:t>186</w:t>
                            </w:r>
                          </w:p>
                        </w:tc>
                      </w:tr>
                      <w:tr w:rsidR="00800EFA" w:rsidRPr="0055776F" w14:paraId="586FD417" w14:textId="77777777" w:rsidTr="006F2202">
                        <w:tc>
                          <w:tcPr>
                            <w:tcW w:w="817" w:type="dxa"/>
                            <w:shd w:val="clear" w:color="auto" w:fill="auto"/>
                          </w:tcPr>
                          <w:p w14:paraId="586FD412" w14:textId="77777777" w:rsidR="00800EFA" w:rsidRPr="0055776F" w:rsidRDefault="00800EFA" w:rsidP="006F2202">
                            <w:pPr>
                              <w:rPr>
                                <w:rFonts w:cs="Arial"/>
                                <w:sz w:val="20"/>
                              </w:rPr>
                            </w:pPr>
                            <w:r w:rsidRPr="0055776F">
                              <w:rPr>
                                <w:rFonts w:cs="Arial"/>
                                <w:sz w:val="20"/>
                              </w:rPr>
                              <w:t>│││</w:t>
                            </w:r>
                          </w:p>
                        </w:tc>
                        <w:tc>
                          <w:tcPr>
                            <w:tcW w:w="2464" w:type="dxa"/>
                            <w:shd w:val="clear" w:color="auto" w:fill="auto"/>
                          </w:tcPr>
                          <w:p w14:paraId="586FD413" w14:textId="77777777" w:rsidR="00800EFA" w:rsidRPr="0055776F" w:rsidRDefault="00800EFA" w:rsidP="006F2202">
                            <w:pPr>
                              <w:rPr>
                                <w:rFonts w:cs="Arial"/>
                                <w:sz w:val="20"/>
                              </w:rPr>
                            </w:pPr>
                            <w:r>
                              <w:rPr>
                                <w:sz w:val="20"/>
                              </w:rPr>
                              <w:t>Rajatut havaintoarvot</w:t>
                            </w:r>
                          </w:p>
                        </w:tc>
                        <w:tc>
                          <w:tcPr>
                            <w:tcW w:w="851" w:type="dxa"/>
                            <w:tcBorders>
                              <w:top w:val="single" w:sz="4" w:space="0" w:color="auto"/>
                            </w:tcBorders>
                            <w:shd w:val="clear" w:color="auto" w:fill="auto"/>
                          </w:tcPr>
                          <w:p w14:paraId="586FD414" w14:textId="77777777" w:rsidR="00800EFA" w:rsidRPr="0055776F" w:rsidRDefault="00800EFA" w:rsidP="006F2202">
                            <w:pPr>
                              <w:rPr>
                                <w:rFonts w:cs="Arial"/>
                                <w:sz w:val="20"/>
                              </w:rPr>
                            </w:pPr>
                          </w:p>
                        </w:tc>
                        <w:tc>
                          <w:tcPr>
                            <w:tcW w:w="709" w:type="dxa"/>
                            <w:tcBorders>
                              <w:top w:val="single" w:sz="4" w:space="0" w:color="auto"/>
                            </w:tcBorders>
                            <w:shd w:val="clear" w:color="auto" w:fill="auto"/>
                          </w:tcPr>
                          <w:p w14:paraId="586FD415" w14:textId="77777777" w:rsidR="00800EFA" w:rsidRPr="0055776F" w:rsidRDefault="00800EFA" w:rsidP="006F2202">
                            <w:pPr>
                              <w:rPr>
                                <w:rFonts w:cs="Arial"/>
                                <w:sz w:val="20"/>
                              </w:rPr>
                            </w:pPr>
                          </w:p>
                        </w:tc>
                        <w:tc>
                          <w:tcPr>
                            <w:tcW w:w="850" w:type="dxa"/>
                            <w:tcBorders>
                              <w:top w:val="single" w:sz="4" w:space="0" w:color="auto"/>
                            </w:tcBorders>
                            <w:shd w:val="clear" w:color="auto" w:fill="auto"/>
                          </w:tcPr>
                          <w:p w14:paraId="586FD416" w14:textId="77777777" w:rsidR="00800EFA" w:rsidRPr="0055776F" w:rsidRDefault="00800EFA" w:rsidP="006F2202">
                            <w:pPr>
                              <w:rPr>
                                <w:rFonts w:cs="Arial"/>
                                <w:sz w:val="20"/>
                              </w:rPr>
                            </w:pPr>
                          </w:p>
                        </w:tc>
                      </w:tr>
                    </w:tbl>
                    <w:p w14:paraId="586FD418" w14:textId="77777777" w:rsidR="00800EFA" w:rsidRPr="00A33DBA" w:rsidRDefault="00800EFA" w:rsidP="009F2B12">
                      <w:pPr>
                        <w:rPr>
                          <w:rFonts w:cs="Arial"/>
                          <w:sz w:val="20"/>
                        </w:rPr>
                      </w:pPr>
                    </w:p>
                  </w:txbxContent>
                </v:textbox>
              </v:shape>
            </w:pict>
          </mc:Fallback>
        </mc:AlternateContent>
      </w:r>
      <w:r w:rsidRPr="00D82973">
        <w:rPr>
          <w:noProof/>
          <w:lang w:val="en-US"/>
        </w:rPr>
        <w:drawing>
          <wp:inline distT="0" distB="0" distL="0" distR="0" wp14:anchorId="586FD3B6" wp14:editId="586FD3B7">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586FC3FE" w14:textId="77777777" w:rsidR="009F2B12" w:rsidRDefault="009F2B12" w:rsidP="009F2B12">
      <w:pPr>
        <w:pStyle w:val="EndnoteText"/>
        <w:widowControl w:val="0"/>
        <w:tabs>
          <w:tab w:val="clear" w:pos="567"/>
        </w:tabs>
        <w:rPr>
          <w:color w:val="000000"/>
          <w:szCs w:val="22"/>
          <w:lang w:val="fi-FI"/>
        </w:rPr>
      </w:pPr>
    </w:p>
    <w:p w14:paraId="586FC3FF" w14:textId="77777777" w:rsidR="009F2B12" w:rsidRPr="009F2B12" w:rsidRDefault="009F2B12" w:rsidP="009F2B12">
      <w:pPr>
        <w:rPr>
          <w:rFonts w:ascii="Times New Roman" w:hAnsi="Times New Roman"/>
          <w:noProof/>
          <w:sz w:val="22"/>
          <w:szCs w:val="22"/>
        </w:rPr>
      </w:pPr>
    </w:p>
    <w:tbl>
      <w:tblPr>
        <w:tblW w:w="10632" w:type="dxa"/>
        <w:tblInd w:w="-318" w:type="dxa"/>
        <w:tblLook w:val="04A0" w:firstRow="1" w:lastRow="0" w:firstColumn="1" w:lastColumn="0" w:noHBand="0" w:noVBand="1"/>
      </w:tblPr>
      <w:tblGrid>
        <w:gridCol w:w="461"/>
        <w:gridCol w:w="672"/>
        <w:gridCol w:w="672"/>
        <w:gridCol w:w="672"/>
        <w:gridCol w:w="672"/>
        <w:gridCol w:w="672"/>
        <w:gridCol w:w="783"/>
        <w:gridCol w:w="783"/>
        <w:gridCol w:w="783"/>
        <w:gridCol w:w="672"/>
        <w:gridCol w:w="672"/>
        <w:gridCol w:w="672"/>
        <w:gridCol w:w="672"/>
        <w:gridCol w:w="672"/>
        <w:gridCol w:w="561"/>
        <w:gridCol w:w="561"/>
      </w:tblGrid>
      <w:tr w:rsidR="009F2B12" w:rsidRPr="0055776F" w14:paraId="586FC401" w14:textId="77777777" w:rsidTr="00BE2219">
        <w:tc>
          <w:tcPr>
            <w:tcW w:w="10632" w:type="dxa"/>
            <w:gridSpan w:val="16"/>
            <w:shd w:val="clear" w:color="auto" w:fill="auto"/>
          </w:tcPr>
          <w:p w14:paraId="586FC400" w14:textId="77777777" w:rsidR="009F2B12" w:rsidRPr="0055776F" w:rsidRDefault="009F5C42" w:rsidP="00BE2219">
            <w:pPr>
              <w:ind w:left="-27"/>
              <w:rPr>
                <w:rFonts w:cs="Arial"/>
                <w:sz w:val="16"/>
                <w:szCs w:val="16"/>
              </w:rPr>
            </w:pPr>
            <w:r>
              <w:rPr>
                <w:sz w:val="20"/>
              </w:rPr>
              <w:t>Potilaita : Tapahtumia</w:t>
            </w:r>
          </w:p>
        </w:tc>
      </w:tr>
      <w:tr w:rsidR="009F2B12" w:rsidRPr="0055776F" w14:paraId="586FC412" w14:textId="77777777" w:rsidTr="00BE2219">
        <w:tc>
          <w:tcPr>
            <w:tcW w:w="450" w:type="dxa"/>
            <w:shd w:val="clear" w:color="auto" w:fill="auto"/>
          </w:tcPr>
          <w:p w14:paraId="586FC402" w14:textId="77777777" w:rsidR="009F2B12" w:rsidRPr="0055776F" w:rsidRDefault="009F2B12" w:rsidP="00BE2219">
            <w:pPr>
              <w:rPr>
                <w:sz w:val="20"/>
              </w:rPr>
            </w:pPr>
            <w:r w:rsidRPr="0055776F">
              <w:rPr>
                <w:sz w:val="20"/>
              </w:rPr>
              <w:t>(1)</w:t>
            </w:r>
          </w:p>
        </w:tc>
        <w:tc>
          <w:tcPr>
            <w:tcW w:w="691" w:type="dxa"/>
            <w:shd w:val="clear" w:color="auto" w:fill="auto"/>
          </w:tcPr>
          <w:p w14:paraId="586FC403" w14:textId="77777777" w:rsidR="009F2B12" w:rsidRPr="0055776F" w:rsidRDefault="009F2B12" w:rsidP="00BE2219">
            <w:pPr>
              <w:ind w:left="-45"/>
              <w:rPr>
                <w:sz w:val="20"/>
              </w:rPr>
            </w:pPr>
            <w:r w:rsidRPr="0055776F">
              <w:rPr>
                <w:sz w:val="20"/>
              </w:rPr>
              <w:t>199:0</w:t>
            </w:r>
          </w:p>
        </w:tc>
        <w:tc>
          <w:tcPr>
            <w:tcW w:w="672" w:type="dxa"/>
            <w:shd w:val="clear" w:color="auto" w:fill="auto"/>
          </w:tcPr>
          <w:p w14:paraId="586FC404" w14:textId="77777777" w:rsidR="009F2B12" w:rsidRPr="0055776F" w:rsidRDefault="009F2B12" w:rsidP="00BE2219">
            <w:pPr>
              <w:ind w:left="-45"/>
              <w:rPr>
                <w:sz w:val="20"/>
              </w:rPr>
            </w:pPr>
            <w:r w:rsidRPr="0055776F">
              <w:rPr>
                <w:sz w:val="20"/>
              </w:rPr>
              <w:t>190:2</w:t>
            </w:r>
          </w:p>
        </w:tc>
        <w:tc>
          <w:tcPr>
            <w:tcW w:w="714" w:type="dxa"/>
            <w:shd w:val="clear" w:color="auto" w:fill="auto"/>
          </w:tcPr>
          <w:p w14:paraId="586FC405" w14:textId="77777777" w:rsidR="009F2B12" w:rsidRPr="0055776F" w:rsidRDefault="009F2B12" w:rsidP="00BE2219">
            <w:pPr>
              <w:ind w:left="-45"/>
              <w:rPr>
                <w:sz w:val="20"/>
              </w:rPr>
            </w:pPr>
            <w:r w:rsidRPr="0055776F">
              <w:rPr>
                <w:sz w:val="20"/>
              </w:rPr>
              <w:t>188:2</w:t>
            </w:r>
          </w:p>
        </w:tc>
        <w:tc>
          <w:tcPr>
            <w:tcW w:w="722" w:type="dxa"/>
            <w:shd w:val="clear" w:color="auto" w:fill="auto"/>
          </w:tcPr>
          <w:p w14:paraId="586FC406" w14:textId="77777777" w:rsidR="009F2B12" w:rsidRPr="0055776F" w:rsidRDefault="009F2B12" w:rsidP="00BE2219">
            <w:pPr>
              <w:ind w:left="-45"/>
              <w:rPr>
                <w:sz w:val="20"/>
              </w:rPr>
            </w:pPr>
            <w:r w:rsidRPr="0055776F">
              <w:rPr>
                <w:sz w:val="20"/>
              </w:rPr>
              <w:t>183:6</w:t>
            </w:r>
          </w:p>
        </w:tc>
        <w:tc>
          <w:tcPr>
            <w:tcW w:w="694" w:type="dxa"/>
            <w:shd w:val="clear" w:color="auto" w:fill="auto"/>
          </w:tcPr>
          <w:p w14:paraId="586FC407" w14:textId="77777777" w:rsidR="009F2B12" w:rsidRPr="0055776F" w:rsidRDefault="009F2B12" w:rsidP="00BE2219">
            <w:pPr>
              <w:ind w:left="-45"/>
              <w:rPr>
                <w:sz w:val="20"/>
              </w:rPr>
            </w:pPr>
            <w:r w:rsidRPr="0055776F">
              <w:rPr>
                <w:sz w:val="20"/>
              </w:rPr>
              <w:t>176:8</w:t>
            </w:r>
          </w:p>
        </w:tc>
        <w:tc>
          <w:tcPr>
            <w:tcW w:w="772" w:type="dxa"/>
            <w:shd w:val="clear" w:color="auto" w:fill="auto"/>
          </w:tcPr>
          <w:p w14:paraId="586FC408" w14:textId="77777777" w:rsidR="009F2B12" w:rsidRPr="0055776F" w:rsidRDefault="009F2B12" w:rsidP="00BE2219">
            <w:pPr>
              <w:ind w:left="-45"/>
              <w:rPr>
                <w:sz w:val="20"/>
              </w:rPr>
            </w:pPr>
            <w:r w:rsidRPr="0055776F">
              <w:rPr>
                <w:sz w:val="20"/>
              </w:rPr>
              <w:t>156:10</w:t>
            </w:r>
          </w:p>
        </w:tc>
        <w:tc>
          <w:tcPr>
            <w:tcW w:w="782" w:type="dxa"/>
            <w:shd w:val="clear" w:color="auto" w:fill="auto"/>
          </w:tcPr>
          <w:p w14:paraId="586FC409" w14:textId="77777777" w:rsidR="009F2B12" w:rsidRPr="0055776F" w:rsidRDefault="009F2B12" w:rsidP="00BE2219">
            <w:pPr>
              <w:ind w:left="-45"/>
              <w:rPr>
                <w:sz w:val="20"/>
              </w:rPr>
            </w:pPr>
            <w:r w:rsidRPr="0055776F">
              <w:rPr>
                <w:sz w:val="20"/>
              </w:rPr>
              <w:t>140:11</w:t>
            </w:r>
          </w:p>
        </w:tc>
        <w:tc>
          <w:tcPr>
            <w:tcW w:w="798" w:type="dxa"/>
            <w:shd w:val="clear" w:color="auto" w:fill="auto"/>
          </w:tcPr>
          <w:p w14:paraId="586FC40A" w14:textId="77777777" w:rsidR="009F2B12" w:rsidRPr="0055776F" w:rsidRDefault="009F2B12" w:rsidP="00BE2219">
            <w:pPr>
              <w:ind w:left="-45"/>
              <w:rPr>
                <w:sz w:val="20"/>
              </w:rPr>
            </w:pPr>
            <w:r w:rsidRPr="0055776F">
              <w:rPr>
                <w:sz w:val="20"/>
              </w:rPr>
              <w:t>105:14</w:t>
            </w:r>
          </w:p>
        </w:tc>
        <w:tc>
          <w:tcPr>
            <w:tcW w:w="654" w:type="dxa"/>
            <w:shd w:val="clear" w:color="auto" w:fill="auto"/>
          </w:tcPr>
          <w:p w14:paraId="586FC40B" w14:textId="77777777" w:rsidR="009F2B12" w:rsidRPr="0055776F" w:rsidRDefault="009F2B12" w:rsidP="00BE2219">
            <w:pPr>
              <w:ind w:left="-45"/>
              <w:rPr>
                <w:sz w:val="20"/>
              </w:rPr>
            </w:pPr>
            <w:r w:rsidRPr="0055776F">
              <w:rPr>
                <w:sz w:val="20"/>
              </w:rPr>
              <w:t>87:18</w:t>
            </w:r>
          </w:p>
        </w:tc>
        <w:tc>
          <w:tcPr>
            <w:tcW w:w="630" w:type="dxa"/>
            <w:shd w:val="clear" w:color="auto" w:fill="auto"/>
          </w:tcPr>
          <w:p w14:paraId="586FC40C" w14:textId="77777777" w:rsidR="009F2B12" w:rsidRPr="0055776F" w:rsidRDefault="009F2B12" w:rsidP="00BE2219">
            <w:pPr>
              <w:ind w:left="-45"/>
              <w:rPr>
                <w:sz w:val="20"/>
              </w:rPr>
            </w:pPr>
            <w:r w:rsidRPr="0055776F">
              <w:rPr>
                <w:sz w:val="20"/>
              </w:rPr>
              <w:t>64:22</w:t>
            </w:r>
          </w:p>
        </w:tc>
        <w:tc>
          <w:tcPr>
            <w:tcW w:w="644" w:type="dxa"/>
            <w:shd w:val="clear" w:color="auto" w:fill="auto"/>
          </w:tcPr>
          <w:p w14:paraId="586FC40D" w14:textId="77777777" w:rsidR="009F2B12" w:rsidRPr="0055776F" w:rsidRDefault="009F2B12" w:rsidP="00BE2219">
            <w:pPr>
              <w:ind w:left="-45"/>
              <w:rPr>
                <w:sz w:val="20"/>
              </w:rPr>
            </w:pPr>
            <w:r w:rsidRPr="0055776F">
              <w:rPr>
                <w:sz w:val="20"/>
              </w:rPr>
              <w:t>46:23</w:t>
            </w:r>
          </w:p>
        </w:tc>
        <w:tc>
          <w:tcPr>
            <w:tcW w:w="672" w:type="dxa"/>
            <w:shd w:val="clear" w:color="auto" w:fill="auto"/>
          </w:tcPr>
          <w:p w14:paraId="586FC40E" w14:textId="77777777" w:rsidR="009F2B12" w:rsidRPr="0055776F" w:rsidRDefault="009F2B12" w:rsidP="00BE2219">
            <w:pPr>
              <w:ind w:left="-45"/>
              <w:rPr>
                <w:sz w:val="20"/>
              </w:rPr>
            </w:pPr>
            <w:r w:rsidRPr="0055776F">
              <w:rPr>
                <w:sz w:val="20"/>
              </w:rPr>
              <w:t>27:25</w:t>
            </w:r>
          </w:p>
        </w:tc>
        <w:tc>
          <w:tcPr>
            <w:tcW w:w="686" w:type="dxa"/>
            <w:shd w:val="clear" w:color="auto" w:fill="auto"/>
          </w:tcPr>
          <w:p w14:paraId="586FC40F" w14:textId="77777777" w:rsidR="009F2B12" w:rsidRPr="0055776F" w:rsidRDefault="009F2B12" w:rsidP="00BE2219">
            <w:pPr>
              <w:ind w:left="-45"/>
              <w:rPr>
                <w:sz w:val="20"/>
              </w:rPr>
            </w:pPr>
            <w:r w:rsidRPr="0055776F">
              <w:rPr>
                <w:sz w:val="20"/>
              </w:rPr>
              <w:t>20:25</w:t>
            </w:r>
          </w:p>
        </w:tc>
        <w:tc>
          <w:tcPr>
            <w:tcW w:w="560" w:type="dxa"/>
            <w:shd w:val="clear" w:color="auto" w:fill="auto"/>
          </w:tcPr>
          <w:p w14:paraId="586FC410" w14:textId="77777777" w:rsidR="009F2B12" w:rsidRPr="0055776F" w:rsidRDefault="009F2B12" w:rsidP="00BE2219">
            <w:pPr>
              <w:ind w:left="-45"/>
              <w:rPr>
                <w:sz w:val="20"/>
              </w:rPr>
            </w:pPr>
            <w:r w:rsidRPr="0055776F">
              <w:rPr>
                <w:sz w:val="20"/>
              </w:rPr>
              <w:t>2:25</w:t>
            </w:r>
          </w:p>
        </w:tc>
        <w:tc>
          <w:tcPr>
            <w:tcW w:w="491" w:type="dxa"/>
            <w:shd w:val="clear" w:color="auto" w:fill="auto"/>
          </w:tcPr>
          <w:p w14:paraId="586FC411" w14:textId="77777777" w:rsidR="009F2B12" w:rsidRPr="0055776F" w:rsidRDefault="009F2B12" w:rsidP="00BE2219">
            <w:pPr>
              <w:ind w:left="-45"/>
              <w:rPr>
                <w:sz w:val="20"/>
              </w:rPr>
            </w:pPr>
            <w:r w:rsidRPr="0055776F">
              <w:rPr>
                <w:sz w:val="20"/>
              </w:rPr>
              <w:t>0:25</w:t>
            </w:r>
          </w:p>
        </w:tc>
      </w:tr>
      <w:tr w:rsidR="009F2B12" w:rsidRPr="0055776F" w14:paraId="586FC423" w14:textId="77777777" w:rsidTr="00BE2219">
        <w:tc>
          <w:tcPr>
            <w:tcW w:w="450" w:type="dxa"/>
            <w:shd w:val="clear" w:color="auto" w:fill="auto"/>
          </w:tcPr>
          <w:p w14:paraId="586FC413" w14:textId="77777777" w:rsidR="009F2B12" w:rsidRPr="0055776F" w:rsidRDefault="009F2B12" w:rsidP="00BE2219">
            <w:pPr>
              <w:rPr>
                <w:sz w:val="20"/>
              </w:rPr>
            </w:pPr>
            <w:r w:rsidRPr="0055776F">
              <w:rPr>
                <w:sz w:val="20"/>
              </w:rPr>
              <w:t>(2)</w:t>
            </w:r>
          </w:p>
        </w:tc>
        <w:tc>
          <w:tcPr>
            <w:tcW w:w="691" w:type="dxa"/>
            <w:shd w:val="clear" w:color="auto" w:fill="auto"/>
          </w:tcPr>
          <w:p w14:paraId="586FC414" w14:textId="77777777" w:rsidR="009F2B12" w:rsidRPr="0055776F" w:rsidRDefault="009F2B12" w:rsidP="00BE2219">
            <w:pPr>
              <w:ind w:left="-45"/>
              <w:rPr>
                <w:sz w:val="20"/>
              </w:rPr>
            </w:pPr>
            <w:r w:rsidRPr="0055776F">
              <w:rPr>
                <w:sz w:val="20"/>
              </w:rPr>
              <w:t>198:0</w:t>
            </w:r>
          </w:p>
        </w:tc>
        <w:tc>
          <w:tcPr>
            <w:tcW w:w="672" w:type="dxa"/>
            <w:shd w:val="clear" w:color="auto" w:fill="auto"/>
          </w:tcPr>
          <w:p w14:paraId="586FC415" w14:textId="77777777" w:rsidR="009F2B12" w:rsidRPr="0055776F" w:rsidRDefault="009F2B12" w:rsidP="00BE2219">
            <w:pPr>
              <w:ind w:left="-45"/>
              <w:rPr>
                <w:sz w:val="20"/>
              </w:rPr>
            </w:pPr>
            <w:r w:rsidRPr="0055776F">
              <w:rPr>
                <w:sz w:val="20"/>
              </w:rPr>
              <w:t>196:0</w:t>
            </w:r>
          </w:p>
        </w:tc>
        <w:tc>
          <w:tcPr>
            <w:tcW w:w="714" w:type="dxa"/>
            <w:shd w:val="clear" w:color="auto" w:fill="auto"/>
          </w:tcPr>
          <w:p w14:paraId="586FC416" w14:textId="77777777" w:rsidR="009F2B12" w:rsidRPr="0055776F" w:rsidRDefault="009F2B12" w:rsidP="00BE2219">
            <w:pPr>
              <w:ind w:left="-45"/>
              <w:rPr>
                <w:sz w:val="20"/>
              </w:rPr>
            </w:pPr>
            <w:r w:rsidRPr="0055776F">
              <w:rPr>
                <w:sz w:val="20"/>
              </w:rPr>
              <w:t>192:0</w:t>
            </w:r>
          </w:p>
        </w:tc>
        <w:tc>
          <w:tcPr>
            <w:tcW w:w="722" w:type="dxa"/>
            <w:shd w:val="clear" w:color="auto" w:fill="auto"/>
          </w:tcPr>
          <w:p w14:paraId="586FC417" w14:textId="77777777" w:rsidR="009F2B12" w:rsidRPr="0055776F" w:rsidRDefault="009F2B12" w:rsidP="00BE2219">
            <w:pPr>
              <w:ind w:left="-45"/>
              <w:rPr>
                <w:sz w:val="20"/>
              </w:rPr>
            </w:pPr>
            <w:r w:rsidRPr="0055776F">
              <w:rPr>
                <w:sz w:val="20"/>
              </w:rPr>
              <w:t>187:4</w:t>
            </w:r>
          </w:p>
        </w:tc>
        <w:tc>
          <w:tcPr>
            <w:tcW w:w="694" w:type="dxa"/>
            <w:shd w:val="clear" w:color="auto" w:fill="auto"/>
          </w:tcPr>
          <w:p w14:paraId="586FC418" w14:textId="77777777" w:rsidR="009F2B12" w:rsidRPr="0055776F" w:rsidRDefault="009F2B12" w:rsidP="00BE2219">
            <w:pPr>
              <w:ind w:left="-45"/>
              <w:rPr>
                <w:sz w:val="20"/>
              </w:rPr>
            </w:pPr>
            <w:r w:rsidRPr="0055776F">
              <w:rPr>
                <w:sz w:val="20"/>
              </w:rPr>
              <w:t>184:5</w:t>
            </w:r>
          </w:p>
        </w:tc>
        <w:tc>
          <w:tcPr>
            <w:tcW w:w="772" w:type="dxa"/>
            <w:shd w:val="clear" w:color="auto" w:fill="auto"/>
          </w:tcPr>
          <w:p w14:paraId="586FC419" w14:textId="77777777" w:rsidR="009F2B12" w:rsidRPr="0055776F" w:rsidRDefault="009F2B12" w:rsidP="00BE2219">
            <w:pPr>
              <w:ind w:left="-45"/>
              <w:rPr>
                <w:sz w:val="20"/>
              </w:rPr>
            </w:pPr>
            <w:r w:rsidRPr="0055776F">
              <w:rPr>
                <w:sz w:val="20"/>
              </w:rPr>
              <w:t>164:7</w:t>
            </w:r>
          </w:p>
        </w:tc>
        <w:tc>
          <w:tcPr>
            <w:tcW w:w="782" w:type="dxa"/>
            <w:shd w:val="clear" w:color="auto" w:fill="auto"/>
          </w:tcPr>
          <w:p w14:paraId="586FC41A" w14:textId="77777777" w:rsidR="009F2B12" w:rsidRPr="0055776F" w:rsidRDefault="009F2B12" w:rsidP="00BE2219">
            <w:pPr>
              <w:ind w:left="-45"/>
              <w:rPr>
                <w:sz w:val="20"/>
              </w:rPr>
            </w:pPr>
            <w:r w:rsidRPr="0055776F">
              <w:rPr>
                <w:sz w:val="20"/>
              </w:rPr>
              <w:t>152:7</w:t>
            </w:r>
          </w:p>
        </w:tc>
        <w:tc>
          <w:tcPr>
            <w:tcW w:w="798" w:type="dxa"/>
            <w:shd w:val="clear" w:color="auto" w:fill="auto"/>
          </w:tcPr>
          <w:p w14:paraId="586FC41B" w14:textId="77777777" w:rsidR="009F2B12" w:rsidRPr="0055776F" w:rsidRDefault="009F2B12" w:rsidP="00BE2219">
            <w:pPr>
              <w:ind w:left="-45"/>
              <w:rPr>
                <w:sz w:val="20"/>
              </w:rPr>
            </w:pPr>
            <w:r w:rsidRPr="0055776F">
              <w:rPr>
                <w:sz w:val="20"/>
              </w:rPr>
              <w:t>119:8</w:t>
            </w:r>
          </w:p>
        </w:tc>
        <w:tc>
          <w:tcPr>
            <w:tcW w:w="654" w:type="dxa"/>
            <w:shd w:val="clear" w:color="auto" w:fill="auto"/>
          </w:tcPr>
          <w:p w14:paraId="586FC41C" w14:textId="77777777" w:rsidR="009F2B12" w:rsidRPr="0055776F" w:rsidRDefault="009F2B12" w:rsidP="00BE2219">
            <w:pPr>
              <w:ind w:left="-45"/>
              <w:rPr>
                <w:sz w:val="20"/>
              </w:rPr>
            </w:pPr>
            <w:r w:rsidRPr="0055776F">
              <w:rPr>
                <w:sz w:val="20"/>
              </w:rPr>
              <w:t>100:8</w:t>
            </w:r>
          </w:p>
        </w:tc>
        <w:tc>
          <w:tcPr>
            <w:tcW w:w="630" w:type="dxa"/>
            <w:shd w:val="clear" w:color="auto" w:fill="auto"/>
          </w:tcPr>
          <w:p w14:paraId="586FC41D" w14:textId="77777777" w:rsidR="009F2B12" w:rsidRPr="0055776F" w:rsidRDefault="009F2B12" w:rsidP="00BE2219">
            <w:pPr>
              <w:ind w:left="-45"/>
              <w:rPr>
                <w:sz w:val="20"/>
              </w:rPr>
            </w:pPr>
            <w:r w:rsidRPr="0055776F">
              <w:rPr>
                <w:sz w:val="20"/>
              </w:rPr>
              <w:t>76:10</w:t>
            </w:r>
          </w:p>
        </w:tc>
        <w:tc>
          <w:tcPr>
            <w:tcW w:w="644" w:type="dxa"/>
            <w:shd w:val="clear" w:color="auto" w:fill="auto"/>
          </w:tcPr>
          <w:p w14:paraId="586FC41E" w14:textId="77777777" w:rsidR="009F2B12" w:rsidRPr="0055776F" w:rsidRDefault="009F2B12" w:rsidP="00BE2219">
            <w:pPr>
              <w:ind w:left="-45"/>
              <w:rPr>
                <w:sz w:val="20"/>
              </w:rPr>
            </w:pPr>
            <w:r w:rsidRPr="0055776F">
              <w:rPr>
                <w:sz w:val="20"/>
              </w:rPr>
              <w:t>56:11</w:t>
            </w:r>
          </w:p>
        </w:tc>
        <w:tc>
          <w:tcPr>
            <w:tcW w:w="672" w:type="dxa"/>
            <w:shd w:val="clear" w:color="auto" w:fill="auto"/>
          </w:tcPr>
          <w:p w14:paraId="586FC41F" w14:textId="77777777" w:rsidR="009F2B12" w:rsidRPr="0055776F" w:rsidRDefault="009F2B12" w:rsidP="00BE2219">
            <w:pPr>
              <w:ind w:left="-45"/>
              <w:rPr>
                <w:sz w:val="20"/>
              </w:rPr>
            </w:pPr>
            <w:r w:rsidRPr="0055776F">
              <w:rPr>
                <w:sz w:val="20"/>
              </w:rPr>
              <w:t>31:11</w:t>
            </w:r>
          </w:p>
        </w:tc>
        <w:tc>
          <w:tcPr>
            <w:tcW w:w="686" w:type="dxa"/>
            <w:shd w:val="clear" w:color="auto" w:fill="auto"/>
          </w:tcPr>
          <w:p w14:paraId="586FC420" w14:textId="77777777" w:rsidR="009F2B12" w:rsidRPr="0055776F" w:rsidRDefault="009F2B12" w:rsidP="00BE2219">
            <w:pPr>
              <w:ind w:left="-45"/>
              <w:rPr>
                <w:sz w:val="20"/>
              </w:rPr>
            </w:pPr>
            <w:r w:rsidRPr="0055776F">
              <w:rPr>
                <w:sz w:val="20"/>
              </w:rPr>
              <w:t>13:12</w:t>
            </w:r>
          </w:p>
        </w:tc>
        <w:tc>
          <w:tcPr>
            <w:tcW w:w="560" w:type="dxa"/>
            <w:shd w:val="clear" w:color="auto" w:fill="auto"/>
          </w:tcPr>
          <w:p w14:paraId="586FC421" w14:textId="77777777" w:rsidR="009F2B12" w:rsidRPr="0055776F" w:rsidRDefault="00141E4B" w:rsidP="00BE2219">
            <w:pPr>
              <w:ind w:left="-45"/>
              <w:rPr>
                <w:sz w:val="20"/>
              </w:rPr>
            </w:pPr>
            <w:r>
              <w:rPr>
                <w:sz w:val="20"/>
              </w:rPr>
              <w:t>0</w:t>
            </w:r>
            <w:r w:rsidR="009F2B12" w:rsidRPr="0055776F">
              <w:rPr>
                <w:sz w:val="20"/>
              </w:rPr>
              <w:t>:12</w:t>
            </w:r>
          </w:p>
        </w:tc>
        <w:tc>
          <w:tcPr>
            <w:tcW w:w="491" w:type="dxa"/>
            <w:shd w:val="clear" w:color="auto" w:fill="auto"/>
          </w:tcPr>
          <w:p w14:paraId="586FC422" w14:textId="77777777" w:rsidR="009F2B12" w:rsidRPr="0055776F" w:rsidRDefault="009F2B12" w:rsidP="00BE2219">
            <w:pPr>
              <w:ind w:left="-45"/>
              <w:rPr>
                <w:sz w:val="20"/>
              </w:rPr>
            </w:pPr>
          </w:p>
        </w:tc>
      </w:tr>
    </w:tbl>
    <w:p w14:paraId="586FC424" w14:textId="77777777" w:rsidR="00A627D5" w:rsidRDefault="00A627D5" w:rsidP="00A627D5">
      <w:pPr>
        <w:pStyle w:val="EndnoteText"/>
        <w:widowControl w:val="0"/>
        <w:tabs>
          <w:tab w:val="clear" w:pos="567"/>
        </w:tabs>
        <w:rPr>
          <w:color w:val="000000"/>
          <w:szCs w:val="22"/>
          <w:lang w:val="fi-FI"/>
        </w:rPr>
      </w:pPr>
    </w:p>
    <w:p w14:paraId="586FC425" w14:textId="77777777" w:rsidR="001E6A99" w:rsidRDefault="005E4D97" w:rsidP="00A627D5">
      <w:pPr>
        <w:pStyle w:val="EndnoteText"/>
        <w:widowControl w:val="0"/>
        <w:tabs>
          <w:tab w:val="clear" w:pos="567"/>
        </w:tabs>
        <w:rPr>
          <w:color w:val="000000"/>
          <w:szCs w:val="22"/>
          <w:lang w:val="fi-FI"/>
        </w:rPr>
      </w:pPr>
      <w:r>
        <w:rPr>
          <w:color w:val="000000"/>
          <w:szCs w:val="22"/>
          <w:lang w:val="fi-FI"/>
        </w:rPr>
        <w:t>C</w:t>
      </w:r>
      <w:r w:rsidR="001E6A99">
        <w:rPr>
          <w:color w:val="000000"/>
          <w:szCs w:val="22"/>
          <w:lang w:val="fi-FI"/>
        </w:rPr>
        <w:t xml:space="preserve">-Kit-positiivista </w:t>
      </w:r>
      <w:r w:rsidR="00D931A4" w:rsidRPr="00D931A4">
        <w:rPr>
          <w:szCs w:val="22"/>
          <w:lang w:val="fi-FI"/>
        </w:rPr>
        <w:t xml:space="preserve">ruuansulatuskanavan stroomakasvainta </w:t>
      </w:r>
      <w:r w:rsidR="001E6A99">
        <w:rPr>
          <w:color w:val="000000"/>
          <w:szCs w:val="22"/>
          <w:lang w:val="fi-FI"/>
        </w:rPr>
        <w:t xml:space="preserve">sairastavilla </w:t>
      </w:r>
      <w:r w:rsidR="00D931A4">
        <w:rPr>
          <w:color w:val="000000"/>
          <w:szCs w:val="22"/>
          <w:lang w:val="fi-FI"/>
        </w:rPr>
        <w:t>pediatrisilla potilailla</w:t>
      </w:r>
      <w:r w:rsidRPr="005E4D97">
        <w:rPr>
          <w:color w:val="000000"/>
          <w:szCs w:val="22"/>
          <w:lang w:val="fi-FI"/>
        </w:rPr>
        <w:t xml:space="preserve"> </w:t>
      </w:r>
      <w:r>
        <w:rPr>
          <w:color w:val="000000"/>
          <w:szCs w:val="22"/>
          <w:lang w:val="fi-FI"/>
        </w:rPr>
        <w:t>ei ole tehty kontrolloituja tutkimuksia</w:t>
      </w:r>
      <w:r w:rsidR="001E6A99">
        <w:rPr>
          <w:color w:val="000000"/>
          <w:szCs w:val="22"/>
          <w:lang w:val="fi-FI"/>
        </w:rPr>
        <w:t>. Seitsemässä eri julkaisussa on raportoitu 17</w:t>
      </w:r>
      <w:r w:rsidR="00264B7F">
        <w:rPr>
          <w:color w:val="000000"/>
          <w:szCs w:val="22"/>
          <w:lang w:val="fi-FI"/>
        </w:rPr>
        <w:t xml:space="preserve"> </w:t>
      </w:r>
      <w:r w:rsidR="001E6A99">
        <w:rPr>
          <w:color w:val="000000"/>
          <w:szCs w:val="22"/>
          <w:lang w:val="fi-FI"/>
        </w:rPr>
        <w:t>GIST:iä (Kit- ja PDGFR-mutaatioiden kera tai ilman) sairastavaa potilaasta.</w:t>
      </w:r>
      <w:r w:rsidR="00264B7F">
        <w:rPr>
          <w:color w:val="000000"/>
          <w:szCs w:val="22"/>
          <w:lang w:val="fi-FI"/>
        </w:rPr>
        <w:t xml:space="preserve"> Nä</w:t>
      </w:r>
      <w:r w:rsidR="00B34196">
        <w:rPr>
          <w:color w:val="000000"/>
          <w:szCs w:val="22"/>
          <w:lang w:val="fi-FI"/>
        </w:rPr>
        <w:t>mä</w:t>
      </w:r>
      <w:r w:rsidR="00264B7F">
        <w:rPr>
          <w:color w:val="000000"/>
          <w:szCs w:val="22"/>
          <w:lang w:val="fi-FI"/>
        </w:rPr>
        <w:t xml:space="preserve"> potilaat</w:t>
      </w:r>
      <w:r w:rsidR="00B34196">
        <w:rPr>
          <w:color w:val="000000"/>
          <w:szCs w:val="22"/>
          <w:lang w:val="fi-FI"/>
        </w:rPr>
        <w:t xml:space="preserve"> olivat 8</w:t>
      </w:r>
      <w:r w:rsidR="008755B6">
        <w:rPr>
          <w:color w:val="000000"/>
          <w:szCs w:val="22"/>
          <w:lang w:val="fi-FI"/>
        </w:rPr>
        <w:noBreakHyphen/>
      </w:r>
      <w:r w:rsidR="00B34196">
        <w:rPr>
          <w:color w:val="000000"/>
          <w:szCs w:val="22"/>
          <w:lang w:val="fi-FI"/>
        </w:rPr>
        <w:t>18-vuotiaita</w:t>
      </w:r>
      <w:r w:rsidR="00264B7F">
        <w:rPr>
          <w:color w:val="000000"/>
          <w:szCs w:val="22"/>
          <w:lang w:val="fi-FI"/>
        </w:rPr>
        <w:t xml:space="preserve"> ja imatinibia annettiin sekä </w:t>
      </w:r>
      <w:r w:rsidR="000B7E36">
        <w:rPr>
          <w:color w:val="000000"/>
          <w:szCs w:val="22"/>
          <w:lang w:val="fi-FI"/>
        </w:rPr>
        <w:t>liitännäishoitona että metastasoituneen taudin hoidossa. Annokset vaihtelivat välillä 300</w:t>
      </w:r>
      <w:r w:rsidR="00BC3CFC">
        <w:rPr>
          <w:color w:val="000000"/>
          <w:szCs w:val="22"/>
          <w:lang w:val="fi-FI"/>
        </w:rPr>
        <w:noBreakHyphen/>
      </w:r>
      <w:r w:rsidR="000B7E36">
        <w:rPr>
          <w:color w:val="000000"/>
          <w:szCs w:val="22"/>
          <w:lang w:val="fi-FI"/>
        </w:rPr>
        <w:t xml:space="preserve">800 mg/vrk. Suurimmassa osassa tapauksista pediatrisilta GIST-potilailta puuttuivat tiedot c-Kit- tai PDGFR-mutaatiostatuksesta, mikä saattoi </w:t>
      </w:r>
      <w:r w:rsidR="00DE56FC">
        <w:rPr>
          <w:color w:val="000000"/>
          <w:szCs w:val="22"/>
          <w:lang w:val="fi-FI"/>
        </w:rPr>
        <w:t>olla vaihtelevien kliinisten hoitotulosten syynä</w:t>
      </w:r>
      <w:r w:rsidR="000B7E36">
        <w:rPr>
          <w:color w:val="000000"/>
          <w:szCs w:val="22"/>
          <w:lang w:val="fi-FI"/>
        </w:rPr>
        <w:t>.</w:t>
      </w:r>
    </w:p>
    <w:p w14:paraId="586FC426" w14:textId="77777777" w:rsidR="000B7E36" w:rsidRPr="00912A5D" w:rsidRDefault="000B7E36" w:rsidP="00A627D5">
      <w:pPr>
        <w:pStyle w:val="EndnoteText"/>
        <w:widowControl w:val="0"/>
        <w:tabs>
          <w:tab w:val="clear" w:pos="567"/>
        </w:tabs>
        <w:rPr>
          <w:color w:val="000000"/>
          <w:szCs w:val="22"/>
          <w:lang w:val="fi-FI"/>
        </w:rPr>
      </w:pPr>
    </w:p>
    <w:p w14:paraId="586FC427" w14:textId="77777777" w:rsidR="00AE3698" w:rsidRPr="00912A5D" w:rsidRDefault="00AE3698" w:rsidP="00F71263">
      <w:pPr>
        <w:pStyle w:val="EndnoteText"/>
        <w:keepNext/>
        <w:widowControl w:val="0"/>
        <w:tabs>
          <w:tab w:val="clear" w:pos="567"/>
        </w:tabs>
        <w:rPr>
          <w:color w:val="000000"/>
          <w:szCs w:val="22"/>
          <w:u w:val="single"/>
          <w:lang w:val="fi-FI"/>
        </w:rPr>
      </w:pPr>
      <w:r w:rsidRPr="00912A5D">
        <w:rPr>
          <w:color w:val="000000"/>
          <w:szCs w:val="22"/>
          <w:u w:val="single"/>
          <w:lang w:val="fi-FI"/>
        </w:rPr>
        <w:lastRenderedPageBreak/>
        <w:t>Kliiniset tutkimukset dermatofibrosarcoma protuberansin (DFSP) hoidossa</w:t>
      </w:r>
    </w:p>
    <w:p w14:paraId="586FC428" w14:textId="77777777" w:rsidR="00AE3698" w:rsidRDefault="00AE3698">
      <w:pPr>
        <w:pStyle w:val="EndnoteText"/>
        <w:widowControl w:val="0"/>
        <w:tabs>
          <w:tab w:val="clear" w:pos="567"/>
        </w:tabs>
        <w:rPr>
          <w:color w:val="000000"/>
          <w:szCs w:val="22"/>
          <w:lang w:val="fi-FI" w:eastAsia="ja-JP"/>
        </w:rPr>
      </w:pPr>
      <w:r w:rsidRPr="00912A5D">
        <w:rPr>
          <w:color w:val="000000"/>
          <w:szCs w:val="22"/>
          <w:lang w:val="fi-FI"/>
        </w:rPr>
        <w:t>Vaiheen II avoimeen kliiniseen monikeskustutkimukseen (tutkimus B2225) osallistui 12 potilasta, joilla oli dermatofibrosarcoma protuberans (DFSP) ja jotka saivat Glivec-valmistetta annoksella 800 mg/vrk. DFSP-potilaiden ikä oli 23</w:t>
      </w:r>
      <w:r w:rsidRPr="00912A5D">
        <w:rPr>
          <w:color w:val="000000"/>
          <w:szCs w:val="22"/>
          <w:lang w:val="fi-FI"/>
        </w:rPr>
        <w:noBreakHyphen/>
        <w:t xml:space="preserve">75 vuotta; sairaus oli metastaattinen ja uusiutunut paikallisesti alkuvaiheen resektioleikkauksen jälkeen, eikä soveltunut uuteen resektioleikkaukseen tutkimukseenottoajankohtana. Hoidon vaikutusta arvioitiin ensisijaisesti objektiivisten vasteprosenttien perusteella. Yhdeksällä tutkimukseen otetuista 12 potilaasta saavutettiin vaste (1 täydellinen ja 8 osittaista vastetta). Kolme osittaisen vasteen saavuttanutta potilasta parantui myöhemmin kokonaan leikkauksella. B2225-tutkimuksessa hoidon keston mediaani oli 6,2 kk ja pisin hoitoaika 24,3 kk. Viidessä julkaistussa tapauskertomuksessaselostuksessa on kuvattu kuusi muuta Glivec-hoitoa saanutta DFSP-potilaasta, joiden ikävaihtelu oli 18 kuukaudesta 49 vuoteen. Kirjallisuudessa mainitut aikuispotilaat saivat joko 400 mg (4 potilasta) tai 800 mg (1 potilas) Glivec-valmistetta päivässä. Viidellä </w:t>
      </w:r>
      <w:r w:rsidR="00375291">
        <w:rPr>
          <w:color w:val="000000"/>
          <w:szCs w:val="22"/>
          <w:lang w:val="fi-FI"/>
        </w:rPr>
        <w:t xml:space="preserve">(5) </w:t>
      </w:r>
      <w:r w:rsidRPr="00912A5D">
        <w:rPr>
          <w:color w:val="000000"/>
          <w:szCs w:val="22"/>
          <w:lang w:val="fi-FI"/>
        </w:rPr>
        <w:t xml:space="preserve">potilaalla saavutettiin vaste (3 täydellistä ja 2 osittaista vastetta). Julkaistussa kirjallisuudessa hoidon keston mediaani vaihteli 4 viikosta yli 20 kuukauteen. Lähes kaikilla potilailla, joilla saavutettiin vaste Glivec-hoitoon, oli translokaatio </w:t>
      </w:r>
      <w:r w:rsidRPr="00912A5D">
        <w:rPr>
          <w:color w:val="000000"/>
          <w:szCs w:val="22"/>
          <w:lang w:val="fi-FI" w:eastAsia="ja-JP"/>
        </w:rPr>
        <w:t>t(17:22)[(q22:q13)] tai sen geenituotetta.</w:t>
      </w:r>
    </w:p>
    <w:p w14:paraId="586FC429" w14:textId="77777777" w:rsidR="005A317A" w:rsidRDefault="005A317A">
      <w:pPr>
        <w:pStyle w:val="EndnoteText"/>
        <w:widowControl w:val="0"/>
        <w:tabs>
          <w:tab w:val="clear" w:pos="567"/>
        </w:tabs>
        <w:rPr>
          <w:color w:val="000000"/>
          <w:szCs w:val="22"/>
          <w:lang w:val="fi-FI" w:eastAsia="ja-JP"/>
        </w:rPr>
      </w:pPr>
    </w:p>
    <w:p w14:paraId="586FC42A" w14:textId="77777777" w:rsidR="005A317A" w:rsidRPr="00E91375" w:rsidRDefault="00572650">
      <w:pPr>
        <w:pStyle w:val="EndnoteText"/>
        <w:widowControl w:val="0"/>
        <w:tabs>
          <w:tab w:val="clear" w:pos="567"/>
        </w:tabs>
        <w:rPr>
          <w:color w:val="000000"/>
          <w:szCs w:val="22"/>
          <w:lang w:val="fi-FI" w:eastAsia="ja-JP"/>
        </w:rPr>
      </w:pPr>
      <w:r>
        <w:rPr>
          <w:color w:val="000000"/>
          <w:szCs w:val="22"/>
          <w:lang w:val="fi-FI"/>
        </w:rPr>
        <w:t>D</w:t>
      </w:r>
      <w:r w:rsidRPr="00E91375">
        <w:rPr>
          <w:color w:val="000000"/>
          <w:szCs w:val="22"/>
          <w:lang w:val="fi-FI"/>
        </w:rPr>
        <w:t>ermatofibrosarcoma protuberansia sairastavilla pediatrisilla potilailla</w:t>
      </w:r>
      <w:r w:rsidRPr="0052155D">
        <w:rPr>
          <w:color w:val="000000"/>
          <w:szCs w:val="22"/>
          <w:lang w:val="fi-FI"/>
        </w:rPr>
        <w:t xml:space="preserve"> </w:t>
      </w:r>
      <w:r>
        <w:rPr>
          <w:color w:val="000000"/>
          <w:szCs w:val="22"/>
          <w:lang w:val="fi-FI"/>
        </w:rPr>
        <w:t>ei ole tehty k</w:t>
      </w:r>
      <w:r w:rsidRPr="00E91375">
        <w:rPr>
          <w:color w:val="000000"/>
          <w:szCs w:val="22"/>
          <w:lang w:val="fi-FI"/>
        </w:rPr>
        <w:t>ontrolloituja tutkimuksia. Kolmessa julkaisussa on raportoitu vii</w:t>
      </w:r>
      <w:r>
        <w:rPr>
          <w:color w:val="000000"/>
          <w:szCs w:val="22"/>
          <w:lang w:val="fi-FI"/>
        </w:rPr>
        <w:t>si</w:t>
      </w:r>
      <w:r w:rsidRPr="00E91375">
        <w:rPr>
          <w:color w:val="000000"/>
          <w:szCs w:val="22"/>
          <w:lang w:val="fi-FI"/>
        </w:rPr>
        <w:t xml:space="preserve"> potilasta, jo</w:t>
      </w:r>
      <w:r>
        <w:rPr>
          <w:color w:val="000000"/>
          <w:szCs w:val="22"/>
          <w:lang w:val="fi-FI"/>
        </w:rPr>
        <w:t xml:space="preserve">illa oli </w:t>
      </w:r>
      <w:r w:rsidRPr="00E91375">
        <w:rPr>
          <w:color w:val="000000"/>
          <w:szCs w:val="22"/>
          <w:lang w:val="fi-FI"/>
        </w:rPr>
        <w:t>DFSP ja siihen liittyvä</w:t>
      </w:r>
      <w:r>
        <w:rPr>
          <w:color w:val="000000"/>
          <w:szCs w:val="22"/>
          <w:lang w:val="fi-FI"/>
        </w:rPr>
        <w:t xml:space="preserve"> </w:t>
      </w:r>
      <w:r w:rsidRPr="00E91375">
        <w:rPr>
          <w:color w:val="000000"/>
          <w:szCs w:val="22"/>
          <w:lang w:val="fi-FI"/>
        </w:rPr>
        <w:t>PDGFR</w:t>
      </w:r>
      <w:r>
        <w:rPr>
          <w:color w:val="000000"/>
          <w:szCs w:val="22"/>
          <w:lang w:val="fi-FI"/>
        </w:rPr>
        <w:t>-geenin</w:t>
      </w:r>
      <w:r w:rsidRPr="00E91375">
        <w:rPr>
          <w:color w:val="000000"/>
          <w:szCs w:val="22"/>
          <w:lang w:val="fi-FI"/>
        </w:rPr>
        <w:t xml:space="preserve"> uudelleenjärjestäytymi</w:t>
      </w:r>
      <w:r>
        <w:rPr>
          <w:color w:val="000000"/>
          <w:szCs w:val="22"/>
          <w:lang w:val="fi-FI"/>
        </w:rPr>
        <w:t>nen</w:t>
      </w:r>
      <w:r w:rsidRPr="00E91375">
        <w:rPr>
          <w:color w:val="000000"/>
          <w:szCs w:val="22"/>
          <w:lang w:val="fi-FI"/>
        </w:rPr>
        <w:t>. Näiden potilaiden iät vaihtelivat vastasyntyneestä neljä</w:t>
      </w:r>
      <w:r>
        <w:rPr>
          <w:color w:val="000000"/>
          <w:szCs w:val="22"/>
          <w:lang w:val="fi-FI"/>
        </w:rPr>
        <w:t>ä</w:t>
      </w:r>
      <w:r w:rsidRPr="00E91375">
        <w:rPr>
          <w:color w:val="000000"/>
          <w:szCs w:val="22"/>
          <w:lang w:val="fi-FI"/>
        </w:rPr>
        <w:t>ntoista vuo</w:t>
      </w:r>
      <w:r>
        <w:rPr>
          <w:color w:val="000000"/>
          <w:szCs w:val="22"/>
          <w:lang w:val="fi-FI"/>
        </w:rPr>
        <w:t>teen</w:t>
      </w:r>
      <w:r w:rsidRPr="00E91375">
        <w:rPr>
          <w:color w:val="000000"/>
          <w:szCs w:val="22"/>
          <w:lang w:val="fi-FI"/>
        </w:rPr>
        <w:t xml:space="preserve">. Imatinibia annettiin </w:t>
      </w:r>
      <w:r>
        <w:rPr>
          <w:color w:val="000000"/>
          <w:szCs w:val="22"/>
          <w:lang w:val="fi-FI"/>
        </w:rPr>
        <w:t xml:space="preserve">annoksin </w:t>
      </w:r>
      <w:r w:rsidR="00F620F6" w:rsidRPr="00E91375">
        <w:rPr>
          <w:color w:val="000000"/>
          <w:szCs w:val="22"/>
          <w:lang w:val="fi-FI"/>
        </w:rPr>
        <w:t xml:space="preserve">50 mg/vrk </w:t>
      </w:r>
      <w:r w:rsidR="00F620F6">
        <w:rPr>
          <w:color w:val="000000"/>
          <w:szCs w:val="22"/>
          <w:lang w:val="fi-FI"/>
        </w:rPr>
        <w:t xml:space="preserve">tai </w:t>
      </w:r>
      <w:r w:rsidRPr="00E91375">
        <w:rPr>
          <w:color w:val="000000"/>
          <w:szCs w:val="22"/>
          <w:lang w:val="fi-FI"/>
        </w:rPr>
        <w:t>400</w:t>
      </w:r>
      <w:r w:rsidR="00BC3CFC">
        <w:rPr>
          <w:color w:val="000000"/>
          <w:szCs w:val="22"/>
          <w:lang w:val="fi-FI"/>
        </w:rPr>
        <w:noBreakHyphen/>
      </w:r>
      <w:r w:rsidRPr="00E91375">
        <w:rPr>
          <w:color w:val="000000"/>
          <w:szCs w:val="22"/>
          <w:lang w:val="fi-FI"/>
        </w:rPr>
        <w:t>520 mg/m</w:t>
      </w:r>
      <w:r w:rsidRPr="00E91375">
        <w:rPr>
          <w:color w:val="000000"/>
          <w:szCs w:val="22"/>
          <w:vertAlign w:val="superscript"/>
          <w:lang w:val="fi-FI"/>
        </w:rPr>
        <w:t>2</w:t>
      </w:r>
      <w:r w:rsidRPr="00E91375">
        <w:rPr>
          <w:color w:val="000000"/>
          <w:szCs w:val="22"/>
          <w:lang w:val="fi-FI"/>
        </w:rPr>
        <w:t>/vrk. Kaikki potilaat saavuttivat osittaisen ja/tai täydellisen vasteen.</w:t>
      </w:r>
    </w:p>
    <w:p w14:paraId="586FC42B" w14:textId="77777777" w:rsidR="00AE3698" w:rsidRPr="00912A5D" w:rsidRDefault="00AE3698">
      <w:pPr>
        <w:pStyle w:val="EndnoteText"/>
        <w:widowControl w:val="0"/>
        <w:tabs>
          <w:tab w:val="clear" w:pos="567"/>
        </w:tabs>
        <w:rPr>
          <w:color w:val="000000"/>
          <w:szCs w:val="22"/>
          <w:lang w:val="fi-FI"/>
        </w:rPr>
      </w:pPr>
    </w:p>
    <w:p w14:paraId="586FC42C" w14:textId="77777777" w:rsidR="00AE3698" w:rsidRPr="00912A5D" w:rsidRDefault="00AE3698" w:rsidP="00F71263">
      <w:pPr>
        <w:keepNext/>
        <w:widowControl w:val="0"/>
        <w:ind w:left="567" w:hanging="567"/>
        <w:rPr>
          <w:rFonts w:ascii="Times New Roman" w:hAnsi="Times New Roman"/>
          <w:b/>
          <w:sz w:val="22"/>
          <w:szCs w:val="22"/>
        </w:rPr>
      </w:pPr>
      <w:r w:rsidRPr="00912A5D">
        <w:rPr>
          <w:rFonts w:ascii="Times New Roman" w:hAnsi="Times New Roman"/>
          <w:b/>
          <w:sz w:val="22"/>
          <w:szCs w:val="22"/>
        </w:rPr>
        <w:t>5.2</w:t>
      </w:r>
      <w:r w:rsidRPr="00912A5D">
        <w:rPr>
          <w:rFonts w:ascii="Times New Roman" w:hAnsi="Times New Roman"/>
          <w:b/>
          <w:sz w:val="22"/>
          <w:szCs w:val="22"/>
        </w:rPr>
        <w:tab/>
        <w:t>Farmakokinetiikka</w:t>
      </w:r>
    </w:p>
    <w:p w14:paraId="586FC42D" w14:textId="77777777" w:rsidR="00AE3698" w:rsidRPr="00912A5D" w:rsidRDefault="00AE3698" w:rsidP="00F71263">
      <w:pPr>
        <w:pStyle w:val="EndnoteText"/>
        <w:keepNext/>
        <w:widowControl w:val="0"/>
        <w:tabs>
          <w:tab w:val="clear" w:pos="567"/>
        </w:tabs>
        <w:rPr>
          <w:color w:val="000000"/>
          <w:szCs w:val="22"/>
          <w:lang w:val="fi-FI"/>
        </w:rPr>
      </w:pPr>
    </w:p>
    <w:p w14:paraId="586FC42E" w14:textId="77777777" w:rsidR="00AE3698" w:rsidRPr="00912A5D" w:rsidRDefault="00AE3698" w:rsidP="00F71263">
      <w:pPr>
        <w:pStyle w:val="EndnoteText"/>
        <w:keepNext/>
        <w:widowControl w:val="0"/>
        <w:tabs>
          <w:tab w:val="clear" w:pos="567"/>
        </w:tabs>
        <w:rPr>
          <w:color w:val="000000"/>
          <w:szCs w:val="22"/>
          <w:u w:val="single"/>
          <w:lang w:val="fi-FI"/>
        </w:rPr>
      </w:pPr>
      <w:r w:rsidRPr="00912A5D">
        <w:rPr>
          <w:color w:val="000000"/>
          <w:szCs w:val="22"/>
          <w:u w:val="single"/>
          <w:lang w:val="fi-FI"/>
        </w:rPr>
        <w:t>Glivecin farmakokinetiikka</w:t>
      </w:r>
    </w:p>
    <w:p w14:paraId="586FC42F"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Glivecin farmakokinetiikkaa on arvioitu 25–1 000 mg:n annoksilla. Plasman farmakokineettiset profiilit analysoitiin ensimmäisenä päivänä sekä päivänä 7 tai 28, johon mennessä plasman pitoisuudet olivat saavuttaneet vakaan tilan.</w:t>
      </w:r>
    </w:p>
    <w:p w14:paraId="586FC430" w14:textId="77777777" w:rsidR="00AE3698" w:rsidRPr="00912A5D" w:rsidRDefault="00AE3698">
      <w:pPr>
        <w:pStyle w:val="EndnoteText"/>
        <w:widowControl w:val="0"/>
        <w:tabs>
          <w:tab w:val="clear" w:pos="567"/>
        </w:tabs>
        <w:rPr>
          <w:color w:val="000000"/>
          <w:szCs w:val="22"/>
          <w:lang w:val="fi-FI"/>
        </w:rPr>
      </w:pPr>
    </w:p>
    <w:p w14:paraId="586FC431"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u w:val="single"/>
          <w:lang w:val="fi-FI"/>
        </w:rPr>
        <w:t>Imeytyminen</w:t>
      </w:r>
    </w:p>
    <w:p w14:paraId="586FC432"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Kapselilääkemuodon absoluuttinen biologinen keskimääräinen hyötyosuus on 98 %. Imatinibin plasman AUC-arvot vaihtelevat paljon potilaiden välillä, kun lääkettä otetaan suun kautta. Kun imatinibi otetaan rasvaisen aterian kera, imeytyminen heikkeni vain vähän (C</w:t>
      </w:r>
      <w:r w:rsidRPr="00912A5D">
        <w:rPr>
          <w:color w:val="000000"/>
          <w:szCs w:val="22"/>
          <w:vertAlign w:val="subscript"/>
          <w:lang w:val="fi-FI"/>
        </w:rPr>
        <w:t>max</w:t>
      </w:r>
      <w:r w:rsidRPr="00912A5D">
        <w:rPr>
          <w:color w:val="000000"/>
          <w:szCs w:val="22"/>
          <w:lang w:val="fi-FI"/>
        </w:rPr>
        <w:t xml:space="preserve"> väheni 11 % ja t</w:t>
      </w:r>
      <w:r w:rsidRPr="00912A5D">
        <w:rPr>
          <w:color w:val="000000"/>
          <w:szCs w:val="22"/>
          <w:vertAlign w:val="subscript"/>
          <w:lang w:val="fi-FI"/>
        </w:rPr>
        <w:t>max</w:t>
      </w:r>
      <w:r w:rsidRPr="00912A5D">
        <w:rPr>
          <w:color w:val="000000"/>
          <w:szCs w:val="22"/>
          <w:lang w:val="fi-FI"/>
        </w:rPr>
        <w:t xml:space="preserve"> piteni 1,5 h) ja AUC väheni hieman (7,4 %), verrattuna paasto-olosuhteisiin. Aikaisemman ruuansulatuskanavan leikkauksen vaikutusta lääkkeen imeytymiseen ei ole tutkittu.</w:t>
      </w:r>
    </w:p>
    <w:p w14:paraId="586FC433" w14:textId="77777777" w:rsidR="00AE3698" w:rsidRPr="00912A5D" w:rsidRDefault="00AE3698">
      <w:pPr>
        <w:pStyle w:val="EndnoteText"/>
        <w:widowControl w:val="0"/>
        <w:tabs>
          <w:tab w:val="clear" w:pos="567"/>
        </w:tabs>
        <w:rPr>
          <w:color w:val="000000"/>
          <w:szCs w:val="22"/>
          <w:lang w:val="fi-FI"/>
        </w:rPr>
      </w:pPr>
    </w:p>
    <w:p w14:paraId="586FC434"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u w:val="single"/>
          <w:lang w:val="fi-FI"/>
        </w:rPr>
        <w:t>Jakautuminen</w:t>
      </w:r>
    </w:p>
    <w:p w14:paraId="586FC435"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Kliinisesti merkittävällä konsentraatiolla imatinibi sitoutui plasman proteiineihin 95 %:sesti </w:t>
      </w:r>
      <w:r w:rsidRPr="00912A5D">
        <w:rPr>
          <w:i/>
          <w:color w:val="000000"/>
          <w:szCs w:val="22"/>
          <w:lang w:val="fi-FI"/>
        </w:rPr>
        <w:t>in vitro</w:t>
      </w:r>
      <w:r w:rsidRPr="00912A5D">
        <w:rPr>
          <w:color w:val="000000"/>
          <w:szCs w:val="22"/>
          <w:lang w:val="fi-FI"/>
        </w:rPr>
        <w:t xml:space="preserve"> -tutkimuksen perusteella, lähinnä albumiiniin ja alfa-happo-glykoproteiiniin ja vähäisessä määrin lipoproteiiniin.</w:t>
      </w:r>
    </w:p>
    <w:p w14:paraId="586FC436" w14:textId="77777777" w:rsidR="00AE3698" w:rsidRPr="00912A5D" w:rsidRDefault="00AE3698">
      <w:pPr>
        <w:pStyle w:val="EndnoteText"/>
        <w:widowControl w:val="0"/>
        <w:tabs>
          <w:tab w:val="clear" w:pos="567"/>
        </w:tabs>
        <w:rPr>
          <w:color w:val="000000"/>
          <w:szCs w:val="22"/>
          <w:lang w:val="fi-FI"/>
        </w:rPr>
      </w:pPr>
    </w:p>
    <w:p w14:paraId="586FC437" w14:textId="77777777" w:rsidR="00AE3698" w:rsidRPr="00912A5D" w:rsidRDefault="008D728B" w:rsidP="00F71263">
      <w:pPr>
        <w:pStyle w:val="EndnoteText"/>
        <w:keepNext/>
        <w:widowControl w:val="0"/>
        <w:tabs>
          <w:tab w:val="clear" w:pos="567"/>
        </w:tabs>
        <w:rPr>
          <w:color w:val="000000"/>
          <w:szCs w:val="22"/>
          <w:lang w:val="fi-FI"/>
        </w:rPr>
      </w:pPr>
      <w:r>
        <w:rPr>
          <w:color w:val="000000"/>
          <w:szCs w:val="22"/>
          <w:u w:val="single"/>
          <w:lang w:val="fi-FI"/>
        </w:rPr>
        <w:t>Biotransformaatio</w:t>
      </w:r>
    </w:p>
    <w:p w14:paraId="586FC438"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Tärkein ihmisen veressä todettavista metaboliiteista on N-demetyloitunut piperatsiinijohdos, jolla on samanlainen </w:t>
      </w:r>
      <w:r w:rsidRPr="00912A5D">
        <w:rPr>
          <w:i/>
          <w:color w:val="000000"/>
          <w:szCs w:val="22"/>
          <w:lang w:val="fi-FI"/>
        </w:rPr>
        <w:t>in vitro</w:t>
      </w:r>
      <w:r w:rsidRPr="00912A5D">
        <w:rPr>
          <w:color w:val="000000"/>
          <w:szCs w:val="22"/>
          <w:lang w:val="fi-FI"/>
        </w:rPr>
        <w:t xml:space="preserve"> teho kuin vaikuttavalla aineella. Tämän metaboliitin plasma-AUC-arvo on vain 16 % imatinibin AUC-arvosta. N-demetyloituneen metaboliitin sitoutuminen plasman proteiineihin on samansuuruista kuin vaikuttavan aineen.</w:t>
      </w:r>
    </w:p>
    <w:p w14:paraId="586FC439" w14:textId="77777777" w:rsidR="00AE3698" w:rsidRPr="00912A5D" w:rsidRDefault="00AE3698">
      <w:pPr>
        <w:pStyle w:val="EndnoteText"/>
        <w:widowControl w:val="0"/>
        <w:tabs>
          <w:tab w:val="clear" w:pos="567"/>
        </w:tabs>
        <w:rPr>
          <w:color w:val="000000"/>
          <w:szCs w:val="22"/>
          <w:lang w:val="fi-FI"/>
        </w:rPr>
      </w:pPr>
    </w:p>
    <w:p w14:paraId="586FC43A"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Imatinibi ja N-demetyloitunut metaboliitti vastasivat yhdessä noin 65 %:sta verenkierrossa havaitusta radioaktiivisuudesta (AUC</w:t>
      </w:r>
      <w:r w:rsidRPr="00912A5D">
        <w:rPr>
          <w:color w:val="000000"/>
          <w:szCs w:val="22"/>
          <w:vertAlign w:val="subscript"/>
          <w:lang w:val="fi-FI"/>
        </w:rPr>
        <w:t>(0-48h)</w:t>
      </w:r>
      <w:r w:rsidRPr="00912A5D">
        <w:rPr>
          <w:color w:val="000000"/>
          <w:szCs w:val="22"/>
          <w:lang w:val="fi-FI"/>
        </w:rPr>
        <w:t>). Loppuosa verenkierrossa havaitusta radioaktiivisuudesta koostui useista vähäisistä metaboliiteista.</w:t>
      </w:r>
    </w:p>
    <w:p w14:paraId="586FC43B" w14:textId="77777777" w:rsidR="00AE3698" w:rsidRPr="00912A5D" w:rsidRDefault="00AE3698">
      <w:pPr>
        <w:pStyle w:val="EndnoteText"/>
        <w:widowControl w:val="0"/>
        <w:tabs>
          <w:tab w:val="clear" w:pos="567"/>
        </w:tabs>
        <w:rPr>
          <w:color w:val="000000"/>
          <w:szCs w:val="22"/>
          <w:lang w:val="fi-FI"/>
        </w:rPr>
      </w:pPr>
    </w:p>
    <w:p w14:paraId="586FC43C" w14:textId="77777777" w:rsidR="00AE3698" w:rsidRPr="00912A5D" w:rsidRDefault="00AE3698">
      <w:pPr>
        <w:pStyle w:val="EndnoteText"/>
        <w:widowControl w:val="0"/>
        <w:tabs>
          <w:tab w:val="clear" w:pos="567"/>
        </w:tabs>
        <w:rPr>
          <w:color w:val="000000"/>
          <w:szCs w:val="22"/>
          <w:lang w:val="fi-FI"/>
        </w:rPr>
      </w:pPr>
      <w:r w:rsidRPr="00912A5D">
        <w:rPr>
          <w:i/>
          <w:color w:val="000000"/>
          <w:szCs w:val="22"/>
          <w:lang w:val="fi-FI"/>
        </w:rPr>
        <w:t>In vitro</w:t>
      </w:r>
      <w:r w:rsidRPr="00912A5D">
        <w:rPr>
          <w:color w:val="000000"/>
          <w:szCs w:val="22"/>
          <w:lang w:val="fi-FI"/>
        </w:rPr>
        <w:t xml:space="preserve"> tutkimukset osoittivat, että CYP3A4 oli merkittävin ihmisen P450 entsyymi, joka katalysoi imatinibin biotransformaatiota. Joukosta mahdollisia yhtä</w:t>
      </w:r>
      <w:r w:rsidR="00BA398F">
        <w:rPr>
          <w:color w:val="000000"/>
          <w:szCs w:val="22"/>
          <w:lang w:val="fi-FI"/>
        </w:rPr>
        <w:t xml:space="preserve"> </w:t>
      </w:r>
      <w:r w:rsidRPr="00912A5D">
        <w:rPr>
          <w:color w:val="000000"/>
          <w:szCs w:val="22"/>
          <w:lang w:val="fi-FI"/>
        </w:rPr>
        <w:t>aikaa annettavia lääkkeitä (parasetamoli, asikloviiri, allopurinoli, amfoterisiini, sytarabiini, erytromysiini, flukonatsoli, hydroksiurea, norfloksasiini, V-penisilliini) ainoastaan erytromysiini (IC</w:t>
      </w:r>
      <w:r w:rsidRPr="00912A5D">
        <w:rPr>
          <w:color w:val="000000"/>
          <w:szCs w:val="22"/>
          <w:vertAlign w:val="subscript"/>
          <w:lang w:val="fi-FI"/>
        </w:rPr>
        <w:t>50</w:t>
      </w:r>
      <w:r w:rsidRPr="00912A5D">
        <w:rPr>
          <w:color w:val="000000"/>
          <w:szCs w:val="22"/>
          <w:lang w:val="fi-FI"/>
        </w:rPr>
        <w:t xml:space="preserve"> 50 µmol/l) ja flukonatsoli (IC</w:t>
      </w:r>
      <w:r w:rsidRPr="00912A5D">
        <w:rPr>
          <w:color w:val="000000"/>
          <w:szCs w:val="22"/>
          <w:vertAlign w:val="subscript"/>
          <w:lang w:val="fi-FI"/>
        </w:rPr>
        <w:t>50</w:t>
      </w:r>
      <w:r w:rsidRPr="00912A5D">
        <w:rPr>
          <w:color w:val="000000"/>
          <w:szCs w:val="22"/>
          <w:lang w:val="fi-FI"/>
        </w:rPr>
        <w:t xml:space="preserve"> 118 µmol/l) estivät imatinibin metaboliaa niin, että sillä voi olla kliinistä merkitystä.</w:t>
      </w:r>
    </w:p>
    <w:p w14:paraId="586FC43D" w14:textId="77777777" w:rsidR="00AE3698" w:rsidRPr="00912A5D" w:rsidRDefault="00AE3698">
      <w:pPr>
        <w:pStyle w:val="EndnoteText"/>
        <w:widowControl w:val="0"/>
        <w:tabs>
          <w:tab w:val="clear" w:pos="567"/>
        </w:tabs>
        <w:rPr>
          <w:color w:val="000000"/>
          <w:szCs w:val="22"/>
          <w:lang w:val="fi-FI"/>
        </w:rPr>
      </w:pPr>
    </w:p>
    <w:p w14:paraId="586FC43E"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Imatinibin osoitettiin </w:t>
      </w:r>
      <w:r w:rsidRPr="00912A5D">
        <w:rPr>
          <w:i/>
          <w:color w:val="000000"/>
          <w:szCs w:val="22"/>
          <w:lang w:val="fi-FI"/>
        </w:rPr>
        <w:t>in vitro</w:t>
      </w:r>
      <w:r w:rsidRPr="00912A5D">
        <w:rPr>
          <w:color w:val="000000"/>
          <w:szCs w:val="22"/>
          <w:lang w:val="fi-FI"/>
        </w:rPr>
        <w:t xml:space="preserve"> tutkimuksissa olevan kilpaileva estäjä CYP2C9, CYP2D6 ja CYP3A4/5 substraateille K</w:t>
      </w:r>
      <w:r w:rsidRPr="00912A5D">
        <w:rPr>
          <w:color w:val="000000"/>
          <w:szCs w:val="22"/>
          <w:vertAlign w:val="subscript"/>
          <w:lang w:val="fi-FI"/>
        </w:rPr>
        <w:t>i</w:t>
      </w:r>
      <w:r w:rsidRPr="00912A5D">
        <w:rPr>
          <w:color w:val="000000"/>
          <w:szCs w:val="22"/>
          <w:lang w:val="fi-FI"/>
        </w:rPr>
        <w:t xml:space="preserve"> -arvot ihmisen maksan mikrosomeissa olivat vastaavasti 27; 7,5 ja 7,9 µmol/l. Imatinibin suurimmat plasmapitoisuudet potilailla ovat 2–4 µmol/l, mistä syystä CYP2D6 ja/tai CYPA4/5 välityksellä tapahtuva, samaan aikaan annetun lääkkeen, metabolian estyminen on mahdollista. Imatinibi ei vaikuttanut 5-fluorourasiilin biotransformaatioon mutta se esti paklitakselin metaboliaa, johtuen CYP2C8 kilpailevasta estosta (K</w:t>
      </w:r>
      <w:r w:rsidRPr="00912A5D">
        <w:rPr>
          <w:color w:val="000000"/>
          <w:szCs w:val="22"/>
          <w:vertAlign w:val="subscript"/>
          <w:lang w:val="fi-FI"/>
        </w:rPr>
        <w:t>i</w:t>
      </w:r>
      <w:r w:rsidRPr="00912A5D">
        <w:rPr>
          <w:color w:val="000000"/>
          <w:szCs w:val="22"/>
          <w:lang w:val="fi-FI"/>
        </w:rPr>
        <w:t xml:space="preserve"> = 34,7 µmol/l). Tämä K</w:t>
      </w:r>
      <w:r w:rsidRPr="00912A5D">
        <w:rPr>
          <w:color w:val="000000"/>
          <w:szCs w:val="22"/>
          <w:vertAlign w:val="subscript"/>
          <w:lang w:val="fi-FI"/>
        </w:rPr>
        <w:t>I</w:t>
      </w:r>
      <w:r w:rsidRPr="00912A5D">
        <w:rPr>
          <w:color w:val="000000"/>
          <w:szCs w:val="22"/>
          <w:lang w:val="fi-FI"/>
        </w:rPr>
        <w:t>-arvo on huomattavasti suurempi kuin imatinibin odotetut plasmapitoisuudet potilailla, mistä johtuen yhteisvaikutuksia ei odoteta annettaessa yhdessä imatinibia ja 5-fluorourasiilia tai paklitakselia.</w:t>
      </w:r>
    </w:p>
    <w:p w14:paraId="586FC43F" w14:textId="77777777" w:rsidR="00AE3698" w:rsidRPr="00912A5D" w:rsidRDefault="00AE3698">
      <w:pPr>
        <w:pStyle w:val="EndnoteText"/>
        <w:widowControl w:val="0"/>
        <w:tabs>
          <w:tab w:val="clear" w:pos="567"/>
        </w:tabs>
        <w:rPr>
          <w:color w:val="000000"/>
          <w:szCs w:val="22"/>
          <w:lang w:val="fi-FI"/>
        </w:rPr>
      </w:pPr>
    </w:p>
    <w:p w14:paraId="586FC440"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u w:val="single"/>
          <w:lang w:val="fi-FI"/>
        </w:rPr>
        <w:t>Eliminaatio</w:t>
      </w:r>
    </w:p>
    <w:p w14:paraId="586FC441"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Suun kautta annetun </w:t>
      </w:r>
      <w:r w:rsidRPr="00912A5D">
        <w:rPr>
          <w:color w:val="000000"/>
          <w:szCs w:val="22"/>
          <w:vertAlign w:val="superscript"/>
          <w:lang w:val="fi-FI"/>
        </w:rPr>
        <w:t>14</w:t>
      </w:r>
      <w:r w:rsidRPr="00912A5D">
        <w:rPr>
          <w:color w:val="000000"/>
          <w:szCs w:val="22"/>
          <w:lang w:val="fi-FI"/>
        </w:rPr>
        <w:t>C-merkityn imatinibiannoksen poistumisanalyysin perusteella noin 81 % annoksesta poistui 7 päivän kuluessa ulosteisiin (68 % annoksesta) ja virtsaan (13 % annoksesta). Muuttumattomana imatinibista poistui 25 % annoksesta (5 % virtsaan, 20 % ulosteisiin), ja loppuosa oli metaboliitteja.</w:t>
      </w:r>
    </w:p>
    <w:p w14:paraId="586FC442" w14:textId="77777777" w:rsidR="00AE3698" w:rsidRPr="00912A5D" w:rsidRDefault="00AE3698">
      <w:pPr>
        <w:pStyle w:val="EndnoteText"/>
        <w:widowControl w:val="0"/>
        <w:tabs>
          <w:tab w:val="clear" w:pos="567"/>
        </w:tabs>
        <w:rPr>
          <w:color w:val="000000"/>
          <w:szCs w:val="22"/>
          <w:lang w:val="fi-FI"/>
        </w:rPr>
      </w:pPr>
    </w:p>
    <w:p w14:paraId="586FC443"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u w:val="single"/>
          <w:lang w:val="fi-FI"/>
        </w:rPr>
        <w:t>Plasmafarmakokinetiikka</w:t>
      </w:r>
    </w:p>
    <w:p w14:paraId="586FC444"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Suun kautta terveille vapaaehtoisille koehenkilöille annetun imatinibin puoliintumisaika (t</w:t>
      </w:r>
      <w:r w:rsidRPr="00912A5D">
        <w:rPr>
          <w:color w:val="000000"/>
          <w:szCs w:val="22"/>
          <w:vertAlign w:val="subscript"/>
          <w:lang w:val="fi-FI"/>
        </w:rPr>
        <w:t>½</w:t>
      </w:r>
      <w:r w:rsidRPr="00912A5D">
        <w:rPr>
          <w:color w:val="000000"/>
          <w:szCs w:val="22"/>
          <w:lang w:val="fi-FI"/>
        </w:rPr>
        <w:t>) oli noin 18 h, minkä perusteella kerran vuorokaudessa tapahtuva annostelu on riittävä. Suun kautta annetun imatinibin AUC-keskiarvo suureni lineaarisesti ja suhteessa annokseen suurennettaessa annoksia alueella 25–1 000 mg. Imatinibin kinetiikka ei muuttunut toistuvassa annostelussa, ja kumuloituminen oli 1,5–2,5-kertaista vakaassa tilassa, kun annos otettiin kerran vuorokaudessa.</w:t>
      </w:r>
    </w:p>
    <w:p w14:paraId="586FC445" w14:textId="77777777" w:rsidR="00AE3698" w:rsidRPr="00912A5D" w:rsidRDefault="00AE3698">
      <w:pPr>
        <w:pStyle w:val="EndnoteText"/>
        <w:widowControl w:val="0"/>
        <w:tabs>
          <w:tab w:val="clear" w:pos="567"/>
        </w:tabs>
        <w:rPr>
          <w:color w:val="000000"/>
          <w:szCs w:val="22"/>
          <w:lang w:val="fi-FI"/>
        </w:rPr>
      </w:pPr>
    </w:p>
    <w:p w14:paraId="586FC446" w14:textId="77777777" w:rsidR="00AE3698" w:rsidRPr="00912A5D" w:rsidRDefault="00AE3698" w:rsidP="00F71263">
      <w:pPr>
        <w:pStyle w:val="EndnoteText"/>
        <w:keepNext/>
        <w:widowControl w:val="0"/>
        <w:tabs>
          <w:tab w:val="clear" w:pos="567"/>
        </w:tabs>
        <w:rPr>
          <w:color w:val="000000"/>
          <w:szCs w:val="22"/>
          <w:u w:val="single"/>
          <w:lang w:val="fi-FI"/>
        </w:rPr>
      </w:pPr>
      <w:r w:rsidRPr="00912A5D">
        <w:rPr>
          <w:color w:val="000000"/>
          <w:szCs w:val="22"/>
          <w:u w:val="single"/>
          <w:lang w:val="fi-FI"/>
        </w:rPr>
        <w:t>Farmakokinetiikka GIST potilailla</w:t>
      </w:r>
    </w:p>
    <w:p w14:paraId="586FC447"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Käytettäessä samaa annosta (400 mg vuorokaudessa), GIST-potilailla vakaan tilan altistus oli 1,5-kertaa suurempi kuin </w:t>
      </w:r>
      <w:smartTag w:uri="urn:schemas-microsoft-com:office:smarttags" w:element="State">
        <w:r w:rsidRPr="00912A5D">
          <w:rPr>
            <w:color w:val="000000"/>
            <w:szCs w:val="22"/>
            <w:lang w:val="fi-FI"/>
          </w:rPr>
          <w:t>KML</w:t>
        </w:r>
      </w:smartTag>
      <w:r w:rsidRPr="00912A5D">
        <w:rPr>
          <w:color w:val="000000"/>
          <w:szCs w:val="22"/>
          <w:lang w:val="fi-FI"/>
        </w:rPr>
        <w:t>-potilailla havaittu. Alustavan GIST-potilaille tehdyn populaatiofarmakokinetiikka-analyysin mukaan kolme muuttujaa (albumiini, valkosolumäärä, bilirubiini) vaikuttivat tilastollisesti merkitsevästi imatinibin farmakokinetiikkaan. Pienentynyt albumiinin määrä vähensi puhdistumaa (CL/f); ja valkosolujen suurempi määrä vähensi CL/f:tä. Nämä riippuvuudet eivät kuitenkaan ole niin voimakkaita, että annostusta täytyisi muuttaa. Tässä potilasryhmässä maksan metastaasien esiintyminen voi mahdollisesti johtaa maksan vajaatoimintaan ja metabolian heikkenemiseen.</w:t>
      </w:r>
    </w:p>
    <w:p w14:paraId="586FC448" w14:textId="77777777" w:rsidR="00AE3698" w:rsidRPr="00912A5D" w:rsidRDefault="00AE3698">
      <w:pPr>
        <w:pStyle w:val="EndnoteText"/>
        <w:widowControl w:val="0"/>
        <w:tabs>
          <w:tab w:val="clear" w:pos="567"/>
        </w:tabs>
        <w:rPr>
          <w:color w:val="000000"/>
          <w:szCs w:val="22"/>
          <w:lang w:val="fi-FI"/>
        </w:rPr>
      </w:pPr>
    </w:p>
    <w:p w14:paraId="586FC449"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u w:val="single"/>
          <w:lang w:val="fi-FI"/>
        </w:rPr>
        <w:t>Populaatiofarmakokinetiikka</w:t>
      </w:r>
    </w:p>
    <w:p w14:paraId="586FC44A"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Populaatiofarmakokinetiikkaa </w:t>
      </w:r>
      <w:smartTag w:uri="urn:schemas-microsoft-com:office:smarttags" w:element="State">
        <w:r w:rsidRPr="00912A5D">
          <w:rPr>
            <w:color w:val="000000"/>
            <w:szCs w:val="22"/>
            <w:lang w:val="fi-FI"/>
          </w:rPr>
          <w:t>KML</w:t>
        </w:r>
      </w:smartTag>
      <w:r w:rsidRPr="00912A5D">
        <w:rPr>
          <w:color w:val="000000"/>
          <w:szCs w:val="22"/>
          <w:lang w:val="fi-FI"/>
        </w:rPr>
        <w:t>-potilailla koskevan analyysin perusteella ikä vaikutti vähäisessä määrin jakautumistilavuuteen (suureni 12 %, yli 65-vuotiailla potilailla). Tätä muutosta ei pidetä kliinisesti merkitsevänä. Painon vaikutus imatinibin puhdistumaan on sellainen, että 50 kg painavalla potilaalla odotettavissa oleva keskipuhdistuma on 8,5 l/h, mutta 100 kg painavalla potilaalla puhdistuma suurenee arvoon 11,8 l/h. Näitä muutoksia ei katsota riittäviksi, jotta annosta tulisi painon perusteella muuttaa. Sukupuoli ei vaikuta imatinibin kinetiikkaan.</w:t>
      </w:r>
    </w:p>
    <w:p w14:paraId="586FC44B" w14:textId="77777777" w:rsidR="00AE3698" w:rsidRPr="00912A5D" w:rsidRDefault="00AE3698">
      <w:pPr>
        <w:pStyle w:val="EndnoteText"/>
        <w:widowControl w:val="0"/>
        <w:tabs>
          <w:tab w:val="clear" w:pos="567"/>
        </w:tabs>
        <w:rPr>
          <w:color w:val="000000"/>
          <w:szCs w:val="22"/>
          <w:lang w:val="fi-FI"/>
        </w:rPr>
      </w:pPr>
    </w:p>
    <w:p w14:paraId="586FC44C" w14:textId="77777777" w:rsidR="00AE3698" w:rsidRPr="00912A5D" w:rsidRDefault="00AE3698" w:rsidP="00F71263">
      <w:pPr>
        <w:pStyle w:val="EndnoteText"/>
        <w:keepNext/>
        <w:widowControl w:val="0"/>
        <w:tabs>
          <w:tab w:val="clear" w:pos="567"/>
        </w:tabs>
        <w:rPr>
          <w:color w:val="000000"/>
          <w:szCs w:val="22"/>
          <w:u w:val="single"/>
          <w:lang w:val="fi-FI"/>
        </w:rPr>
      </w:pPr>
      <w:r w:rsidRPr="00912A5D">
        <w:rPr>
          <w:color w:val="000000"/>
          <w:szCs w:val="22"/>
          <w:u w:val="single"/>
          <w:lang w:val="fi-FI"/>
        </w:rPr>
        <w:t>Farmakokinetiikka lapsilla</w:t>
      </w:r>
    </w:p>
    <w:p w14:paraId="586FC44D"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Kuten aikuisilla potilailla, lapsipotilailla, sekä I vaiheen että II vaiheen tutkimuksissa, imatinibi imeytyi nopeasti suun kautta annettaessa. Annokset 260 ja 340 mg/m</w:t>
      </w:r>
      <w:r w:rsidRPr="00912A5D">
        <w:rPr>
          <w:color w:val="000000"/>
          <w:szCs w:val="22"/>
          <w:vertAlign w:val="superscript"/>
          <w:lang w:val="fi-FI"/>
        </w:rPr>
        <w:t>2</w:t>
      </w:r>
      <w:r w:rsidRPr="00912A5D">
        <w:rPr>
          <w:color w:val="000000"/>
          <w:szCs w:val="22"/>
          <w:lang w:val="fi-FI"/>
        </w:rPr>
        <w:t>/vrk lapsilla aiheuttivat samankaltaisen altistuksen kuin annokset 400 ja 600 mg aikuisilla. AUC</w:t>
      </w:r>
      <w:r w:rsidRPr="00912A5D">
        <w:rPr>
          <w:color w:val="000000"/>
          <w:szCs w:val="22"/>
          <w:vertAlign w:val="subscript"/>
          <w:lang w:val="fi-FI"/>
        </w:rPr>
        <w:t>(0-24)</w:t>
      </w:r>
      <w:r w:rsidRPr="00912A5D">
        <w:rPr>
          <w:color w:val="000000"/>
          <w:szCs w:val="22"/>
          <w:lang w:val="fi-FI"/>
        </w:rPr>
        <w:t>-arvojen vertailu päivinä yksi ja kahdeksan käytettäessä annosta 340 mg/m</w:t>
      </w:r>
      <w:r w:rsidRPr="00912A5D">
        <w:rPr>
          <w:color w:val="000000"/>
          <w:szCs w:val="22"/>
          <w:vertAlign w:val="superscript"/>
          <w:lang w:val="fi-FI"/>
        </w:rPr>
        <w:t>2</w:t>
      </w:r>
      <w:r w:rsidRPr="00912A5D">
        <w:rPr>
          <w:color w:val="000000"/>
          <w:szCs w:val="22"/>
          <w:lang w:val="fi-FI"/>
        </w:rPr>
        <w:t>/vrk paljasti lääkeaineen 1,7-kertaisen kumuloitumisen toistuvan kerran vuorokaudessa-annostelun yhteydessä.</w:t>
      </w:r>
    </w:p>
    <w:p w14:paraId="586FC44E" w14:textId="77777777" w:rsidR="00AE3698" w:rsidRDefault="00AE3698">
      <w:pPr>
        <w:pStyle w:val="EndnoteText"/>
        <w:widowControl w:val="0"/>
        <w:tabs>
          <w:tab w:val="clear" w:pos="567"/>
        </w:tabs>
        <w:rPr>
          <w:color w:val="000000"/>
          <w:szCs w:val="22"/>
          <w:lang w:val="fi-FI"/>
        </w:rPr>
      </w:pPr>
    </w:p>
    <w:p w14:paraId="586FC44F" w14:textId="77777777" w:rsidR="0047520B" w:rsidRPr="00396314" w:rsidRDefault="0047520B" w:rsidP="0047520B">
      <w:pPr>
        <w:pStyle w:val="EndnoteText"/>
        <w:widowControl w:val="0"/>
        <w:rPr>
          <w:color w:val="000000"/>
          <w:szCs w:val="22"/>
          <w:lang w:val="fi-FI"/>
        </w:rPr>
      </w:pPr>
      <w:r w:rsidRPr="00396314">
        <w:rPr>
          <w:color w:val="000000"/>
          <w:szCs w:val="22"/>
          <w:lang w:val="fi-FI"/>
        </w:rPr>
        <w:t>Hematologista sairautta (KML, Ph+ ALL tai muu imatinibilla hoidettava hematologinen sairaus) sairastavilla pediatrisilla potilailla toteutetun poolatun populaatiofarmakokinetiikan analyysin perusteella imatinibin puhdistuma suurenee kehon pinta-alan suurentuessa. Kehon pinta-alan vaikutuksen suhteen tehtyjen korjausten jälkeen muilla demografisilla tekijöillä kuten iällä, painolla ja painoindeksillä ei ollut kliinisesti merkitseviä vaikutuksia imatinibialtistukseen. Analyysi vahvisti, että imatinibialtistus oli samaa luokkaa pediatrisilla potilailla, jotka saivat 260 mg/m</w:t>
      </w:r>
      <w:r w:rsidRPr="00396314">
        <w:rPr>
          <w:color w:val="000000"/>
          <w:szCs w:val="22"/>
          <w:vertAlign w:val="superscript"/>
          <w:lang w:val="fi-FI"/>
        </w:rPr>
        <w:t>2</w:t>
      </w:r>
      <w:r w:rsidRPr="00396314">
        <w:rPr>
          <w:color w:val="000000"/>
          <w:szCs w:val="22"/>
          <w:lang w:val="fi-FI"/>
        </w:rPr>
        <w:t xml:space="preserve"> kerran vuorokaudessa (enintään 400 mg kerran vuorokaudessa) tai 340 mg/m</w:t>
      </w:r>
      <w:r w:rsidRPr="00396314">
        <w:rPr>
          <w:color w:val="000000"/>
          <w:szCs w:val="22"/>
          <w:vertAlign w:val="superscript"/>
          <w:lang w:val="fi-FI"/>
        </w:rPr>
        <w:t>2</w:t>
      </w:r>
      <w:r w:rsidRPr="00396314">
        <w:rPr>
          <w:color w:val="000000"/>
          <w:szCs w:val="22"/>
          <w:lang w:val="fi-FI"/>
        </w:rPr>
        <w:t xml:space="preserve"> kerran vuorokaudessa (enintään 600 mg kerran vuorokaudessa), ja aikuispotilailla, jotka saivat imatinibia 400 mg tai 600 mg kerran vuorokaudessa.</w:t>
      </w:r>
    </w:p>
    <w:p w14:paraId="586FC450" w14:textId="77777777" w:rsidR="0047520B" w:rsidRPr="00912A5D" w:rsidRDefault="0047520B">
      <w:pPr>
        <w:pStyle w:val="EndnoteText"/>
        <w:widowControl w:val="0"/>
        <w:tabs>
          <w:tab w:val="clear" w:pos="567"/>
        </w:tabs>
        <w:rPr>
          <w:color w:val="000000"/>
          <w:szCs w:val="22"/>
          <w:lang w:val="fi-FI"/>
        </w:rPr>
      </w:pPr>
    </w:p>
    <w:p w14:paraId="586FC451"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u w:val="single"/>
          <w:lang w:val="fi-FI"/>
        </w:rPr>
        <w:t>Elintoimintojen heikkeneminen</w:t>
      </w:r>
    </w:p>
    <w:p w14:paraId="586FC452"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Imatinibi ja sen metaboliitit eivät erity merkittävässä määrin munuaisten kautta. </w:t>
      </w:r>
      <w:bookmarkStart w:id="3" w:name="OLE_LINK1"/>
      <w:r w:rsidRPr="00912A5D">
        <w:rPr>
          <w:color w:val="000000"/>
          <w:szCs w:val="22"/>
          <w:lang w:val="fi-FI"/>
        </w:rPr>
        <w:t>Potilailla, joilla on lievä tai keskivaikea munuaisten vajaatoiminta, vaikuttaa olevan suurempi imatinibialtistus plasmassa kuin potilailla, joiden munuaistoiminta on normaali. Altistus suurenee noin 1,5–2-kertaiseksi, mikä vastaa imatinibia voimakkaasti sitovan proteiinin, AGP:n, pitoisuuden suurenemista plasmassa 1,5-kertaiseksi. Vapaan imatinibin puhdistuma on todennäköisesti samanlainen munuaisten vajaatoimintapotilailla ja potilailla, joiden munuaistoiminta on normaali, sillä imatinibi eliminoituu vain vähäisessä määrin munuaisten kautta (ks. kohdat 4.2 ja 4.4).</w:t>
      </w:r>
    </w:p>
    <w:p w14:paraId="586FC453" w14:textId="77777777" w:rsidR="00AE3698" w:rsidRPr="00912A5D" w:rsidRDefault="00AE3698">
      <w:pPr>
        <w:pStyle w:val="EndnoteText"/>
        <w:widowControl w:val="0"/>
        <w:tabs>
          <w:tab w:val="clear" w:pos="567"/>
        </w:tabs>
        <w:rPr>
          <w:color w:val="000000"/>
          <w:szCs w:val="22"/>
          <w:lang w:val="fi-FI"/>
        </w:rPr>
      </w:pPr>
    </w:p>
    <w:p w14:paraId="586FC454"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Vaikka farmakokineettisen analyysin tulokset osoittivat, että henkilöiden välillä on suurta vaihtelua, keskimääräinen altistus imatinibille ei suurentunut potilailla, joilla oli eriasteinen maksan vajaatoiminta, verrattuna potilaisiin, joilla oli normaali maksan toiminta (ks. kohdat 4.2, 4.4 ja 4.8).</w:t>
      </w:r>
      <w:bookmarkEnd w:id="3"/>
    </w:p>
    <w:p w14:paraId="586FC455" w14:textId="77777777" w:rsidR="00375291" w:rsidRPr="00912A5D" w:rsidRDefault="00375291">
      <w:pPr>
        <w:pStyle w:val="EndnoteText"/>
        <w:widowControl w:val="0"/>
        <w:tabs>
          <w:tab w:val="clear" w:pos="567"/>
        </w:tabs>
        <w:rPr>
          <w:color w:val="000000"/>
          <w:szCs w:val="22"/>
          <w:lang w:val="fi-FI"/>
        </w:rPr>
      </w:pPr>
    </w:p>
    <w:p w14:paraId="586FC456"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5.3</w:t>
      </w:r>
      <w:r w:rsidRPr="00912A5D">
        <w:rPr>
          <w:rFonts w:ascii="Times New Roman" w:hAnsi="Times New Roman"/>
          <w:b/>
          <w:sz w:val="22"/>
          <w:szCs w:val="22"/>
        </w:rPr>
        <w:tab/>
        <w:t>Prekliiniset tiedot turvallisuudesta</w:t>
      </w:r>
    </w:p>
    <w:p w14:paraId="586FC457" w14:textId="77777777" w:rsidR="00AE3698" w:rsidRPr="00912A5D" w:rsidRDefault="00AE3698" w:rsidP="00F71263">
      <w:pPr>
        <w:keepNext/>
        <w:widowControl w:val="0"/>
        <w:rPr>
          <w:rFonts w:ascii="Times New Roman" w:hAnsi="Times New Roman"/>
          <w:sz w:val="22"/>
          <w:szCs w:val="22"/>
        </w:rPr>
      </w:pPr>
    </w:p>
    <w:p w14:paraId="586FC458"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Imatinibin prekliininen turvallisuusprofiili arvioitiin rotilla, koirilla, apinoilla ja kaneilla.</w:t>
      </w:r>
    </w:p>
    <w:p w14:paraId="586FC459" w14:textId="77777777" w:rsidR="00AE3698" w:rsidRPr="00912A5D" w:rsidRDefault="00AE3698">
      <w:pPr>
        <w:widowControl w:val="0"/>
        <w:rPr>
          <w:rFonts w:ascii="Times New Roman" w:hAnsi="Times New Roman"/>
          <w:sz w:val="22"/>
          <w:szCs w:val="22"/>
        </w:rPr>
      </w:pPr>
    </w:p>
    <w:p w14:paraId="586FC45A"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Toistuvan annostelun toksisuuskokeissa huomattiin lieviä tai kohtalaisia hematologisia muutoksia rotilla, koirilla ja apinoilla. Rotilla ja koirilla niihin liittyi luuydinmuutoksia.</w:t>
      </w:r>
    </w:p>
    <w:p w14:paraId="586FC45B" w14:textId="77777777" w:rsidR="00AE3698" w:rsidRPr="00912A5D" w:rsidRDefault="00AE3698">
      <w:pPr>
        <w:widowControl w:val="0"/>
        <w:rPr>
          <w:rFonts w:ascii="Times New Roman" w:hAnsi="Times New Roman"/>
          <w:sz w:val="22"/>
          <w:szCs w:val="22"/>
        </w:rPr>
      </w:pPr>
    </w:p>
    <w:p w14:paraId="586FC45C"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Rotilla ja koirilla maksa oli toksisuuden kohde-elin. Molemmilla eläinlajeilla havaittiin lievää tai kohtalaista transaminaasiarvojen nousua ja lievää kolesteroli-, triglyseridi-, kokonaisproteiini- ja albumiiniarvojen laskua. Rotan maksassa ei havaittu histopatologisia muutoksia. Kaksi viikkoa hoidetuilla koirilla havaittiin vakavaa maksatoksisuutta, johon liittyi maksaentsyymiarvojen kohoamista, hepatosellulaarista nekroosia, sappitiehyeiden nekroosia ja sappitiehyeiden hyperplasiaa.</w:t>
      </w:r>
    </w:p>
    <w:p w14:paraId="586FC45D" w14:textId="77777777" w:rsidR="00AE3698" w:rsidRPr="00912A5D" w:rsidRDefault="00AE3698">
      <w:pPr>
        <w:widowControl w:val="0"/>
        <w:rPr>
          <w:rFonts w:ascii="Times New Roman" w:hAnsi="Times New Roman"/>
          <w:sz w:val="22"/>
          <w:szCs w:val="22"/>
        </w:rPr>
      </w:pPr>
    </w:p>
    <w:p w14:paraId="586FC45E"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Kaksi viikkoa hoidetuilla apinoilla havaittiin munuaistoksisuutta, johon liittyi pesäkemäistä mineralisaatiota ja munuaistiehyeiden laajenemista ja tubulusnekroosia. Usealla apinalla havaittiin veren ureatypen (BUN) ja kreatiniinin nousu. Rotilla 13 viikkoa kestäneessä tutkimuksessa &gt; 6 mg/kg annoksilla havaittiin munuaisnystyn ja virtsarakon välimuotoisen epiteelin (transitional epithelium) hyperplasiaa, johon ei liittynyt muutoksia seerumi- tai virtsa-arvoissa. Imatinibin pitkäaikaisessa annostuksessa havaittiin opportunististen infektioiden määrän kasvu.</w:t>
      </w:r>
    </w:p>
    <w:p w14:paraId="586FC45F" w14:textId="77777777" w:rsidR="00AE3698" w:rsidRPr="00912A5D" w:rsidRDefault="00AE3698">
      <w:pPr>
        <w:widowControl w:val="0"/>
        <w:rPr>
          <w:rFonts w:ascii="Times New Roman" w:hAnsi="Times New Roman"/>
          <w:sz w:val="22"/>
          <w:szCs w:val="22"/>
        </w:rPr>
      </w:pPr>
    </w:p>
    <w:p w14:paraId="586FC460"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39 viikkoa kestäneessä apinakokeessa ei saatu määritettyä haittavaikutuksetonta tasoa (NOAEL) pienimmällä 15 mg/kg annoksella, joka on noin kolmannes ihmiselle tarkoitetusta 800 mg maksimiannoksesta perustuen kehon pinta-alaan. Hoito johti normaalisti oireettomana olevan malariainfektion pahenemiseen näillä eläimillä.</w:t>
      </w:r>
    </w:p>
    <w:p w14:paraId="586FC461" w14:textId="77777777" w:rsidR="00AE3698" w:rsidRPr="00912A5D" w:rsidRDefault="00AE3698">
      <w:pPr>
        <w:widowControl w:val="0"/>
        <w:rPr>
          <w:rFonts w:ascii="Times New Roman" w:hAnsi="Times New Roman"/>
          <w:sz w:val="22"/>
          <w:szCs w:val="22"/>
        </w:rPr>
      </w:pPr>
    </w:p>
    <w:p w14:paraId="586FC462"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 xml:space="preserve">Imatinibi ei ollut genotoksinen </w:t>
      </w:r>
      <w:r w:rsidRPr="00912A5D">
        <w:rPr>
          <w:rFonts w:ascii="Times New Roman" w:hAnsi="Times New Roman"/>
          <w:i/>
          <w:sz w:val="22"/>
          <w:szCs w:val="22"/>
        </w:rPr>
        <w:t>in vitro</w:t>
      </w:r>
      <w:r w:rsidRPr="00912A5D">
        <w:rPr>
          <w:rFonts w:ascii="Times New Roman" w:hAnsi="Times New Roman"/>
          <w:sz w:val="22"/>
          <w:szCs w:val="22"/>
        </w:rPr>
        <w:t xml:space="preserve"> bakteereilla tehdyssä solutestissä (Ames-testi), </w:t>
      </w:r>
      <w:r w:rsidRPr="00912A5D">
        <w:rPr>
          <w:rFonts w:ascii="Times New Roman" w:hAnsi="Times New Roman"/>
          <w:i/>
          <w:sz w:val="22"/>
          <w:szCs w:val="22"/>
        </w:rPr>
        <w:t>in vitro</w:t>
      </w:r>
      <w:r w:rsidRPr="00912A5D">
        <w:rPr>
          <w:rFonts w:ascii="Times New Roman" w:hAnsi="Times New Roman"/>
          <w:sz w:val="22"/>
          <w:szCs w:val="22"/>
        </w:rPr>
        <w:t xml:space="preserve"> nisäkässolutestissä (hiiren lymfooma) eikä </w:t>
      </w:r>
      <w:r w:rsidRPr="00912A5D">
        <w:rPr>
          <w:rFonts w:ascii="Times New Roman" w:hAnsi="Times New Roman"/>
          <w:i/>
          <w:sz w:val="22"/>
          <w:szCs w:val="22"/>
        </w:rPr>
        <w:t>in vivo</w:t>
      </w:r>
      <w:r w:rsidRPr="00912A5D">
        <w:rPr>
          <w:rFonts w:ascii="Times New Roman" w:hAnsi="Times New Roman"/>
          <w:sz w:val="22"/>
          <w:szCs w:val="22"/>
        </w:rPr>
        <w:t xml:space="preserve"> rotan mikrotumatestissä. Imatinibilla havaittiin genotoksista vaikutusta </w:t>
      </w:r>
      <w:r w:rsidRPr="00912A5D">
        <w:rPr>
          <w:rFonts w:ascii="Times New Roman" w:hAnsi="Times New Roman"/>
          <w:i/>
          <w:sz w:val="22"/>
          <w:szCs w:val="22"/>
        </w:rPr>
        <w:t>in vitro</w:t>
      </w:r>
      <w:r w:rsidRPr="00912A5D">
        <w:rPr>
          <w:rFonts w:ascii="Times New Roman" w:hAnsi="Times New Roman"/>
          <w:sz w:val="22"/>
          <w:szCs w:val="22"/>
        </w:rPr>
        <w:t xml:space="preserve"> nisäkässolutestissä (kiinalaisen hamsterin munasarja) klastogeenisuuden (kromosomien poikkeavuus) esiintyessä metabolisen aktivaation yhteydessä. Kaksi valmistusprosessin välituotetta, jotka esiintyvät myös lopullisessa valmisteessa, ovat mutageenejä Ames-testillä mitattuna. Toinen näistä välituotteista antoi positiivisen tuloksen myös hiiren lymfoomatestissä.</w:t>
      </w:r>
    </w:p>
    <w:p w14:paraId="586FC463" w14:textId="77777777" w:rsidR="00AE3698" w:rsidRPr="00912A5D" w:rsidRDefault="00AE3698">
      <w:pPr>
        <w:widowControl w:val="0"/>
        <w:rPr>
          <w:rFonts w:ascii="Times New Roman" w:hAnsi="Times New Roman"/>
          <w:sz w:val="22"/>
          <w:szCs w:val="22"/>
        </w:rPr>
      </w:pPr>
    </w:p>
    <w:p w14:paraId="586FC464"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Urosrotilla suoritetussa hedelmällisyystutkimuksessa 70 päivää ennen parittelua kestäneellä annostuksella, annoksella 60 mg/kg (vastaten noin 800 mg/vrk maksimiannosta ihmiselle perustuen kehon pinta-alaan) havaittiin kivesten ja lisäkivesten painon pienenemistä ja liikkuvan siemennesteen osuuden vähenemistä. Annoksilla ≤ 20 mg/kg ei havaittu vastaavaa. Lievää tai kohtalaista spermatogeneesin vähenemistä havaittiin myös koirilla annettaessa suun kautta ≥ 30 mg/kg annoksia. Kun naarasrotille annettiin ennen parittelua 14 vuorokauden ajan imatinibia ja annostusta jatkettiin 6:nteen gestaatiopäivään asti, ei parittelussa eikä tiineiden naaraiden määrässä havaittu poikkeavuutta. Annoksella 60 mg/kg, naarasrotilla implantaation jälkeinen alkionmenetys oli merkittävä ja elävien sikiöiden määrä väheni. Annoksilla ≤ 20 mg/kg ei havaittu vastaavaa.</w:t>
      </w:r>
    </w:p>
    <w:p w14:paraId="586FC465" w14:textId="77777777" w:rsidR="00AE3698" w:rsidRPr="00912A5D" w:rsidRDefault="00AE3698">
      <w:pPr>
        <w:widowControl w:val="0"/>
        <w:rPr>
          <w:rFonts w:ascii="Times New Roman" w:hAnsi="Times New Roman"/>
          <w:sz w:val="22"/>
          <w:szCs w:val="22"/>
        </w:rPr>
      </w:pPr>
    </w:p>
    <w:p w14:paraId="586FC466"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lastRenderedPageBreak/>
        <w:t>Rotilla tehdyssä tutkimuksessa, jossa selvitettiin lääkkeen oraalisen annostelun vaikutuksia pre- ja postnataalikehitykseen, havaittiin punaista emätineritettä tiineyden 14. tai 15. päivänä 45 mg/kg/vrk annosta saaneiden ryhmässä. Samalla annoksella kuolleena syntyneiden poikasten ja synnytyksen jälkeisinä päivinä 0–4 kuolleiden poikasten määrä oli suurentunut. Käytettäessä samaa annosta ensimmäisen polven jälkeläisten keskimääräinen ruumiinpaino oli alentunut syntymästä lopettamiseen saakka. Preputiaalisen separaation vaatimukset saavuttavien poikueiden määrä oli hieman alentunut. Lääke ei vaikuttanut ensimmäisen polven fertiliteettiin, kun taas annoksella 45 mg/kg/vrk havaittiin resorptioiden määrän kasvua ja elinkykyisten sikiöiden määrän laskua. Ei havaittavia vaikutuksia aiheuttava annos (NOEL) sekä naarasrotilla että ensimmäisen polven jälkeläisillä oli 15 mg/kg/vrk (noin neljäsosa ihmisen maksimiannoksesta, 800 mg).</w:t>
      </w:r>
    </w:p>
    <w:p w14:paraId="586FC467" w14:textId="77777777" w:rsidR="00AE3698" w:rsidRPr="00912A5D" w:rsidRDefault="00AE3698">
      <w:pPr>
        <w:widowControl w:val="0"/>
        <w:rPr>
          <w:rFonts w:ascii="Times New Roman" w:hAnsi="Times New Roman"/>
          <w:sz w:val="22"/>
          <w:szCs w:val="22"/>
        </w:rPr>
      </w:pPr>
    </w:p>
    <w:p w14:paraId="586FC468" w14:textId="77777777" w:rsidR="00AE3698" w:rsidRDefault="00AE3698">
      <w:pPr>
        <w:widowControl w:val="0"/>
        <w:rPr>
          <w:rFonts w:ascii="Times New Roman" w:hAnsi="Times New Roman"/>
          <w:sz w:val="22"/>
          <w:szCs w:val="22"/>
        </w:rPr>
      </w:pPr>
      <w:r w:rsidRPr="00912A5D">
        <w:rPr>
          <w:rFonts w:ascii="Times New Roman" w:hAnsi="Times New Roman"/>
          <w:sz w:val="22"/>
          <w:szCs w:val="22"/>
        </w:rPr>
        <w:t>Rotilla imatinibi oli teratogeeninen, kun sitä annettiin organogeneesin aikana ≥ 100 mg/kg annoksilla, vastaten noin 800 mg/vrk maksimiannosta ihmiselle perustuen kehon pinta-alaan. Teratogeenisiä vaikutuksia olivat eksenkefalia tai enkefaloseele, puuttuvat/pienentyneet otsaluut ja puuttuvat päälakiluut. Annoksilla ≤ 30 mg/kg ei havaittu vastaavaa.</w:t>
      </w:r>
    </w:p>
    <w:p w14:paraId="586FC469" w14:textId="77777777" w:rsidR="004E5083" w:rsidRDefault="004E5083">
      <w:pPr>
        <w:widowControl w:val="0"/>
        <w:rPr>
          <w:rFonts w:ascii="Times New Roman" w:hAnsi="Times New Roman"/>
          <w:sz w:val="22"/>
          <w:szCs w:val="22"/>
        </w:rPr>
      </w:pPr>
    </w:p>
    <w:p w14:paraId="586FC46A" w14:textId="77777777" w:rsidR="004E5083" w:rsidRPr="00912A5D" w:rsidRDefault="004E5083">
      <w:pPr>
        <w:widowControl w:val="0"/>
        <w:rPr>
          <w:rFonts w:ascii="Times New Roman" w:hAnsi="Times New Roman"/>
          <w:sz w:val="22"/>
          <w:szCs w:val="22"/>
        </w:rPr>
      </w:pPr>
      <w:r>
        <w:rPr>
          <w:rFonts w:ascii="Times New Roman" w:hAnsi="Times New Roman"/>
          <w:sz w:val="22"/>
          <w:szCs w:val="22"/>
        </w:rPr>
        <w:t>Nuorilla rotilla (päivät 10 - 70 syntymän jälkeen) suoritetussa kehitystoksisuutta koskevassa tutkimuksessa ei todettu uusia kohde-elimiä niiden</w:t>
      </w:r>
      <w:r w:rsidR="00D24646">
        <w:rPr>
          <w:rFonts w:ascii="Times New Roman" w:hAnsi="Times New Roman"/>
          <w:sz w:val="22"/>
          <w:szCs w:val="22"/>
        </w:rPr>
        <w:t xml:space="preserve"> tunnettujen kohde-elinten</w:t>
      </w:r>
      <w:r>
        <w:rPr>
          <w:rFonts w:ascii="Times New Roman" w:hAnsi="Times New Roman"/>
          <w:sz w:val="22"/>
          <w:szCs w:val="22"/>
        </w:rPr>
        <w:t xml:space="preserve"> lisäksi, jotka on todettu aikuisilla </w:t>
      </w:r>
      <w:r w:rsidR="00D24646">
        <w:rPr>
          <w:rFonts w:ascii="Times New Roman" w:hAnsi="Times New Roman"/>
          <w:sz w:val="22"/>
          <w:szCs w:val="22"/>
        </w:rPr>
        <w:t>rotilla</w:t>
      </w:r>
      <w:r>
        <w:rPr>
          <w:rFonts w:ascii="Times New Roman" w:hAnsi="Times New Roman"/>
          <w:sz w:val="22"/>
          <w:szCs w:val="22"/>
        </w:rPr>
        <w:t>. Nuorilla eläimillä suoritetussa toksisuustutkimuksessa todettiin vaikutuksia eläinten kasvuun</w:t>
      </w:r>
      <w:r w:rsidR="00DB008D">
        <w:rPr>
          <w:rFonts w:ascii="Times New Roman" w:hAnsi="Times New Roman"/>
          <w:sz w:val="22"/>
          <w:szCs w:val="22"/>
        </w:rPr>
        <w:t xml:space="preserve"> sekä</w:t>
      </w:r>
      <w:r>
        <w:rPr>
          <w:rFonts w:ascii="Times New Roman" w:hAnsi="Times New Roman"/>
          <w:sz w:val="22"/>
          <w:szCs w:val="22"/>
        </w:rPr>
        <w:t xml:space="preserve"> hidastunutta emättimen avautumista ja esinahan eriytymistä</w:t>
      </w:r>
      <w:r w:rsidR="00DB008D">
        <w:rPr>
          <w:rFonts w:ascii="Times New Roman" w:hAnsi="Times New Roman"/>
          <w:sz w:val="22"/>
          <w:szCs w:val="22"/>
        </w:rPr>
        <w:t xml:space="preserve"> annoksilla, jotka tuottivat noin 0,3 - 2 kertaa suuremman altistuksen kuin mitä suurin suositeltu annos, 340 mg/m</w:t>
      </w:r>
      <w:r w:rsidR="00DB008D" w:rsidRPr="00DB008D">
        <w:rPr>
          <w:rFonts w:ascii="Times New Roman" w:hAnsi="Times New Roman"/>
          <w:sz w:val="22"/>
          <w:szCs w:val="22"/>
          <w:vertAlign w:val="superscript"/>
        </w:rPr>
        <w:t>2</w:t>
      </w:r>
      <w:r w:rsidR="00DB008D">
        <w:rPr>
          <w:rFonts w:ascii="Times New Roman" w:hAnsi="Times New Roman"/>
          <w:sz w:val="22"/>
          <w:szCs w:val="22"/>
        </w:rPr>
        <w:t xml:space="preserve">, </w:t>
      </w:r>
      <w:r w:rsidR="00D24646">
        <w:rPr>
          <w:rFonts w:ascii="Times New Roman" w:hAnsi="Times New Roman"/>
          <w:sz w:val="22"/>
          <w:szCs w:val="22"/>
        </w:rPr>
        <w:t xml:space="preserve">keskimäärin </w:t>
      </w:r>
      <w:r w:rsidR="00DB008D">
        <w:rPr>
          <w:rFonts w:ascii="Times New Roman" w:hAnsi="Times New Roman"/>
          <w:sz w:val="22"/>
          <w:szCs w:val="22"/>
        </w:rPr>
        <w:t>aikaansaa pediatrisilla potilailla. Lisäksi kuolleisuutta todettiin nuorilla eläimillä (vieroitusvaiheen aikoihin) noin 2 kertaa suuremmalla altistuksella kuin mitä suurin suositeltu annos, 340 mg/m</w:t>
      </w:r>
      <w:r w:rsidR="00DB008D" w:rsidRPr="00DB008D">
        <w:rPr>
          <w:rFonts w:ascii="Times New Roman" w:hAnsi="Times New Roman"/>
          <w:sz w:val="22"/>
          <w:szCs w:val="22"/>
          <w:vertAlign w:val="superscript"/>
        </w:rPr>
        <w:t>2</w:t>
      </w:r>
      <w:r w:rsidR="00DB008D">
        <w:rPr>
          <w:rFonts w:ascii="Times New Roman" w:hAnsi="Times New Roman"/>
          <w:sz w:val="22"/>
          <w:szCs w:val="22"/>
        </w:rPr>
        <w:t xml:space="preserve">, </w:t>
      </w:r>
      <w:r w:rsidR="00D24646">
        <w:rPr>
          <w:rFonts w:ascii="Times New Roman" w:hAnsi="Times New Roman"/>
          <w:sz w:val="22"/>
          <w:szCs w:val="22"/>
        </w:rPr>
        <w:t>keskimäärin aikaansaa</w:t>
      </w:r>
      <w:r w:rsidR="00DB008D">
        <w:rPr>
          <w:rFonts w:ascii="Times New Roman" w:hAnsi="Times New Roman"/>
          <w:sz w:val="22"/>
          <w:szCs w:val="22"/>
        </w:rPr>
        <w:t xml:space="preserve"> pediatrisill</w:t>
      </w:r>
      <w:r w:rsidR="00D24646">
        <w:rPr>
          <w:rFonts w:ascii="Times New Roman" w:hAnsi="Times New Roman"/>
          <w:sz w:val="22"/>
          <w:szCs w:val="22"/>
        </w:rPr>
        <w:t>a</w:t>
      </w:r>
      <w:r w:rsidR="00DB008D">
        <w:rPr>
          <w:rFonts w:ascii="Times New Roman" w:hAnsi="Times New Roman"/>
          <w:sz w:val="22"/>
          <w:szCs w:val="22"/>
        </w:rPr>
        <w:t xml:space="preserve"> potilaill</w:t>
      </w:r>
      <w:r w:rsidR="00D24646">
        <w:rPr>
          <w:rFonts w:ascii="Times New Roman" w:hAnsi="Times New Roman"/>
          <w:sz w:val="22"/>
          <w:szCs w:val="22"/>
        </w:rPr>
        <w:t>a.</w:t>
      </w:r>
    </w:p>
    <w:p w14:paraId="586FC46B" w14:textId="77777777" w:rsidR="00AE3698" w:rsidRPr="00912A5D" w:rsidRDefault="00AE3698">
      <w:pPr>
        <w:widowControl w:val="0"/>
        <w:rPr>
          <w:rFonts w:ascii="Times New Roman" w:hAnsi="Times New Roman"/>
          <w:sz w:val="22"/>
          <w:szCs w:val="22"/>
        </w:rPr>
      </w:pPr>
    </w:p>
    <w:p w14:paraId="586FC46C" w14:textId="77777777" w:rsidR="00AE3698" w:rsidRPr="00912A5D" w:rsidRDefault="00AE3698">
      <w:pPr>
        <w:autoSpaceDE w:val="0"/>
        <w:autoSpaceDN w:val="0"/>
        <w:adjustRightInd w:val="0"/>
        <w:spacing w:line="240" w:lineRule="atLeast"/>
        <w:rPr>
          <w:rFonts w:ascii="Times New Roman" w:hAnsi="Times New Roman"/>
          <w:sz w:val="22"/>
          <w:szCs w:val="22"/>
        </w:rPr>
      </w:pPr>
      <w:r w:rsidRPr="00912A5D">
        <w:rPr>
          <w:rFonts w:ascii="Times New Roman" w:hAnsi="Times New Roman"/>
          <w:sz w:val="22"/>
          <w:szCs w:val="22"/>
        </w:rPr>
        <w:t>Kaksi vuotta kestäneessä annoksilla 15, 30 ja 60 mg/kg/vrk suoritetussa karsinogeenisuustutkimuksessa pitkäikäisyys lyheni tilastollisesti merkitsevästi uroksilla annoksella 60 mg/kg/vrk ja naarailla annoksilla ≥ 30 mg/kg/vrk. Kuolleiden eläinten histopatologisissa tutkimuksissa havaittiin pääasiallisina kuolinsyinä tai lopettamisen syinä sydänlihassairaus (molemmat sukupuolet), krooninen etenevä munuaissairaus (naaraat) ja esinahkarauhasten papillooma. Kasvainmuutosten kohde-elimet olivat munuaiset, virtsarakko, virtsaputki, esinahka- ja häpykielirauhaset, ohutsuoli, lisäkilpirauhaset, lisämunuaiset ja rauhasista vapaa osa mahalaukusta.</w:t>
      </w:r>
    </w:p>
    <w:p w14:paraId="586FC46D" w14:textId="77777777" w:rsidR="00AE3698" w:rsidRPr="00912A5D" w:rsidRDefault="00AE3698">
      <w:pPr>
        <w:autoSpaceDE w:val="0"/>
        <w:autoSpaceDN w:val="0"/>
        <w:adjustRightInd w:val="0"/>
        <w:spacing w:line="240" w:lineRule="atLeast"/>
        <w:rPr>
          <w:rFonts w:ascii="Times New Roman" w:hAnsi="Times New Roman"/>
          <w:sz w:val="22"/>
          <w:szCs w:val="22"/>
        </w:rPr>
      </w:pPr>
    </w:p>
    <w:p w14:paraId="586FC46E" w14:textId="77777777" w:rsidR="00AE3698" w:rsidRPr="00912A5D" w:rsidRDefault="00AE3698">
      <w:pPr>
        <w:autoSpaceDE w:val="0"/>
        <w:autoSpaceDN w:val="0"/>
        <w:adjustRightInd w:val="0"/>
        <w:spacing w:line="240" w:lineRule="atLeast"/>
        <w:rPr>
          <w:rFonts w:ascii="Times New Roman" w:hAnsi="Times New Roman"/>
          <w:sz w:val="22"/>
          <w:szCs w:val="22"/>
        </w:rPr>
      </w:pPr>
      <w:r w:rsidRPr="00912A5D">
        <w:rPr>
          <w:rFonts w:ascii="Times New Roman" w:hAnsi="Times New Roman"/>
          <w:sz w:val="22"/>
          <w:szCs w:val="22"/>
        </w:rPr>
        <w:t>Esinahka- ja häpykielialueilla havaittiin papillooma/karsinooma annoksilla 30 mg/kg/vrk tai yli, mikä vastaa ihmisellä noin 0,5 tai 0,3 kertaista altistusta (perustuen AUC:hen) 400 mg:n ja 800 mg:n vuorokausiannoksella. Lapsilla tämä vastaa 0,4-kertaista altistusta (perustuen AUC:hen) vuorokausiannoksella 340 mg/m</w:t>
      </w:r>
      <w:r w:rsidRPr="00912A5D">
        <w:rPr>
          <w:rFonts w:ascii="Times New Roman" w:hAnsi="Times New Roman"/>
          <w:sz w:val="22"/>
          <w:szCs w:val="22"/>
          <w:vertAlign w:val="superscript"/>
        </w:rPr>
        <w:t>2</w:t>
      </w:r>
      <w:r w:rsidRPr="00912A5D">
        <w:rPr>
          <w:rFonts w:ascii="Times New Roman" w:hAnsi="Times New Roman"/>
          <w:sz w:val="22"/>
          <w:szCs w:val="22"/>
        </w:rPr>
        <w:t>/vrk. Korkein altistumistaso, jolla haitallista vaikutusta ei voitu havaita (NOEL), oli 15 mg/kg/vrk. Munuaisten adenooma/karsinooma, virtsarakon ja virtsaputken papilloomat, ohutsuolen adenokarsinoomat, lisäkilpirauhasten adenoomat, hyvän- ja pahanlaatuiset lisämunuaisytimen kasvaimet, mahalaukun rauhasista vapaan osan papilloomat/karsinoomat havaittiin annoksella 60 mg/kg/vrk, joka vastaa noin 1,7- tai 1-kertaista ihmisen päivittäistä altistumista (AUC:n perusteella) annostasolla 400 mg/vrk tai 800</w:t>
      </w:r>
      <w:bookmarkStart w:id="4" w:name="OLE_LINK2"/>
      <w:r w:rsidRPr="00912A5D">
        <w:rPr>
          <w:rFonts w:ascii="Times New Roman" w:hAnsi="Times New Roman"/>
          <w:sz w:val="22"/>
          <w:szCs w:val="22"/>
        </w:rPr>
        <w:t> </w:t>
      </w:r>
      <w:bookmarkEnd w:id="4"/>
      <w:r w:rsidRPr="00912A5D">
        <w:rPr>
          <w:rFonts w:ascii="Times New Roman" w:hAnsi="Times New Roman"/>
          <w:sz w:val="22"/>
          <w:szCs w:val="22"/>
        </w:rPr>
        <w:t>mg/vrk ja 1,2-kertaista päivittäistä altistumista lapsilla (AUC:n perusteella) annostasolla 340 mg/m</w:t>
      </w:r>
      <w:r w:rsidRPr="00912A5D">
        <w:rPr>
          <w:rFonts w:ascii="Times New Roman" w:hAnsi="Times New Roman"/>
          <w:sz w:val="22"/>
          <w:szCs w:val="22"/>
          <w:vertAlign w:val="superscript"/>
        </w:rPr>
        <w:t>2</w:t>
      </w:r>
      <w:r w:rsidRPr="00912A5D">
        <w:rPr>
          <w:rFonts w:ascii="Times New Roman" w:hAnsi="Times New Roman"/>
          <w:sz w:val="22"/>
          <w:szCs w:val="22"/>
        </w:rPr>
        <w:t>/vrk. Korkein altistumistaso, jolla haitallista vaikutusta ei voitu havaita (NOEL), oli 30 mg/kg/vrk.</w:t>
      </w:r>
    </w:p>
    <w:p w14:paraId="586FC46F" w14:textId="77777777" w:rsidR="00AE3698" w:rsidRPr="00912A5D" w:rsidRDefault="00AE3698">
      <w:pPr>
        <w:autoSpaceDE w:val="0"/>
        <w:autoSpaceDN w:val="0"/>
        <w:adjustRightInd w:val="0"/>
        <w:spacing w:line="240" w:lineRule="atLeast"/>
        <w:rPr>
          <w:rFonts w:ascii="Times New Roman" w:hAnsi="Times New Roman"/>
          <w:sz w:val="22"/>
          <w:szCs w:val="22"/>
        </w:rPr>
      </w:pPr>
    </w:p>
    <w:p w14:paraId="586FC470" w14:textId="77777777" w:rsidR="00AE3698" w:rsidRPr="00912A5D" w:rsidRDefault="00AE3698">
      <w:pPr>
        <w:rPr>
          <w:rFonts w:ascii="Times New Roman" w:hAnsi="Times New Roman"/>
          <w:sz w:val="22"/>
          <w:szCs w:val="22"/>
        </w:rPr>
      </w:pPr>
      <w:r w:rsidRPr="00912A5D">
        <w:rPr>
          <w:rFonts w:ascii="Times New Roman" w:hAnsi="Times New Roman"/>
          <w:sz w:val="22"/>
          <w:szCs w:val="22"/>
        </w:rPr>
        <w:t>Rottien karsinogeenisuustutkimusten löydösten mekanismia ja merkitystä ihmiselle ei ole vielä selvitetty.</w:t>
      </w:r>
    </w:p>
    <w:p w14:paraId="586FC471" w14:textId="77777777" w:rsidR="00AE3698" w:rsidRPr="00912A5D" w:rsidRDefault="00AE3698">
      <w:pPr>
        <w:rPr>
          <w:rFonts w:ascii="Times New Roman" w:hAnsi="Times New Roman"/>
          <w:sz w:val="22"/>
          <w:szCs w:val="22"/>
        </w:rPr>
      </w:pPr>
    </w:p>
    <w:p w14:paraId="586FC472" w14:textId="77777777" w:rsidR="00AE3698" w:rsidRPr="00912A5D" w:rsidRDefault="00AE3698">
      <w:pPr>
        <w:rPr>
          <w:rFonts w:ascii="Times New Roman" w:hAnsi="Times New Roman"/>
          <w:sz w:val="22"/>
          <w:szCs w:val="22"/>
        </w:rPr>
      </w:pPr>
      <w:r w:rsidRPr="00912A5D">
        <w:rPr>
          <w:rFonts w:ascii="Times New Roman" w:hAnsi="Times New Roman"/>
          <w:sz w:val="22"/>
          <w:szCs w:val="22"/>
        </w:rPr>
        <w:t>Aiemmissa prekliinisissä tutkimuksissa ei kartoitettu ei-neoplastisia vaurioita kardiovaskulaarisessa järjestelmässä, haimassa, endokriinisissä elimissä eikä hampaissa. Tärkeimpiä muutoksia olivat sydänlihaksen liikakasvu ja sydämen laajentuma, jotka johtivat sydämen vajaatoimintaoireisiin joillakin eläimillä.</w:t>
      </w:r>
    </w:p>
    <w:p w14:paraId="586FC473" w14:textId="77777777" w:rsidR="00AE3698" w:rsidRDefault="00AE3698">
      <w:pPr>
        <w:widowControl w:val="0"/>
        <w:rPr>
          <w:rFonts w:ascii="Times New Roman" w:hAnsi="Times New Roman"/>
          <w:sz w:val="22"/>
          <w:szCs w:val="22"/>
        </w:rPr>
      </w:pPr>
    </w:p>
    <w:p w14:paraId="586FC474" w14:textId="77777777" w:rsidR="00375291" w:rsidRDefault="00375291">
      <w:pPr>
        <w:widowControl w:val="0"/>
        <w:rPr>
          <w:rFonts w:ascii="Times New Roman" w:hAnsi="Times New Roman"/>
          <w:sz w:val="22"/>
          <w:szCs w:val="22"/>
        </w:rPr>
      </w:pPr>
      <w:r>
        <w:rPr>
          <w:rFonts w:ascii="Times New Roman" w:hAnsi="Times New Roman"/>
          <w:sz w:val="22"/>
          <w:szCs w:val="22"/>
        </w:rPr>
        <w:t>Vaikuttava aine, imatinibi, on ympäristöriski</w:t>
      </w:r>
      <w:r w:rsidR="00BB0602">
        <w:rPr>
          <w:rFonts w:ascii="Times New Roman" w:hAnsi="Times New Roman"/>
          <w:sz w:val="22"/>
          <w:szCs w:val="22"/>
        </w:rPr>
        <w:t xml:space="preserve"> </w:t>
      </w:r>
      <w:r w:rsidR="004442DF">
        <w:rPr>
          <w:rFonts w:ascii="Times New Roman" w:hAnsi="Times New Roman"/>
          <w:sz w:val="22"/>
          <w:szCs w:val="22"/>
        </w:rPr>
        <w:t>pohjael</w:t>
      </w:r>
      <w:r w:rsidR="00CF699F">
        <w:rPr>
          <w:rFonts w:ascii="Times New Roman" w:hAnsi="Times New Roman"/>
          <w:sz w:val="22"/>
          <w:szCs w:val="22"/>
        </w:rPr>
        <w:t>ä</w:t>
      </w:r>
      <w:r w:rsidR="004442DF">
        <w:rPr>
          <w:rFonts w:ascii="Times New Roman" w:hAnsi="Times New Roman"/>
          <w:sz w:val="22"/>
          <w:szCs w:val="22"/>
        </w:rPr>
        <w:t>i</w:t>
      </w:r>
      <w:r w:rsidR="00CF699F">
        <w:rPr>
          <w:rFonts w:ascii="Times New Roman" w:hAnsi="Times New Roman"/>
          <w:sz w:val="22"/>
          <w:szCs w:val="22"/>
        </w:rPr>
        <w:t>mist</w:t>
      </w:r>
      <w:r w:rsidR="004442DF">
        <w:rPr>
          <w:rFonts w:ascii="Times New Roman" w:hAnsi="Times New Roman"/>
          <w:sz w:val="22"/>
          <w:szCs w:val="22"/>
        </w:rPr>
        <w:t>ölle</w:t>
      </w:r>
      <w:r w:rsidR="00BB0602">
        <w:rPr>
          <w:rFonts w:ascii="Times New Roman" w:hAnsi="Times New Roman"/>
          <w:sz w:val="22"/>
          <w:szCs w:val="22"/>
        </w:rPr>
        <w:t>.</w:t>
      </w:r>
    </w:p>
    <w:p w14:paraId="586FC475" w14:textId="77777777" w:rsidR="00375291" w:rsidRPr="00912A5D" w:rsidRDefault="00375291">
      <w:pPr>
        <w:widowControl w:val="0"/>
        <w:rPr>
          <w:rFonts w:ascii="Times New Roman" w:hAnsi="Times New Roman"/>
          <w:sz w:val="22"/>
          <w:szCs w:val="22"/>
        </w:rPr>
      </w:pPr>
    </w:p>
    <w:p w14:paraId="586FC476" w14:textId="77777777" w:rsidR="00AE3698" w:rsidRPr="00912A5D" w:rsidRDefault="00AE3698">
      <w:pPr>
        <w:pStyle w:val="EndnoteText"/>
        <w:widowControl w:val="0"/>
        <w:tabs>
          <w:tab w:val="clear" w:pos="567"/>
        </w:tabs>
        <w:rPr>
          <w:color w:val="000000"/>
          <w:szCs w:val="22"/>
          <w:lang w:val="fi-FI"/>
        </w:rPr>
      </w:pPr>
    </w:p>
    <w:p w14:paraId="586FC477"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lastRenderedPageBreak/>
        <w:t>6.</w:t>
      </w:r>
      <w:r w:rsidRPr="00912A5D">
        <w:rPr>
          <w:rFonts w:ascii="Times New Roman" w:hAnsi="Times New Roman"/>
          <w:b/>
          <w:sz w:val="22"/>
          <w:szCs w:val="22"/>
        </w:rPr>
        <w:tab/>
        <w:t>FARMASEUTTISET TIEDOT</w:t>
      </w:r>
    </w:p>
    <w:p w14:paraId="586FC478" w14:textId="77777777" w:rsidR="00AE3698" w:rsidRPr="00912A5D" w:rsidRDefault="00AE3698" w:rsidP="00F71263">
      <w:pPr>
        <w:keepNext/>
        <w:widowControl w:val="0"/>
        <w:suppressAutoHyphens/>
        <w:rPr>
          <w:rFonts w:ascii="Times New Roman" w:hAnsi="Times New Roman"/>
          <w:sz w:val="22"/>
          <w:szCs w:val="22"/>
        </w:rPr>
      </w:pPr>
    </w:p>
    <w:p w14:paraId="586FC479"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6.1</w:t>
      </w:r>
      <w:r w:rsidRPr="00912A5D">
        <w:rPr>
          <w:rFonts w:ascii="Times New Roman" w:hAnsi="Times New Roman"/>
          <w:b/>
          <w:sz w:val="22"/>
          <w:szCs w:val="22"/>
        </w:rPr>
        <w:tab/>
        <w:t>Apuaineet</w:t>
      </w:r>
    </w:p>
    <w:p w14:paraId="586FC48F" w14:textId="47AD65B1" w:rsidR="00A510FB" w:rsidRPr="00A510FB" w:rsidRDefault="00A510FB" w:rsidP="00F71263">
      <w:pPr>
        <w:keepNext/>
        <w:widowControl w:val="0"/>
        <w:rPr>
          <w:rFonts w:ascii="Times New Roman" w:hAnsi="Times New Roman"/>
          <w:sz w:val="22"/>
          <w:szCs w:val="22"/>
          <w:u w:val="single"/>
        </w:rPr>
      </w:pPr>
    </w:p>
    <w:tbl>
      <w:tblPr>
        <w:tblW w:w="0" w:type="auto"/>
        <w:tblLayout w:type="fixed"/>
        <w:tblCellMar>
          <w:left w:w="70" w:type="dxa"/>
          <w:right w:w="70" w:type="dxa"/>
        </w:tblCellMar>
        <w:tblLook w:val="0000" w:firstRow="0" w:lastRow="0" w:firstColumn="0" w:lastColumn="0" w:noHBand="0" w:noVBand="0"/>
      </w:tblPr>
      <w:tblGrid>
        <w:gridCol w:w="1771"/>
        <w:gridCol w:w="7439"/>
      </w:tblGrid>
      <w:tr w:rsidR="00A510FB" w:rsidRPr="00912A5D" w14:paraId="586FC496" w14:textId="77777777" w:rsidTr="00F71263">
        <w:trPr>
          <w:cantSplit/>
        </w:trPr>
        <w:tc>
          <w:tcPr>
            <w:tcW w:w="1771" w:type="dxa"/>
          </w:tcPr>
          <w:p w14:paraId="586FC490" w14:textId="77777777" w:rsidR="00A510FB" w:rsidRPr="00912A5D" w:rsidRDefault="00A510FB" w:rsidP="00F71263">
            <w:pPr>
              <w:keepNext/>
              <w:widowControl w:val="0"/>
              <w:rPr>
                <w:rFonts w:ascii="Times New Roman" w:hAnsi="Times New Roman"/>
                <w:sz w:val="22"/>
                <w:szCs w:val="22"/>
              </w:rPr>
            </w:pPr>
            <w:r w:rsidRPr="00912A5D">
              <w:rPr>
                <w:rFonts w:ascii="Times New Roman" w:hAnsi="Times New Roman"/>
                <w:sz w:val="22"/>
                <w:szCs w:val="22"/>
              </w:rPr>
              <w:t>Kapselin sisältö:</w:t>
            </w:r>
          </w:p>
        </w:tc>
        <w:tc>
          <w:tcPr>
            <w:tcW w:w="7439" w:type="dxa"/>
          </w:tcPr>
          <w:p w14:paraId="586FC491" w14:textId="77777777" w:rsidR="00A510FB" w:rsidRPr="00912A5D" w:rsidRDefault="00A510FB" w:rsidP="00F71263">
            <w:pPr>
              <w:keepNext/>
              <w:widowControl w:val="0"/>
              <w:rPr>
                <w:rFonts w:ascii="Times New Roman" w:hAnsi="Times New Roman"/>
                <w:sz w:val="22"/>
                <w:szCs w:val="22"/>
              </w:rPr>
            </w:pPr>
            <w:r w:rsidRPr="00912A5D">
              <w:rPr>
                <w:rFonts w:ascii="Times New Roman" w:hAnsi="Times New Roman"/>
                <w:sz w:val="22"/>
                <w:szCs w:val="22"/>
              </w:rPr>
              <w:t>Mikrokiteinen selluloosa</w:t>
            </w:r>
          </w:p>
          <w:p w14:paraId="586FC492" w14:textId="77777777" w:rsidR="00A510FB" w:rsidRPr="00912A5D" w:rsidRDefault="00A510FB" w:rsidP="00F71263">
            <w:pPr>
              <w:keepNext/>
              <w:widowControl w:val="0"/>
              <w:rPr>
                <w:rFonts w:ascii="Times New Roman" w:hAnsi="Times New Roman"/>
                <w:sz w:val="22"/>
                <w:szCs w:val="22"/>
              </w:rPr>
            </w:pPr>
            <w:r w:rsidRPr="00912A5D">
              <w:rPr>
                <w:rFonts w:ascii="Times New Roman" w:hAnsi="Times New Roman"/>
                <w:sz w:val="22"/>
                <w:szCs w:val="22"/>
              </w:rPr>
              <w:t>Krospovidoni</w:t>
            </w:r>
          </w:p>
          <w:p w14:paraId="586FC493" w14:textId="77777777" w:rsidR="00A510FB" w:rsidRPr="00912A5D" w:rsidRDefault="00A510FB" w:rsidP="00F71263">
            <w:pPr>
              <w:keepNext/>
              <w:widowControl w:val="0"/>
              <w:rPr>
                <w:rFonts w:ascii="Times New Roman" w:hAnsi="Times New Roman"/>
                <w:sz w:val="22"/>
                <w:szCs w:val="22"/>
              </w:rPr>
            </w:pPr>
            <w:r w:rsidRPr="00912A5D">
              <w:rPr>
                <w:rFonts w:ascii="Times New Roman" w:hAnsi="Times New Roman"/>
                <w:sz w:val="22"/>
                <w:szCs w:val="22"/>
              </w:rPr>
              <w:t>Magnesiumstearaatti</w:t>
            </w:r>
          </w:p>
          <w:p w14:paraId="586FC494" w14:textId="77777777" w:rsidR="00A510FB" w:rsidRPr="00912A5D" w:rsidRDefault="00A510FB" w:rsidP="00F71263">
            <w:pPr>
              <w:keepNext/>
              <w:widowControl w:val="0"/>
              <w:rPr>
                <w:rFonts w:ascii="Times New Roman" w:hAnsi="Times New Roman"/>
                <w:sz w:val="22"/>
                <w:szCs w:val="22"/>
              </w:rPr>
            </w:pPr>
            <w:r>
              <w:rPr>
                <w:rFonts w:ascii="Times New Roman" w:hAnsi="Times New Roman"/>
                <w:sz w:val="22"/>
                <w:szCs w:val="22"/>
              </w:rPr>
              <w:t>V</w:t>
            </w:r>
            <w:r w:rsidRPr="00912A5D">
              <w:rPr>
                <w:rFonts w:ascii="Times New Roman" w:hAnsi="Times New Roman"/>
                <w:sz w:val="22"/>
                <w:szCs w:val="22"/>
              </w:rPr>
              <w:t>edetön kolloidinen piidioksidi</w:t>
            </w:r>
          </w:p>
          <w:p w14:paraId="586FC495" w14:textId="77777777" w:rsidR="00A510FB" w:rsidRPr="00912A5D" w:rsidRDefault="00A510FB" w:rsidP="00F71263">
            <w:pPr>
              <w:keepNext/>
              <w:widowControl w:val="0"/>
              <w:rPr>
                <w:rFonts w:ascii="Times New Roman" w:hAnsi="Times New Roman"/>
                <w:sz w:val="22"/>
                <w:szCs w:val="22"/>
              </w:rPr>
            </w:pPr>
          </w:p>
        </w:tc>
      </w:tr>
      <w:tr w:rsidR="00A510FB" w:rsidRPr="00912A5D" w14:paraId="586FC49D" w14:textId="77777777" w:rsidTr="00F71263">
        <w:trPr>
          <w:cantSplit/>
        </w:trPr>
        <w:tc>
          <w:tcPr>
            <w:tcW w:w="1771" w:type="dxa"/>
          </w:tcPr>
          <w:p w14:paraId="586FC497" w14:textId="77777777" w:rsidR="00A510FB" w:rsidRPr="00912A5D" w:rsidRDefault="00A510FB" w:rsidP="00F71263">
            <w:pPr>
              <w:keepNext/>
              <w:widowControl w:val="0"/>
              <w:rPr>
                <w:rFonts w:ascii="Times New Roman" w:hAnsi="Times New Roman"/>
                <w:sz w:val="22"/>
                <w:szCs w:val="22"/>
              </w:rPr>
            </w:pPr>
            <w:r w:rsidRPr="00912A5D">
              <w:rPr>
                <w:rFonts w:ascii="Times New Roman" w:hAnsi="Times New Roman"/>
                <w:sz w:val="22"/>
                <w:szCs w:val="22"/>
              </w:rPr>
              <w:t>Kapselikuori:</w:t>
            </w:r>
          </w:p>
        </w:tc>
        <w:tc>
          <w:tcPr>
            <w:tcW w:w="7439" w:type="dxa"/>
          </w:tcPr>
          <w:p w14:paraId="586FC498" w14:textId="77777777" w:rsidR="00A510FB" w:rsidRPr="00912A5D" w:rsidRDefault="00A510FB" w:rsidP="00F71263">
            <w:pPr>
              <w:keepNext/>
              <w:widowControl w:val="0"/>
              <w:rPr>
                <w:rFonts w:ascii="Times New Roman" w:hAnsi="Times New Roman"/>
                <w:sz w:val="22"/>
                <w:szCs w:val="22"/>
              </w:rPr>
            </w:pPr>
            <w:r w:rsidRPr="00912A5D">
              <w:rPr>
                <w:rFonts w:ascii="Times New Roman" w:hAnsi="Times New Roman"/>
                <w:sz w:val="22"/>
                <w:szCs w:val="22"/>
              </w:rPr>
              <w:t>Liivate</w:t>
            </w:r>
          </w:p>
          <w:p w14:paraId="586FC499" w14:textId="77777777" w:rsidR="00A510FB" w:rsidRDefault="00A510FB" w:rsidP="00F71263">
            <w:pPr>
              <w:keepNext/>
              <w:widowControl w:val="0"/>
              <w:rPr>
                <w:rFonts w:ascii="Times New Roman" w:hAnsi="Times New Roman"/>
                <w:sz w:val="22"/>
                <w:szCs w:val="22"/>
              </w:rPr>
            </w:pPr>
            <w:r>
              <w:rPr>
                <w:rFonts w:ascii="Times New Roman" w:hAnsi="Times New Roman"/>
                <w:sz w:val="22"/>
                <w:szCs w:val="22"/>
              </w:rPr>
              <w:t>Punainen rautaoksidi (E172)</w:t>
            </w:r>
          </w:p>
          <w:p w14:paraId="586FC49A" w14:textId="77777777" w:rsidR="00A510FB" w:rsidRPr="00912A5D" w:rsidRDefault="00A510FB" w:rsidP="00F71263">
            <w:pPr>
              <w:keepNext/>
              <w:widowControl w:val="0"/>
              <w:rPr>
                <w:rFonts w:ascii="Times New Roman" w:hAnsi="Times New Roman"/>
                <w:sz w:val="22"/>
                <w:szCs w:val="22"/>
              </w:rPr>
            </w:pPr>
            <w:r w:rsidRPr="00912A5D">
              <w:rPr>
                <w:rFonts w:ascii="Times New Roman" w:hAnsi="Times New Roman"/>
                <w:sz w:val="22"/>
                <w:szCs w:val="22"/>
              </w:rPr>
              <w:t>Keltainen rautaoksidi (E172)</w:t>
            </w:r>
          </w:p>
          <w:p w14:paraId="586FC49B" w14:textId="77777777" w:rsidR="00A510FB" w:rsidRPr="00912A5D" w:rsidRDefault="00A510FB" w:rsidP="00F71263">
            <w:pPr>
              <w:keepNext/>
              <w:widowControl w:val="0"/>
              <w:rPr>
                <w:rFonts w:ascii="Times New Roman" w:hAnsi="Times New Roman"/>
                <w:sz w:val="22"/>
                <w:szCs w:val="22"/>
              </w:rPr>
            </w:pPr>
            <w:r w:rsidRPr="00912A5D">
              <w:rPr>
                <w:rFonts w:ascii="Times New Roman" w:hAnsi="Times New Roman"/>
                <w:sz w:val="22"/>
                <w:szCs w:val="22"/>
              </w:rPr>
              <w:t>Titaanidioksidi (E171)</w:t>
            </w:r>
          </w:p>
          <w:p w14:paraId="586FC49C" w14:textId="77777777" w:rsidR="00A510FB" w:rsidRPr="00912A5D" w:rsidRDefault="00A510FB" w:rsidP="00F71263">
            <w:pPr>
              <w:keepNext/>
              <w:widowControl w:val="0"/>
              <w:rPr>
                <w:rFonts w:ascii="Times New Roman" w:hAnsi="Times New Roman"/>
                <w:sz w:val="22"/>
                <w:szCs w:val="22"/>
              </w:rPr>
            </w:pPr>
          </w:p>
        </w:tc>
      </w:tr>
      <w:tr w:rsidR="00A510FB" w:rsidRPr="00912A5D" w14:paraId="586FC4A1" w14:textId="77777777" w:rsidTr="00F71263">
        <w:trPr>
          <w:cantSplit/>
        </w:trPr>
        <w:tc>
          <w:tcPr>
            <w:tcW w:w="1771" w:type="dxa"/>
          </w:tcPr>
          <w:p w14:paraId="586FC49E" w14:textId="77777777" w:rsidR="00A510FB" w:rsidRPr="00912A5D" w:rsidRDefault="00A510FB" w:rsidP="00472E73">
            <w:pPr>
              <w:widowControl w:val="0"/>
              <w:rPr>
                <w:rFonts w:ascii="Times New Roman" w:hAnsi="Times New Roman"/>
                <w:sz w:val="22"/>
                <w:szCs w:val="22"/>
              </w:rPr>
            </w:pPr>
            <w:r w:rsidRPr="00912A5D">
              <w:rPr>
                <w:rFonts w:ascii="Times New Roman" w:hAnsi="Times New Roman"/>
                <w:sz w:val="22"/>
                <w:szCs w:val="22"/>
              </w:rPr>
              <w:t>Painomuste:</w:t>
            </w:r>
          </w:p>
        </w:tc>
        <w:tc>
          <w:tcPr>
            <w:tcW w:w="7439" w:type="dxa"/>
          </w:tcPr>
          <w:p w14:paraId="586FC49F" w14:textId="77777777" w:rsidR="00A510FB" w:rsidRPr="00912A5D" w:rsidRDefault="00A510FB" w:rsidP="00472E73">
            <w:pPr>
              <w:widowControl w:val="0"/>
              <w:rPr>
                <w:rFonts w:ascii="Times New Roman" w:hAnsi="Times New Roman"/>
                <w:sz w:val="22"/>
                <w:szCs w:val="22"/>
              </w:rPr>
            </w:pPr>
            <w:r w:rsidRPr="00912A5D">
              <w:rPr>
                <w:rFonts w:ascii="Times New Roman" w:hAnsi="Times New Roman"/>
                <w:sz w:val="22"/>
                <w:szCs w:val="22"/>
              </w:rPr>
              <w:t>Punainen rautaoksidi (E172)</w:t>
            </w:r>
          </w:p>
          <w:p w14:paraId="586FC4A0" w14:textId="77777777" w:rsidR="00A510FB" w:rsidRPr="00912A5D" w:rsidRDefault="00A510FB" w:rsidP="00A510FB">
            <w:pPr>
              <w:widowControl w:val="0"/>
              <w:rPr>
                <w:rFonts w:ascii="Times New Roman" w:hAnsi="Times New Roman"/>
                <w:sz w:val="22"/>
                <w:szCs w:val="22"/>
              </w:rPr>
            </w:pPr>
            <w:r w:rsidRPr="00912A5D">
              <w:rPr>
                <w:rFonts w:ascii="Times New Roman" w:hAnsi="Times New Roman"/>
                <w:sz w:val="22"/>
                <w:szCs w:val="22"/>
              </w:rPr>
              <w:t>Shellakka</w:t>
            </w:r>
          </w:p>
        </w:tc>
      </w:tr>
    </w:tbl>
    <w:p w14:paraId="586FC4A2" w14:textId="77777777" w:rsidR="00A510FB" w:rsidRPr="00912A5D" w:rsidRDefault="00A510FB">
      <w:pPr>
        <w:widowControl w:val="0"/>
        <w:rPr>
          <w:rFonts w:ascii="Times New Roman" w:hAnsi="Times New Roman"/>
          <w:sz w:val="22"/>
          <w:szCs w:val="22"/>
        </w:rPr>
      </w:pPr>
    </w:p>
    <w:p w14:paraId="586FC4A3"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6.2</w:t>
      </w:r>
      <w:r w:rsidRPr="00912A5D">
        <w:rPr>
          <w:rFonts w:ascii="Times New Roman" w:hAnsi="Times New Roman"/>
          <w:b/>
          <w:sz w:val="22"/>
          <w:szCs w:val="22"/>
        </w:rPr>
        <w:tab/>
        <w:t>Yhteensopimattomuudet</w:t>
      </w:r>
    </w:p>
    <w:p w14:paraId="586FC4A4" w14:textId="77777777" w:rsidR="00AE3698" w:rsidRPr="00912A5D" w:rsidRDefault="00AE3698" w:rsidP="00F71263">
      <w:pPr>
        <w:keepNext/>
        <w:widowControl w:val="0"/>
        <w:rPr>
          <w:rFonts w:ascii="Times New Roman" w:hAnsi="Times New Roman"/>
          <w:sz w:val="22"/>
          <w:szCs w:val="22"/>
        </w:rPr>
      </w:pPr>
    </w:p>
    <w:p w14:paraId="586FC4A5"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Ei oleellinen.</w:t>
      </w:r>
    </w:p>
    <w:p w14:paraId="586FC4A6" w14:textId="77777777" w:rsidR="00AE3698" w:rsidRPr="00912A5D" w:rsidRDefault="00AE3698">
      <w:pPr>
        <w:pStyle w:val="EndnoteText"/>
        <w:widowControl w:val="0"/>
        <w:tabs>
          <w:tab w:val="clear" w:pos="567"/>
        </w:tabs>
        <w:rPr>
          <w:color w:val="000000"/>
          <w:szCs w:val="22"/>
          <w:lang w:val="fi-FI"/>
        </w:rPr>
      </w:pPr>
    </w:p>
    <w:p w14:paraId="586FC4A7"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6.3</w:t>
      </w:r>
      <w:r w:rsidRPr="00912A5D">
        <w:rPr>
          <w:rFonts w:ascii="Times New Roman" w:hAnsi="Times New Roman"/>
          <w:b/>
          <w:sz w:val="22"/>
          <w:szCs w:val="22"/>
        </w:rPr>
        <w:tab/>
        <w:t>Kestoaika</w:t>
      </w:r>
    </w:p>
    <w:p w14:paraId="586FC4A8" w14:textId="77777777" w:rsidR="00AE3698" w:rsidRPr="00912A5D" w:rsidRDefault="00AE3698" w:rsidP="00F71263">
      <w:pPr>
        <w:keepNext/>
        <w:widowControl w:val="0"/>
        <w:rPr>
          <w:rFonts w:ascii="Times New Roman" w:hAnsi="Times New Roman"/>
          <w:sz w:val="22"/>
          <w:szCs w:val="22"/>
        </w:rPr>
      </w:pPr>
    </w:p>
    <w:p w14:paraId="586FC4A9"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2 vuotta</w:t>
      </w:r>
    </w:p>
    <w:p w14:paraId="586FC4AA" w14:textId="77777777" w:rsidR="00AE3698" w:rsidRPr="00912A5D" w:rsidRDefault="00AE3698">
      <w:pPr>
        <w:pStyle w:val="EndnoteText"/>
        <w:widowControl w:val="0"/>
        <w:tabs>
          <w:tab w:val="clear" w:pos="567"/>
        </w:tabs>
        <w:rPr>
          <w:color w:val="000000"/>
          <w:szCs w:val="22"/>
          <w:lang w:val="fi-FI"/>
        </w:rPr>
      </w:pPr>
    </w:p>
    <w:p w14:paraId="586FC4AB" w14:textId="77777777" w:rsidR="00AE3698" w:rsidRPr="00912A5D" w:rsidRDefault="00AE3698" w:rsidP="00F71263">
      <w:pPr>
        <w:keepNext/>
        <w:widowControl w:val="0"/>
        <w:suppressAutoHyphens/>
        <w:ind w:left="567" w:hanging="567"/>
        <w:rPr>
          <w:rFonts w:ascii="Times New Roman" w:hAnsi="Times New Roman"/>
          <w:b/>
          <w:sz w:val="22"/>
          <w:szCs w:val="22"/>
        </w:rPr>
      </w:pPr>
      <w:r w:rsidRPr="00912A5D">
        <w:rPr>
          <w:rFonts w:ascii="Times New Roman" w:hAnsi="Times New Roman"/>
          <w:b/>
          <w:sz w:val="22"/>
          <w:szCs w:val="22"/>
        </w:rPr>
        <w:t>6.4</w:t>
      </w:r>
      <w:r w:rsidRPr="00912A5D">
        <w:rPr>
          <w:rFonts w:ascii="Times New Roman" w:hAnsi="Times New Roman"/>
          <w:b/>
          <w:sz w:val="22"/>
          <w:szCs w:val="22"/>
        </w:rPr>
        <w:tab/>
        <w:t>Säilytys</w:t>
      </w:r>
    </w:p>
    <w:p w14:paraId="586FC4AC" w14:textId="77777777" w:rsidR="00AE3698" w:rsidRPr="00912A5D" w:rsidRDefault="00AE3698" w:rsidP="00F71263">
      <w:pPr>
        <w:keepNext/>
        <w:widowControl w:val="0"/>
        <w:rPr>
          <w:rFonts w:ascii="Times New Roman" w:hAnsi="Times New Roman"/>
          <w:sz w:val="22"/>
          <w:szCs w:val="22"/>
        </w:rPr>
      </w:pPr>
    </w:p>
    <w:p w14:paraId="586FC4AD"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Säilytä alle 30</w:t>
      </w:r>
      <w:r w:rsidRPr="00912A5D">
        <w:rPr>
          <w:rFonts w:ascii="Times New Roman" w:hAnsi="Times New Roman"/>
          <w:sz w:val="22"/>
          <w:szCs w:val="22"/>
        </w:rPr>
        <w:sym w:font="Symbol" w:char="F0B0"/>
      </w:r>
      <w:r w:rsidRPr="00912A5D">
        <w:rPr>
          <w:rFonts w:ascii="Times New Roman" w:hAnsi="Times New Roman"/>
          <w:sz w:val="22"/>
          <w:szCs w:val="22"/>
        </w:rPr>
        <w:t>C.</w:t>
      </w:r>
    </w:p>
    <w:p w14:paraId="586FC4AE" w14:textId="77777777" w:rsidR="00AE3698" w:rsidRPr="00912A5D" w:rsidRDefault="00AE3698">
      <w:pPr>
        <w:widowControl w:val="0"/>
        <w:rPr>
          <w:rFonts w:ascii="Times New Roman" w:hAnsi="Times New Roman"/>
          <w:sz w:val="22"/>
          <w:szCs w:val="22"/>
        </w:rPr>
      </w:pPr>
    </w:p>
    <w:p w14:paraId="586FC4AF"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Säilytä alkuperäispakkauksessa. Herkkä kosteudelle.</w:t>
      </w:r>
    </w:p>
    <w:p w14:paraId="586FC4B0" w14:textId="77777777" w:rsidR="00AE3698" w:rsidRPr="00912A5D" w:rsidRDefault="00AE3698">
      <w:pPr>
        <w:widowControl w:val="0"/>
        <w:rPr>
          <w:rFonts w:ascii="Times New Roman" w:hAnsi="Times New Roman"/>
          <w:sz w:val="22"/>
          <w:szCs w:val="22"/>
        </w:rPr>
      </w:pPr>
    </w:p>
    <w:p w14:paraId="586FC4B1" w14:textId="77777777" w:rsidR="00AE3698" w:rsidRPr="00912A5D" w:rsidRDefault="00AE3698" w:rsidP="00F71263">
      <w:pPr>
        <w:keepNext/>
        <w:widowControl w:val="0"/>
        <w:suppressAutoHyphens/>
        <w:ind w:left="570" w:hanging="570"/>
        <w:rPr>
          <w:rFonts w:ascii="Times New Roman" w:hAnsi="Times New Roman"/>
          <w:b/>
          <w:sz w:val="22"/>
          <w:szCs w:val="22"/>
        </w:rPr>
      </w:pPr>
      <w:r w:rsidRPr="00912A5D">
        <w:rPr>
          <w:rFonts w:ascii="Times New Roman" w:hAnsi="Times New Roman"/>
          <w:b/>
          <w:sz w:val="22"/>
          <w:szCs w:val="22"/>
        </w:rPr>
        <w:t>6.5</w:t>
      </w:r>
      <w:r w:rsidRPr="00912A5D">
        <w:rPr>
          <w:rFonts w:ascii="Times New Roman" w:hAnsi="Times New Roman"/>
          <w:b/>
          <w:sz w:val="22"/>
          <w:szCs w:val="22"/>
        </w:rPr>
        <w:tab/>
        <w:t>Pakkaustyyppi ja pakkauskoot</w:t>
      </w:r>
    </w:p>
    <w:p w14:paraId="586FC4B2" w14:textId="77777777" w:rsidR="00AE3698" w:rsidRPr="00912A5D" w:rsidRDefault="00AE3698" w:rsidP="00F71263">
      <w:pPr>
        <w:pStyle w:val="EndnoteText"/>
        <w:keepNext/>
        <w:widowControl w:val="0"/>
        <w:tabs>
          <w:tab w:val="clear" w:pos="567"/>
        </w:tabs>
        <w:rPr>
          <w:color w:val="000000"/>
          <w:szCs w:val="22"/>
          <w:lang w:val="fi-FI"/>
        </w:rPr>
      </w:pPr>
    </w:p>
    <w:p w14:paraId="586FC4B3"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PVC/alumiini-läpipainopakkaukset</w:t>
      </w:r>
    </w:p>
    <w:p w14:paraId="586FC4B4" w14:textId="77777777" w:rsidR="00AE3698" w:rsidRPr="00912A5D" w:rsidRDefault="00AE3698">
      <w:pPr>
        <w:widowControl w:val="0"/>
        <w:rPr>
          <w:rFonts w:ascii="Times New Roman" w:hAnsi="Times New Roman"/>
          <w:sz w:val="22"/>
          <w:szCs w:val="22"/>
        </w:rPr>
      </w:pPr>
    </w:p>
    <w:p w14:paraId="586FC4B9" w14:textId="77777777" w:rsidR="00C6392C" w:rsidRPr="00912A5D" w:rsidRDefault="00C6392C" w:rsidP="00C6392C">
      <w:pPr>
        <w:pStyle w:val="EndnoteText"/>
        <w:widowControl w:val="0"/>
        <w:tabs>
          <w:tab w:val="clear" w:pos="567"/>
        </w:tabs>
        <w:rPr>
          <w:color w:val="000000"/>
          <w:szCs w:val="22"/>
          <w:lang w:val="fi-FI"/>
        </w:rPr>
      </w:pPr>
      <w:r>
        <w:rPr>
          <w:color w:val="000000"/>
          <w:szCs w:val="22"/>
          <w:lang w:val="fi-FI"/>
        </w:rPr>
        <w:t>24, 48, 96, 120 ja 18</w:t>
      </w:r>
      <w:r w:rsidRPr="00912A5D">
        <w:rPr>
          <w:color w:val="000000"/>
          <w:szCs w:val="22"/>
          <w:lang w:val="fi-FI"/>
        </w:rPr>
        <w:t>0 kapselia sisältävät pakkaukset.</w:t>
      </w:r>
    </w:p>
    <w:p w14:paraId="586FC4BA" w14:textId="77777777" w:rsidR="00C6392C" w:rsidRDefault="00C6392C">
      <w:pPr>
        <w:pStyle w:val="EndnoteText"/>
        <w:widowControl w:val="0"/>
        <w:tabs>
          <w:tab w:val="clear" w:pos="567"/>
        </w:tabs>
        <w:rPr>
          <w:color w:val="000000"/>
          <w:szCs w:val="22"/>
          <w:lang w:val="fi-FI"/>
        </w:rPr>
      </w:pPr>
    </w:p>
    <w:p w14:paraId="586FC4BB" w14:textId="77777777" w:rsidR="00D83DE5" w:rsidRDefault="00D83DE5">
      <w:pPr>
        <w:pStyle w:val="EndnoteText"/>
        <w:widowControl w:val="0"/>
        <w:tabs>
          <w:tab w:val="clear" w:pos="567"/>
        </w:tabs>
        <w:rPr>
          <w:color w:val="000000"/>
          <w:szCs w:val="22"/>
          <w:lang w:val="fi-FI"/>
        </w:rPr>
      </w:pPr>
      <w:r w:rsidRPr="00D83DE5">
        <w:rPr>
          <w:color w:val="000000"/>
          <w:szCs w:val="22"/>
          <w:lang w:val="fi-FI"/>
        </w:rPr>
        <w:t>Kaikkia pakkauskokoja ei välttämättä ole myynnissä.</w:t>
      </w:r>
    </w:p>
    <w:p w14:paraId="586FC4BC" w14:textId="77777777" w:rsidR="00D83DE5" w:rsidRPr="00912A5D" w:rsidRDefault="00D83DE5">
      <w:pPr>
        <w:pStyle w:val="EndnoteText"/>
        <w:widowControl w:val="0"/>
        <w:tabs>
          <w:tab w:val="clear" w:pos="567"/>
        </w:tabs>
        <w:rPr>
          <w:color w:val="000000"/>
          <w:szCs w:val="22"/>
          <w:lang w:val="fi-FI"/>
        </w:rPr>
      </w:pPr>
    </w:p>
    <w:p w14:paraId="586FC4BD" w14:textId="77777777" w:rsidR="00AE3698" w:rsidRPr="00912A5D" w:rsidRDefault="00AE3698" w:rsidP="00F71263">
      <w:pPr>
        <w:keepNext/>
        <w:suppressAutoHyphens/>
        <w:ind w:left="567" w:hanging="567"/>
        <w:rPr>
          <w:rFonts w:ascii="Times New Roman" w:hAnsi="Times New Roman"/>
          <w:b/>
          <w:noProof/>
          <w:sz w:val="22"/>
          <w:szCs w:val="22"/>
        </w:rPr>
      </w:pPr>
      <w:r w:rsidRPr="00912A5D">
        <w:rPr>
          <w:rFonts w:ascii="Times New Roman" w:hAnsi="Times New Roman"/>
          <w:b/>
          <w:noProof/>
          <w:sz w:val="22"/>
          <w:szCs w:val="22"/>
        </w:rPr>
        <w:t>6.6</w:t>
      </w:r>
      <w:r w:rsidRPr="00912A5D">
        <w:rPr>
          <w:rFonts w:ascii="Times New Roman" w:hAnsi="Times New Roman"/>
          <w:b/>
          <w:noProof/>
          <w:sz w:val="22"/>
          <w:szCs w:val="22"/>
        </w:rPr>
        <w:tab/>
        <w:t>Erityiset varotoimet hävittämiselle</w:t>
      </w:r>
    </w:p>
    <w:p w14:paraId="586FC4BE" w14:textId="77777777" w:rsidR="00AE3698" w:rsidRPr="00912A5D" w:rsidRDefault="00AE3698" w:rsidP="00F71263">
      <w:pPr>
        <w:pStyle w:val="EndnoteText"/>
        <w:keepNext/>
        <w:widowControl w:val="0"/>
        <w:tabs>
          <w:tab w:val="clear" w:pos="567"/>
        </w:tabs>
        <w:rPr>
          <w:color w:val="000000"/>
          <w:szCs w:val="22"/>
          <w:lang w:val="fi-FI"/>
        </w:rPr>
      </w:pPr>
    </w:p>
    <w:p w14:paraId="586FC4BF" w14:textId="77777777" w:rsidR="00AE3698" w:rsidRPr="00912A5D" w:rsidRDefault="00373055">
      <w:pPr>
        <w:pStyle w:val="EndnoteText"/>
        <w:widowControl w:val="0"/>
        <w:tabs>
          <w:tab w:val="clear" w:pos="567"/>
        </w:tabs>
        <w:rPr>
          <w:color w:val="000000"/>
          <w:szCs w:val="22"/>
          <w:lang w:val="fi-FI"/>
        </w:rPr>
      </w:pPr>
      <w:r w:rsidRPr="00373055">
        <w:rPr>
          <w:noProof/>
          <w:snapToGrid w:val="0"/>
          <w:szCs w:val="24"/>
          <w:lang w:val="fi-FI"/>
        </w:rPr>
        <w:t>Käyttämätön lääkevalmiste tai jäte on hävitettävä paikallisten vaatimusten mukaisesti.</w:t>
      </w:r>
    </w:p>
    <w:p w14:paraId="586FC4C0" w14:textId="77777777" w:rsidR="00AE3698" w:rsidRPr="00912A5D" w:rsidRDefault="00AE3698">
      <w:pPr>
        <w:pStyle w:val="EndnoteText"/>
        <w:widowControl w:val="0"/>
        <w:tabs>
          <w:tab w:val="clear" w:pos="567"/>
        </w:tabs>
        <w:rPr>
          <w:color w:val="000000"/>
          <w:szCs w:val="22"/>
          <w:lang w:val="fi-FI"/>
        </w:rPr>
      </w:pPr>
    </w:p>
    <w:p w14:paraId="586FC4C1" w14:textId="77777777" w:rsidR="00AE3698" w:rsidRPr="00912A5D" w:rsidRDefault="00AE3698">
      <w:pPr>
        <w:pStyle w:val="EndnoteText"/>
        <w:widowControl w:val="0"/>
        <w:tabs>
          <w:tab w:val="clear" w:pos="567"/>
        </w:tabs>
        <w:rPr>
          <w:color w:val="000000"/>
          <w:szCs w:val="22"/>
          <w:lang w:val="fi-FI"/>
        </w:rPr>
      </w:pPr>
    </w:p>
    <w:p w14:paraId="586FC4C2" w14:textId="77777777" w:rsidR="00AE3698" w:rsidRPr="00112B38" w:rsidRDefault="00AE3698" w:rsidP="00F71263">
      <w:pPr>
        <w:keepNext/>
        <w:widowControl w:val="0"/>
        <w:suppressAutoHyphens/>
        <w:ind w:left="567" w:hanging="567"/>
        <w:rPr>
          <w:rFonts w:ascii="Times New Roman" w:hAnsi="Times New Roman"/>
          <w:sz w:val="22"/>
          <w:szCs w:val="22"/>
          <w:lang w:val="en-US"/>
        </w:rPr>
      </w:pPr>
      <w:r w:rsidRPr="00112B38">
        <w:rPr>
          <w:rFonts w:ascii="Times New Roman" w:hAnsi="Times New Roman"/>
          <w:b/>
          <w:sz w:val="22"/>
          <w:szCs w:val="22"/>
          <w:lang w:val="en-US"/>
        </w:rPr>
        <w:t>7.</w:t>
      </w:r>
      <w:r w:rsidRPr="00112B38">
        <w:rPr>
          <w:rFonts w:ascii="Times New Roman" w:hAnsi="Times New Roman"/>
          <w:b/>
          <w:sz w:val="22"/>
          <w:szCs w:val="22"/>
          <w:lang w:val="en-US"/>
        </w:rPr>
        <w:tab/>
        <w:t>MYYNTILUVAN HALTIJA</w:t>
      </w:r>
    </w:p>
    <w:p w14:paraId="586FC4C3" w14:textId="77777777" w:rsidR="00AE3698" w:rsidRPr="00112B38" w:rsidRDefault="00AE3698" w:rsidP="00F71263">
      <w:pPr>
        <w:pStyle w:val="EndnoteText"/>
        <w:keepNext/>
        <w:widowControl w:val="0"/>
        <w:tabs>
          <w:tab w:val="clear" w:pos="567"/>
        </w:tabs>
        <w:rPr>
          <w:color w:val="000000"/>
          <w:szCs w:val="22"/>
          <w:lang w:val="en-US"/>
        </w:rPr>
      </w:pPr>
    </w:p>
    <w:p w14:paraId="586FC4C4" w14:textId="77777777" w:rsidR="00AE3698" w:rsidRPr="00112B38" w:rsidRDefault="00AE3698" w:rsidP="00F71263">
      <w:pPr>
        <w:keepNext/>
        <w:widowControl w:val="0"/>
        <w:rPr>
          <w:rFonts w:ascii="Times New Roman" w:hAnsi="Times New Roman"/>
          <w:sz w:val="22"/>
          <w:szCs w:val="22"/>
          <w:lang w:val="en-US"/>
        </w:rPr>
      </w:pPr>
      <w:r w:rsidRPr="00112B38">
        <w:rPr>
          <w:rFonts w:ascii="Times New Roman" w:hAnsi="Times New Roman"/>
          <w:sz w:val="22"/>
          <w:szCs w:val="22"/>
          <w:lang w:val="en-US"/>
        </w:rPr>
        <w:t>Novartis Europharm Limited</w:t>
      </w:r>
    </w:p>
    <w:p w14:paraId="586FC4C5"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Vista Building</w:t>
      </w:r>
    </w:p>
    <w:p w14:paraId="586FC4C6"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Elm Park, Merrion Road</w:t>
      </w:r>
    </w:p>
    <w:p w14:paraId="586FC4C7" w14:textId="77777777" w:rsidR="00A331BE" w:rsidRPr="00A331BE" w:rsidRDefault="00A331BE" w:rsidP="00A331BE">
      <w:pPr>
        <w:keepNext/>
        <w:widowControl w:val="0"/>
        <w:rPr>
          <w:rFonts w:ascii="Times New Roman" w:hAnsi="Times New Roman"/>
          <w:sz w:val="22"/>
          <w:szCs w:val="22"/>
        </w:rPr>
      </w:pPr>
      <w:r w:rsidRPr="00A331BE">
        <w:rPr>
          <w:rFonts w:ascii="Times New Roman" w:hAnsi="Times New Roman"/>
          <w:sz w:val="22"/>
          <w:szCs w:val="22"/>
        </w:rPr>
        <w:t>Dublin 4</w:t>
      </w:r>
    </w:p>
    <w:p w14:paraId="586FC4C8" w14:textId="77777777" w:rsidR="00A331BE" w:rsidRPr="00A331BE" w:rsidRDefault="00A331BE" w:rsidP="00A331BE">
      <w:pPr>
        <w:rPr>
          <w:rFonts w:ascii="Times New Roman" w:hAnsi="Times New Roman"/>
          <w:sz w:val="22"/>
          <w:szCs w:val="22"/>
        </w:rPr>
      </w:pPr>
      <w:r w:rsidRPr="00A331BE">
        <w:rPr>
          <w:rFonts w:ascii="Times New Roman" w:hAnsi="Times New Roman"/>
          <w:sz w:val="22"/>
          <w:szCs w:val="22"/>
        </w:rPr>
        <w:t>Irlanti</w:t>
      </w:r>
    </w:p>
    <w:p w14:paraId="586FC4C9" w14:textId="77777777" w:rsidR="00AE3698" w:rsidRPr="00912A5D" w:rsidRDefault="00AE3698">
      <w:pPr>
        <w:widowControl w:val="0"/>
        <w:rPr>
          <w:rFonts w:ascii="Times New Roman" w:hAnsi="Times New Roman"/>
          <w:sz w:val="22"/>
          <w:szCs w:val="22"/>
        </w:rPr>
      </w:pPr>
    </w:p>
    <w:p w14:paraId="586FC4CA" w14:textId="77777777" w:rsidR="00AE3698" w:rsidRPr="00912A5D" w:rsidRDefault="00AE3698">
      <w:pPr>
        <w:pStyle w:val="EndnoteText"/>
        <w:widowControl w:val="0"/>
        <w:tabs>
          <w:tab w:val="clear" w:pos="567"/>
        </w:tabs>
        <w:rPr>
          <w:color w:val="000000"/>
          <w:szCs w:val="22"/>
          <w:lang w:val="fi-FI"/>
        </w:rPr>
      </w:pPr>
    </w:p>
    <w:p w14:paraId="586FC4CB"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8.</w:t>
      </w:r>
      <w:r w:rsidRPr="00912A5D">
        <w:rPr>
          <w:rFonts w:ascii="Times New Roman" w:hAnsi="Times New Roman"/>
          <w:b/>
          <w:sz w:val="22"/>
          <w:szCs w:val="22"/>
        </w:rPr>
        <w:tab/>
        <w:t>MYYNTILUVAN NUMERO(T)</w:t>
      </w:r>
    </w:p>
    <w:p w14:paraId="586FC4CC" w14:textId="77777777" w:rsidR="00AE3698" w:rsidRPr="00912A5D" w:rsidRDefault="00AE3698" w:rsidP="00F71263">
      <w:pPr>
        <w:pStyle w:val="EndnoteText"/>
        <w:keepNext/>
        <w:widowControl w:val="0"/>
        <w:tabs>
          <w:tab w:val="clear" w:pos="567"/>
        </w:tabs>
        <w:rPr>
          <w:color w:val="000000"/>
          <w:szCs w:val="22"/>
          <w:lang w:val="fi-FI"/>
        </w:rPr>
      </w:pPr>
    </w:p>
    <w:p w14:paraId="586FC4D1" w14:textId="77777777" w:rsidR="00D83DE5" w:rsidRPr="00912A5D" w:rsidRDefault="00D83DE5" w:rsidP="00D83DE5">
      <w:pPr>
        <w:pStyle w:val="EndnoteText"/>
        <w:widowControl w:val="0"/>
        <w:tabs>
          <w:tab w:val="clear" w:pos="567"/>
        </w:tabs>
        <w:rPr>
          <w:color w:val="000000"/>
          <w:szCs w:val="22"/>
          <w:lang w:val="fi-FI"/>
        </w:rPr>
      </w:pPr>
      <w:r>
        <w:rPr>
          <w:color w:val="000000"/>
          <w:szCs w:val="22"/>
          <w:lang w:val="fi-FI"/>
        </w:rPr>
        <w:t>EU/1/01/198/002–006</w:t>
      </w:r>
    </w:p>
    <w:p w14:paraId="586FC4D2" w14:textId="77777777" w:rsidR="00D83DE5" w:rsidRPr="00912A5D" w:rsidRDefault="00D83DE5">
      <w:pPr>
        <w:pStyle w:val="EndnoteText"/>
        <w:widowControl w:val="0"/>
        <w:tabs>
          <w:tab w:val="clear" w:pos="567"/>
        </w:tabs>
        <w:rPr>
          <w:color w:val="000000"/>
          <w:szCs w:val="22"/>
          <w:lang w:val="fi-FI"/>
        </w:rPr>
      </w:pPr>
    </w:p>
    <w:p w14:paraId="586FC4D3" w14:textId="77777777" w:rsidR="00AE3698" w:rsidRPr="00912A5D" w:rsidRDefault="00AE3698">
      <w:pPr>
        <w:widowControl w:val="0"/>
        <w:rPr>
          <w:rFonts w:ascii="Times New Roman" w:hAnsi="Times New Roman"/>
          <w:sz w:val="22"/>
          <w:szCs w:val="22"/>
        </w:rPr>
      </w:pPr>
    </w:p>
    <w:p w14:paraId="586FC4D4"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9.</w:t>
      </w:r>
      <w:r w:rsidRPr="00912A5D">
        <w:rPr>
          <w:rFonts w:ascii="Times New Roman" w:hAnsi="Times New Roman"/>
          <w:b/>
          <w:sz w:val="22"/>
          <w:szCs w:val="22"/>
        </w:rPr>
        <w:tab/>
        <w:t>MYYNTILUVAN MYÖNTÄMISPÄIVÄMÄÄRÄ/UUDISTAMISPÄIVÄMÄÄRÄ</w:t>
      </w:r>
    </w:p>
    <w:p w14:paraId="586FC4D5" w14:textId="77777777" w:rsidR="00AE3698" w:rsidRPr="00912A5D" w:rsidRDefault="00AE3698" w:rsidP="00F71263">
      <w:pPr>
        <w:keepNext/>
        <w:widowControl w:val="0"/>
        <w:rPr>
          <w:rFonts w:ascii="Times New Roman" w:hAnsi="Times New Roman"/>
          <w:sz w:val="22"/>
          <w:szCs w:val="22"/>
        </w:rPr>
      </w:pPr>
      <w:bookmarkStart w:id="5" w:name="OLE_LINK3"/>
    </w:p>
    <w:p w14:paraId="586FC4D6" w14:textId="77777777" w:rsidR="00AE3698" w:rsidRPr="00912A5D" w:rsidRDefault="00AE3698" w:rsidP="00F71263">
      <w:pPr>
        <w:keepNext/>
        <w:widowControl w:val="0"/>
        <w:rPr>
          <w:rFonts w:ascii="Times New Roman" w:hAnsi="Times New Roman"/>
          <w:sz w:val="22"/>
          <w:szCs w:val="22"/>
        </w:rPr>
      </w:pPr>
      <w:r w:rsidRPr="00912A5D">
        <w:rPr>
          <w:rFonts w:ascii="Times New Roman" w:hAnsi="Times New Roman"/>
          <w:sz w:val="22"/>
          <w:szCs w:val="22"/>
        </w:rPr>
        <w:t>Myyntiluvan myöntämis</w:t>
      </w:r>
      <w:r w:rsidR="00D21B12">
        <w:rPr>
          <w:rFonts w:ascii="Times New Roman" w:hAnsi="Times New Roman"/>
          <w:sz w:val="22"/>
          <w:szCs w:val="22"/>
        </w:rPr>
        <w:t xml:space="preserve">en </w:t>
      </w:r>
      <w:r w:rsidRPr="00912A5D">
        <w:rPr>
          <w:rFonts w:ascii="Times New Roman" w:hAnsi="Times New Roman"/>
          <w:sz w:val="22"/>
          <w:szCs w:val="22"/>
        </w:rPr>
        <w:t>päivämäärä:</w:t>
      </w:r>
      <w:r w:rsidRPr="00912A5D">
        <w:rPr>
          <w:sz w:val="22"/>
          <w:szCs w:val="22"/>
        </w:rPr>
        <w:t xml:space="preserve"> </w:t>
      </w:r>
      <w:r w:rsidRPr="00912A5D">
        <w:rPr>
          <w:rFonts w:ascii="Times New Roman" w:hAnsi="Times New Roman"/>
          <w:sz w:val="22"/>
          <w:szCs w:val="22"/>
        </w:rPr>
        <w:t>07.</w:t>
      </w:r>
      <w:r w:rsidR="008D728B">
        <w:rPr>
          <w:rFonts w:ascii="Times New Roman" w:hAnsi="Times New Roman"/>
          <w:sz w:val="22"/>
          <w:szCs w:val="22"/>
        </w:rPr>
        <w:t xml:space="preserve"> marraskuuta </w:t>
      </w:r>
      <w:r w:rsidRPr="00912A5D">
        <w:rPr>
          <w:rFonts w:ascii="Times New Roman" w:hAnsi="Times New Roman"/>
          <w:sz w:val="22"/>
          <w:szCs w:val="22"/>
        </w:rPr>
        <w:t>2001</w:t>
      </w:r>
    </w:p>
    <w:p w14:paraId="586FC4D7" w14:textId="77777777" w:rsidR="00AE3698" w:rsidRPr="00912A5D" w:rsidRDefault="00D21B12">
      <w:pPr>
        <w:widowControl w:val="0"/>
        <w:suppressAutoHyphens/>
        <w:rPr>
          <w:rFonts w:ascii="Times New Roman" w:hAnsi="Times New Roman"/>
          <w:sz w:val="22"/>
          <w:szCs w:val="22"/>
        </w:rPr>
      </w:pPr>
      <w:r>
        <w:rPr>
          <w:rFonts w:ascii="Times New Roman" w:hAnsi="Times New Roman"/>
          <w:sz w:val="22"/>
          <w:szCs w:val="22"/>
        </w:rPr>
        <w:t>Viimeisimmän</w:t>
      </w:r>
      <w:r w:rsidRPr="00912A5D">
        <w:rPr>
          <w:rFonts w:ascii="Times New Roman" w:hAnsi="Times New Roman"/>
          <w:sz w:val="22"/>
          <w:szCs w:val="22"/>
        </w:rPr>
        <w:t xml:space="preserve"> </w:t>
      </w:r>
      <w:r w:rsidR="00AE3698" w:rsidRPr="00912A5D">
        <w:rPr>
          <w:rFonts w:ascii="Times New Roman" w:hAnsi="Times New Roman"/>
          <w:sz w:val="22"/>
          <w:szCs w:val="22"/>
        </w:rPr>
        <w:t>uudistamis</w:t>
      </w:r>
      <w:r>
        <w:rPr>
          <w:rFonts w:ascii="Times New Roman" w:hAnsi="Times New Roman"/>
          <w:sz w:val="22"/>
          <w:szCs w:val="22"/>
        </w:rPr>
        <w:t xml:space="preserve">en </w:t>
      </w:r>
      <w:r w:rsidR="00AE3698" w:rsidRPr="00912A5D">
        <w:rPr>
          <w:rFonts w:ascii="Times New Roman" w:hAnsi="Times New Roman"/>
          <w:sz w:val="22"/>
          <w:szCs w:val="22"/>
        </w:rPr>
        <w:t>päivämäärä: 07.</w:t>
      </w:r>
      <w:r w:rsidR="008D728B">
        <w:rPr>
          <w:rFonts w:ascii="Times New Roman" w:hAnsi="Times New Roman"/>
          <w:sz w:val="22"/>
          <w:szCs w:val="22"/>
        </w:rPr>
        <w:t xml:space="preserve"> marraskuuta </w:t>
      </w:r>
      <w:r w:rsidR="00AE3698" w:rsidRPr="00912A5D">
        <w:rPr>
          <w:rFonts w:ascii="Times New Roman" w:hAnsi="Times New Roman"/>
          <w:sz w:val="22"/>
          <w:szCs w:val="22"/>
        </w:rPr>
        <w:t>2006</w:t>
      </w:r>
    </w:p>
    <w:bookmarkEnd w:id="5"/>
    <w:p w14:paraId="586FC4D8" w14:textId="77777777" w:rsidR="00AE3698" w:rsidRPr="00912A5D" w:rsidRDefault="00AE3698">
      <w:pPr>
        <w:widowControl w:val="0"/>
        <w:suppressAutoHyphens/>
        <w:rPr>
          <w:rFonts w:ascii="Times New Roman" w:hAnsi="Times New Roman"/>
          <w:sz w:val="22"/>
          <w:szCs w:val="22"/>
        </w:rPr>
      </w:pPr>
    </w:p>
    <w:p w14:paraId="586FC4D9" w14:textId="77777777" w:rsidR="00AE3698" w:rsidRPr="00912A5D" w:rsidRDefault="00AE3698">
      <w:pPr>
        <w:widowControl w:val="0"/>
        <w:suppressAutoHyphens/>
        <w:rPr>
          <w:rFonts w:ascii="Times New Roman" w:hAnsi="Times New Roman"/>
          <w:sz w:val="22"/>
          <w:szCs w:val="22"/>
        </w:rPr>
      </w:pPr>
    </w:p>
    <w:p w14:paraId="586FC4DA" w14:textId="77777777" w:rsidR="00AE3698" w:rsidRDefault="00AE3698">
      <w:pPr>
        <w:widowControl w:val="0"/>
        <w:suppressAutoHyphens/>
        <w:ind w:left="567" w:hanging="567"/>
        <w:rPr>
          <w:rFonts w:ascii="Times New Roman" w:hAnsi="Times New Roman"/>
          <w:b/>
          <w:sz w:val="22"/>
          <w:szCs w:val="22"/>
        </w:rPr>
      </w:pPr>
      <w:r w:rsidRPr="00912A5D">
        <w:rPr>
          <w:rFonts w:ascii="Times New Roman" w:hAnsi="Times New Roman"/>
          <w:b/>
          <w:sz w:val="22"/>
          <w:szCs w:val="22"/>
        </w:rPr>
        <w:t>10.</w:t>
      </w:r>
      <w:r w:rsidRPr="00912A5D">
        <w:rPr>
          <w:rFonts w:ascii="Times New Roman" w:hAnsi="Times New Roman"/>
          <w:b/>
          <w:sz w:val="22"/>
          <w:szCs w:val="22"/>
        </w:rPr>
        <w:tab/>
        <w:t>TEKSTIN MUUTTAMISPÄIVÄMÄÄRÄ</w:t>
      </w:r>
    </w:p>
    <w:p w14:paraId="586FC4DB" w14:textId="77777777" w:rsidR="00B056C2" w:rsidRDefault="00B056C2">
      <w:pPr>
        <w:widowControl w:val="0"/>
        <w:suppressAutoHyphens/>
        <w:ind w:left="567" w:hanging="567"/>
        <w:rPr>
          <w:rFonts w:ascii="Times New Roman" w:hAnsi="Times New Roman"/>
          <w:sz w:val="22"/>
          <w:szCs w:val="22"/>
        </w:rPr>
      </w:pPr>
    </w:p>
    <w:p w14:paraId="586FC4DC" w14:textId="77777777" w:rsidR="00B056C2" w:rsidRDefault="00B056C2">
      <w:pPr>
        <w:widowControl w:val="0"/>
        <w:suppressAutoHyphens/>
        <w:ind w:left="567" w:hanging="567"/>
        <w:rPr>
          <w:rFonts w:ascii="Times New Roman" w:hAnsi="Times New Roman"/>
          <w:sz w:val="22"/>
          <w:szCs w:val="22"/>
        </w:rPr>
      </w:pPr>
    </w:p>
    <w:p w14:paraId="586FC4DD" w14:textId="77777777" w:rsidR="00B056C2" w:rsidRPr="00A74A4B" w:rsidRDefault="00B056C2" w:rsidP="00B056C2">
      <w:pPr>
        <w:suppressAutoHyphens/>
        <w:rPr>
          <w:rFonts w:ascii="Times New Roman" w:hAnsi="Times New Roman"/>
          <w:noProof/>
          <w:sz w:val="22"/>
          <w:szCs w:val="22"/>
        </w:rPr>
      </w:pPr>
      <w:r w:rsidRPr="00B056C2">
        <w:rPr>
          <w:rFonts w:ascii="Times New Roman" w:hAnsi="Times New Roman"/>
          <w:noProof/>
          <w:sz w:val="22"/>
          <w:szCs w:val="22"/>
        </w:rPr>
        <w:t xml:space="preserve">Lisätietoa tästä lääkevalmisteesta on Euroopan lääkeviraston </w:t>
      </w:r>
      <w:r w:rsidR="00D21B12">
        <w:rPr>
          <w:rFonts w:ascii="Times New Roman" w:hAnsi="Times New Roman"/>
          <w:noProof/>
          <w:sz w:val="22"/>
          <w:szCs w:val="22"/>
        </w:rPr>
        <w:t>verkkosivulla</w:t>
      </w:r>
      <w:r w:rsidR="00D21B12" w:rsidRPr="00B056C2">
        <w:rPr>
          <w:rFonts w:ascii="Times New Roman" w:hAnsi="Times New Roman"/>
          <w:noProof/>
          <w:sz w:val="22"/>
          <w:szCs w:val="22"/>
        </w:rPr>
        <w:t xml:space="preserve"> </w:t>
      </w:r>
      <w:r w:rsidRPr="00A74A4B">
        <w:rPr>
          <w:rFonts w:ascii="Times New Roman" w:hAnsi="Times New Roman"/>
          <w:noProof/>
          <w:sz w:val="22"/>
          <w:szCs w:val="22"/>
        </w:rPr>
        <w:t>http://www.ema.europa.eu</w:t>
      </w:r>
    </w:p>
    <w:p w14:paraId="586FC4DE" w14:textId="77777777" w:rsidR="00B056C2" w:rsidRPr="00B056C2" w:rsidRDefault="00B056C2">
      <w:pPr>
        <w:widowControl w:val="0"/>
        <w:suppressAutoHyphens/>
        <w:ind w:left="567" w:hanging="567"/>
        <w:rPr>
          <w:rFonts w:ascii="Times New Roman" w:hAnsi="Times New Roman"/>
          <w:sz w:val="22"/>
          <w:szCs w:val="22"/>
        </w:rPr>
      </w:pPr>
    </w:p>
    <w:p w14:paraId="586FC4DF" w14:textId="77777777" w:rsidR="00096549" w:rsidRPr="00AD3C39" w:rsidRDefault="00AE3698" w:rsidP="008C63CA">
      <w:pPr>
        <w:widowControl w:val="0"/>
        <w:suppressAutoHyphens/>
        <w:rPr>
          <w:rFonts w:ascii="Times New Roman" w:hAnsi="Times New Roman"/>
          <w:sz w:val="22"/>
          <w:szCs w:val="22"/>
        </w:rPr>
      </w:pPr>
      <w:r w:rsidRPr="00912A5D">
        <w:rPr>
          <w:rFonts w:ascii="Times New Roman" w:hAnsi="Times New Roman"/>
          <w:b/>
          <w:sz w:val="22"/>
          <w:szCs w:val="22"/>
        </w:rPr>
        <w:br w:type="page"/>
      </w:r>
      <w:r w:rsidR="00CC29DC" w:rsidRPr="00CD3600">
        <w:rPr>
          <w:rFonts w:ascii="Times New Roman" w:hAnsi="Times New Roman"/>
          <w:noProof/>
          <w:color w:val="auto"/>
          <w:sz w:val="20"/>
          <w:lang w:val="en-US"/>
        </w:rPr>
        <w:lastRenderedPageBreak/>
        <w:drawing>
          <wp:inline distT="0" distB="0" distL="0" distR="0" wp14:anchorId="586FD3B8" wp14:editId="586FD3B9">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096549" w:rsidRPr="00CD3600">
        <w:rPr>
          <w:rFonts w:ascii="Times New Roman" w:hAnsi="Times New Roman"/>
          <w:color w:val="auto"/>
          <w:sz w:val="22"/>
          <w:szCs w:val="22"/>
          <w:lang w:eastAsia="fr-LU"/>
        </w:rPr>
        <w:t>Tähän lääkkeeseen kohdistuu lisäseuranta. Tällä tavalla voidaan havaita nopeasti uutta turvallisuutta koskevaa tietoa. Terveydenhuollon ammattilaisia pyydetään ilmoittamaan epäillyistä lääkkeen haittavaikutuksista. Ks. kohdasta</w:t>
      </w:r>
      <w:r w:rsidR="00096549">
        <w:rPr>
          <w:rFonts w:ascii="Times New Roman" w:hAnsi="Times New Roman"/>
          <w:color w:val="auto"/>
          <w:sz w:val="22"/>
          <w:szCs w:val="22"/>
          <w:lang w:eastAsia="fr-LU"/>
        </w:rPr>
        <w:t> </w:t>
      </w:r>
      <w:r w:rsidR="00096549" w:rsidRPr="00CD3600">
        <w:rPr>
          <w:rFonts w:ascii="Times New Roman" w:hAnsi="Times New Roman"/>
          <w:color w:val="auto"/>
          <w:sz w:val="22"/>
          <w:szCs w:val="22"/>
          <w:lang w:eastAsia="fr-LU"/>
        </w:rPr>
        <w:t>4.8, miten haittavaikutuksista ilmoitetaan</w:t>
      </w:r>
      <w:r w:rsidR="00096549" w:rsidRPr="00CD3600">
        <w:rPr>
          <w:rFonts w:ascii="Times New Roman" w:hAnsi="Times New Roman"/>
          <w:noProof/>
          <w:color w:val="auto"/>
          <w:sz w:val="22"/>
          <w:szCs w:val="22"/>
          <w:lang w:eastAsia="fr-LU"/>
        </w:rPr>
        <w:t>.</w:t>
      </w:r>
    </w:p>
    <w:p w14:paraId="586FC4E0" w14:textId="77777777" w:rsidR="00096549" w:rsidRPr="00AD3C39" w:rsidRDefault="00096549">
      <w:pPr>
        <w:widowControl w:val="0"/>
        <w:suppressAutoHyphens/>
        <w:ind w:left="567" w:hanging="567"/>
        <w:rPr>
          <w:rFonts w:ascii="Times New Roman" w:hAnsi="Times New Roman"/>
          <w:sz w:val="22"/>
          <w:szCs w:val="22"/>
        </w:rPr>
      </w:pPr>
    </w:p>
    <w:p w14:paraId="586FC4E1" w14:textId="77777777" w:rsidR="00096549" w:rsidRPr="00AD3C39" w:rsidRDefault="00096549">
      <w:pPr>
        <w:widowControl w:val="0"/>
        <w:suppressAutoHyphens/>
        <w:ind w:left="567" w:hanging="567"/>
        <w:rPr>
          <w:rFonts w:ascii="Times New Roman" w:hAnsi="Times New Roman"/>
          <w:sz w:val="22"/>
          <w:szCs w:val="22"/>
        </w:rPr>
      </w:pPr>
    </w:p>
    <w:p w14:paraId="586FC4E2"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1.</w:t>
      </w:r>
      <w:r w:rsidRPr="00912A5D">
        <w:rPr>
          <w:rFonts w:ascii="Times New Roman" w:hAnsi="Times New Roman"/>
          <w:b/>
          <w:sz w:val="22"/>
          <w:szCs w:val="22"/>
        </w:rPr>
        <w:tab/>
        <w:t>LÄÄKEVALMISTEEN NIMI</w:t>
      </w:r>
    </w:p>
    <w:p w14:paraId="586FC4E3" w14:textId="77777777" w:rsidR="00AE3698" w:rsidRPr="00912A5D" w:rsidRDefault="00AE3698" w:rsidP="00F71263">
      <w:pPr>
        <w:keepNext/>
        <w:widowControl w:val="0"/>
        <w:rPr>
          <w:rFonts w:ascii="Times New Roman" w:hAnsi="Times New Roman"/>
          <w:i/>
          <w:sz w:val="22"/>
          <w:szCs w:val="22"/>
        </w:rPr>
      </w:pPr>
    </w:p>
    <w:p w14:paraId="586FC4E4" w14:textId="77777777" w:rsidR="00AE3698" w:rsidRPr="00912A5D" w:rsidRDefault="00AE3698" w:rsidP="00F71263">
      <w:pPr>
        <w:pStyle w:val="EndnoteText"/>
        <w:keepNext/>
        <w:widowControl w:val="0"/>
        <w:tabs>
          <w:tab w:val="clear" w:pos="567"/>
        </w:tabs>
        <w:rPr>
          <w:color w:val="000000"/>
          <w:szCs w:val="22"/>
          <w:lang w:val="fi-FI"/>
        </w:rPr>
      </w:pPr>
      <w:r w:rsidRPr="00912A5D">
        <w:rPr>
          <w:color w:val="000000"/>
          <w:szCs w:val="22"/>
          <w:lang w:val="fi-FI"/>
        </w:rPr>
        <w:t>Glivec 100 mg kalvopäällysteiset tabletit</w:t>
      </w:r>
    </w:p>
    <w:p w14:paraId="586FC4E5" w14:textId="77777777" w:rsidR="00B75202" w:rsidRPr="00912A5D" w:rsidRDefault="00B75202" w:rsidP="00B75202">
      <w:pPr>
        <w:pStyle w:val="EndnoteText"/>
        <w:widowControl w:val="0"/>
        <w:tabs>
          <w:tab w:val="clear" w:pos="567"/>
        </w:tabs>
        <w:rPr>
          <w:color w:val="000000"/>
          <w:szCs w:val="22"/>
          <w:lang w:val="fi-FI"/>
        </w:rPr>
      </w:pPr>
      <w:r w:rsidRPr="00912A5D">
        <w:rPr>
          <w:color w:val="000000"/>
          <w:szCs w:val="22"/>
          <w:lang w:val="fi-FI"/>
        </w:rPr>
        <w:t xml:space="preserve">Glivec </w:t>
      </w:r>
      <w:r>
        <w:rPr>
          <w:color w:val="000000"/>
          <w:szCs w:val="22"/>
          <w:lang w:val="fi-FI"/>
        </w:rPr>
        <w:t>4</w:t>
      </w:r>
      <w:r w:rsidRPr="00912A5D">
        <w:rPr>
          <w:color w:val="000000"/>
          <w:szCs w:val="22"/>
          <w:lang w:val="fi-FI"/>
        </w:rPr>
        <w:t>00 mg kalvopäällysteiset tabletit</w:t>
      </w:r>
    </w:p>
    <w:p w14:paraId="586FC4E6" w14:textId="77777777" w:rsidR="00AE3698" w:rsidRPr="00912A5D" w:rsidRDefault="00AE3698">
      <w:pPr>
        <w:pStyle w:val="EndnoteText"/>
        <w:widowControl w:val="0"/>
        <w:tabs>
          <w:tab w:val="clear" w:pos="567"/>
        </w:tabs>
        <w:rPr>
          <w:color w:val="000000"/>
          <w:szCs w:val="22"/>
          <w:lang w:val="fi-FI"/>
        </w:rPr>
      </w:pPr>
    </w:p>
    <w:p w14:paraId="586FC4E7" w14:textId="77777777" w:rsidR="00AE3698" w:rsidRPr="00912A5D" w:rsidRDefault="00AE3698">
      <w:pPr>
        <w:pStyle w:val="EndnoteText"/>
        <w:widowControl w:val="0"/>
        <w:tabs>
          <w:tab w:val="clear" w:pos="567"/>
        </w:tabs>
        <w:rPr>
          <w:color w:val="000000"/>
          <w:szCs w:val="22"/>
          <w:lang w:val="fi-FI"/>
        </w:rPr>
      </w:pPr>
    </w:p>
    <w:p w14:paraId="586FC4E8"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2.</w:t>
      </w:r>
      <w:r w:rsidRPr="00912A5D">
        <w:rPr>
          <w:rFonts w:ascii="Times New Roman" w:hAnsi="Times New Roman"/>
          <w:b/>
          <w:sz w:val="22"/>
          <w:szCs w:val="22"/>
        </w:rPr>
        <w:tab/>
        <w:t>VAIKUTTAVAT AINEET JA NIIDEN MÄÄRÄT</w:t>
      </w:r>
    </w:p>
    <w:p w14:paraId="586FC4E9" w14:textId="77777777" w:rsidR="00AE3698" w:rsidRPr="00912A5D" w:rsidRDefault="00AE3698" w:rsidP="00F71263">
      <w:pPr>
        <w:keepNext/>
        <w:widowControl w:val="0"/>
        <w:rPr>
          <w:rFonts w:ascii="Times New Roman" w:hAnsi="Times New Roman"/>
          <w:i/>
          <w:sz w:val="22"/>
          <w:szCs w:val="22"/>
        </w:rPr>
      </w:pPr>
    </w:p>
    <w:p w14:paraId="586FC4EA" w14:textId="77777777" w:rsidR="00B75202" w:rsidRPr="008A5B9A" w:rsidRDefault="00B75202" w:rsidP="00F71263">
      <w:pPr>
        <w:pStyle w:val="EndnoteText"/>
        <w:keepNext/>
        <w:widowControl w:val="0"/>
        <w:tabs>
          <w:tab w:val="clear" w:pos="567"/>
        </w:tabs>
        <w:rPr>
          <w:color w:val="000000"/>
          <w:szCs w:val="22"/>
          <w:u w:val="single"/>
          <w:lang w:val="fi-FI"/>
        </w:rPr>
      </w:pPr>
      <w:r w:rsidRPr="008A5B9A">
        <w:rPr>
          <w:color w:val="000000"/>
          <w:szCs w:val="22"/>
          <w:u w:val="single"/>
          <w:lang w:val="fi-FI"/>
        </w:rPr>
        <w:t>Glivec 100 mg kalvopäällysteiset tabletit</w:t>
      </w:r>
    </w:p>
    <w:p w14:paraId="586FC4EB"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Yksi kalvopäällysteinen tabletti sisältää 100 mg imatinibia (mesilaattina).</w:t>
      </w:r>
    </w:p>
    <w:p w14:paraId="586FC4EC" w14:textId="77777777" w:rsidR="00AE3698" w:rsidRDefault="00AE3698">
      <w:pPr>
        <w:widowControl w:val="0"/>
        <w:rPr>
          <w:rFonts w:ascii="Times New Roman" w:hAnsi="Times New Roman"/>
          <w:sz w:val="22"/>
          <w:szCs w:val="22"/>
        </w:rPr>
      </w:pPr>
    </w:p>
    <w:p w14:paraId="586FC4ED" w14:textId="77777777" w:rsidR="00B75202" w:rsidRPr="00B75202" w:rsidRDefault="00B75202" w:rsidP="00F71263">
      <w:pPr>
        <w:pStyle w:val="EndnoteText"/>
        <w:keepNext/>
        <w:widowControl w:val="0"/>
        <w:tabs>
          <w:tab w:val="clear" w:pos="567"/>
        </w:tabs>
        <w:rPr>
          <w:color w:val="000000"/>
          <w:szCs w:val="22"/>
          <w:u w:val="single"/>
          <w:lang w:val="fi-FI"/>
        </w:rPr>
      </w:pPr>
      <w:r w:rsidRPr="00B75202">
        <w:rPr>
          <w:color w:val="000000"/>
          <w:szCs w:val="22"/>
          <w:u w:val="single"/>
          <w:lang w:val="fi-FI"/>
        </w:rPr>
        <w:t xml:space="preserve">Glivec </w:t>
      </w:r>
      <w:r>
        <w:rPr>
          <w:color w:val="000000"/>
          <w:szCs w:val="22"/>
          <w:u w:val="single"/>
          <w:lang w:val="fi-FI"/>
        </w:rPr>
        <w:t>4</w:t>
      </w:r>
      <w:r w:rsidRPr="00B75202">
        <w:rPr>
          <w:color w:val="000000"/>
          <w:szCs w:val="22"/>
          <w:u w:val="single"/>
          <w:lang w:val="fi-FI"/>
        </w:rPr>
        <w:t>00 mg kalvopäällysteiset tabletit</w:t>
      </w:r>
    </w:p>
    <w:p w14:paraId="586FC4EE" w14:textId="77777777" w:rsidR="00B75202" w:rsidRPr="00912A5D" w:rsidRDefault="00B75202" w:rsidP="00B75202">
      <w:pPr>
        <w:widowControl w:val="0"/>
        <w:rPr>
          <w:rFonts w:ascii="Times New Roman" w:hAnsi="Times New Roman"/>
          <w:sz w:val="22"/>
          <w:szCs w:val="22"/>
        </w:rPr>
      </w:pPr>
      <w:r w:rsidRPr="00912A5D">
        <w:rPr>
          <w:rFonts w:ascii="Times New Roman" w:hAnsi="Times New Roman"/>
          <w:sz w:val="22"/>
          <w:szCs w:val="22"/>
        </w:rPr>
        <w:t xml:space="preserve">Yksi kalvopäällysteinen tabletti sisältää </w:t>
      </w:r>
      <w:r>
        <w:rPr>
          <w:rFonts w:ascii="Times New Roman" w:hAnsi="Times New Roman"/>
          <w:sz w:val="22"/>
          <w:szCs w:val="22"/>
        </w:rPr>
        <w:t>4</w:t>
      </w:r>
      <w:r w:rsidRPr="00912A5D">
        <w:rPr>
          <w:rFonts w:ascii="Times New Roman" w:hAnsi="Times New Roman"/>
          <w:sz w:val="22"/>
          <w:szCs w:val="22"/>
        </w:rPr>
        <w:t>00 mg imatinibia (mesilaattina).</w:t>
      </w:r>
    </w:p>
    <w:p w14:paraId="586FC4EF" w14:textId="77777777" w:rsidR="00B75202" w:rsidRPr="00912A5D" w:rsidRDefault="00B75202">
      <w:pPr>
        <w:widowControl w:val="0"/>
        <w:rPr>
          <w:rFonts w:ascii="Times New Roman" w:hAnsi="Times New Roman"/>
          <w:sz w:val="22"/>
          <w:szCs w:val="22"/>
        </w:rPr>
      </w:pPr>
    </w:p>
    <w:p w14:paraId="586FC4F0" w14:textId="77777777" w:rsidR="00AE3698" w:rsidRPr="00912A5D" w:rsidRDefault="00AE3698">
      <w:pPr>
        <w:widowControl w:val="0"/>
        <w:rPr>
          <w:rFonts w:ascii="Times New Roman" w:hAnsi="Times New Roman"/>
          <w:sz w:val="22"/>
          <w:szCs w:val="22"/>
        </w:rPr>
      </w:pPr>
      <w:r w:rsidRPr="00912A5D">
        <w:rPr>
          <w:rFonts w:ascii="Times New Roman" w:hAnsi="Times New Roman"/>
          <w:noProof/>
          <w:sz w:val="22"/>
          <w:szCs w:val="22"/>
        </w:rPr>
        <w:t>Täydellinen apuaineluettelo, ks. kohta 6.1.</w:t>
      </w:r>
    </w:p>
    <w:p w14:paraId="586FC4F1" w14:textId="77777777" w:rsidR="00AE3698" w:rsidRPr="00912A5D" w:rsidRDefault="00AE3698">
      <w:pPr>
        <w:widowControl w:val="0"/>
        <w:rPr>
          <w:rFonts w:ascii="Times New Roman" w:hAnsi="Times New Roman"/>
          <w:sz w:val="22"/>
          <w:szCs w:val="22"/>
        </w:rPr>
      </w:pPr>
    </w:p>
    <w:p w14:paraId="586FC4F2" w14:textId="77777777" w:rsidR="00AE3698" w:rsidRPr="00912A5D" w:rsidRDefault="00AE3698">
      <w:pPr>
        <w:widowControl w:val="0"/>
        <w:rPr>
          <w:rFonts w:ascii="Times New Roman" w:hAnsi="Times New Roman"/>
          <w:sz w:val="22"/>
          <w:szCs w:val="22"/>
        </w:rPr>
      </w:pPr>
    </w:p>
    <w:p w14:paraId="586FC4F3" w14:textId="77777777" w:rsidR="00AE3698" w:rsidRPr="00912A5D" w:rsidRDefault="00AE3698"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3.</w:t>
      </w:r>
      <w:r w:rsidRPr="00912A5D">
        <w:rPr>
          <w:rFonts w:ascii="Times New Roman" w:hAnsi="Times New Roman"/>
          <w:b/>
          <w:sz w:val="22"/>
          <w:szCs w:val="22"/>
        </w:rPr>
        <w:tab/>
        <w:t>LÄÄKEMUOTO</w:t>
      </w:r>
    </w:p>
    <w:p w14:paraId="586FC4F4" w14:textId="77777777" w:rsidR="00AE3698" w:rsidRPr="00912A5D" w:rsidRDefault="00AE3698" w:rsidP="00F71263">
      <w:pPr>
        <w:pStyle w:val="EndnoteText"/>
        <w:keepNext/>
        <w:widowControl w:val="0"/>
        <w:tabs>
          <w:tab w:val="clear" w:pos="567"/>
        </w:tabs>
        <w:rPr>
          <w:color w:val="000000"/>
          <w:szCs w:val="22"/>
          <w:lang w:val="fi-FI"/>
        </w:rPr>
      </w:pPr>
    </w:p>
    <w:p w14:paraId="586FC4F5" w14:textId="77777777" w:rsidR="007C3C55" w:rsidRDefault="007C3C55">
      <w:pPr>
        <w:widowControl w:val="0"/>
        <w:rPr>
          <w:rFonts w:ascii="Times New Roman" w:hAnsi="Times New Roman"/>
          <w:sz w:val="22"/>
          <w:szCs w:val="22"/>
        </w:rPr>
      </w:pPr>
      <w:r>
        <w:rPr>
          <w:rFonts w:ascii="Times New Roman" w:hAnsi="Times New Roman"/>
          <w:sz w:val="22"/>
          <w:szCs w:val="22"/>
        </w:rPr>
        <w:t>T</w:t>
      </w:r>
      <w:r w:rsidRPr="00912A5D">
        <w:rPr>
          <w:rFonts w:ascii="Times New Roman" w:hAnsi="Times New Roman"/>
          <w:sz w:val="22"/>
          <w:szCs w:val="22"/>
        </w:rPr>
        <w:t>abletti</w:t>
      </w:r>
      <w:r>
        <w:rPr>
          <w:rFonts w:ascii="Times New Roman" w:hAnsi="Times New Roman"/>
          <w:sz w:val="22"/>
          <w:szCs w:val="22"/>
        </w:rPr>
        <w:t>, k</w:t>
      </w:r>
      <w:r w:rsidR="00AE3698" w:rsidRPr="00912A5D">
        <w:rPr>
          <w:rFonts w:ascii="Times New Roman" w:hAnsi="Times New Roman"/>
          <w:sz w:val="22"/>
          <w:szCs w:val="22"/>
        </w:rPr>
        <w:t>alvopäällysteinen</w:t>
      </w:r>
    </w:p>
    <w:p w14:paraId="586FC4F6" w14:textId="77777777" w:rsidR="00AE3698" w:rsidRPr="00912A5D" w:rsidRDefault="00AE3698">
      <w:pPr>
        <w:widowControl w:val="0"/>
        <w:rPr>
          <w:rFonts w:ascii="Times New Roman" w:hAnsi="Times New Roman"/>
          <w:sz w:val="22"/>
          <w:szCs w:val="22"/>
        </w:rPr>
      </w:pPr>
    </w:p>
    <w:p w14:paraId="586FC4F7" w14:textId="77777777" w:rsidR="00B75202" w:rsidRPr="00B75202" w:rsidRDefault="00B75202" w:rsidP="00F71263">
      <w:pPr>
        <w:pStyle w:val="EndnoteText"/>
        <w:keepNext/>
        <w:widowControl w:val="0"/>
        <w:tabs>
          <w:tab w:val="clear" w:pos="567"/>
        </w:tabs>
        <w:rPr>
          <w:color w:val="000000"/>
          <w:szCs w:val="22"/>
          <w:u w:val="single"/>
          <w:lang w:val="fi-FI"/>
        </w:rPr>
      </w:pPr>
      <w:r w:rsidRPr="00B75202">
        <w:rPr>
          <w:color w:val="000000"/>
          <w:szCs w:val="22"/>
          <w:u w:val="single"/>
          <w:lang w:val="fi-FI"/>
        </w:rPr>
        <w:t>Glivec 100 mg kalvopäällysteiset tabletit</w:t>
      </w:r>
    </w:p>
    <w:p w14:paraId="586FC4F8"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Hyvin tumman keltainen tai ruskehtavan oranssi, pyöreä kalvopäällysteinen tabletti, jonka toisella puolella merkintä ”</w:t>
      </w:r>
      <w:smartTag w:uri="urn:schemas-microsoft-com:office:smarttags" w:element="State">
        <w:r w:rsidRPr="00912A5D">
          <w:rPr>
            <w:rFonts w:ascii="Times New Roman" w:hAnsi="Times New Roman"/>
            <w:sz w:val="22"/>
            <w:szCs w:val="22"/>
          </w:rPr>
          <w:t>NVR</w:t>
        </w:r>
      </w:smartTag>
      <w:r w:rsidRPr="00912A5D">
        <w:rPr>
          <w:rFonts w:ascii="Times New Roman" w:hAnsi="Times New Roman"/>
          <w:sz w:val="22"/>
          <w:szCs w:val="22"/>
        </w:rPr>
        <w:t>” ja toisella puolella jakouurre sekä merkintä ”SA”.</w:t>
      </w:r>
    </w:p>
    <w:p w14:paraId="586FC4F9" w14:textId="77777777" w:rsidR="00AE3698" w:rsidRDefault="00AE3698">
      <w:pPr>
        <w:widowControl w:val="0"/>
        <w:rPr>
          <w:rFonts w:ascii="Times New Roman" w:hAnsi="Times New Roman"/>
          <w:sz w:val="22"/>
          <w:szCs w:val="22"/>
        </w:rPr>
      </w:pPr>
    </w:p>
    <w:p w14:paraId="586FC4FA" w14:textId="77777777" w:rsidR="00B75202" w:rsidRPr="00B75202" w:rsidRDefault="00B75202" w:rsidP="00F71263">
      <w:pPr>
        <w:pStyle w:val="EndnoteText"/>
        <w:keepNext/>
        <w:widowControl w:val="0"/>
        <w:tabs>
          <w:tab w:val="clear" w:pos="567"/>
        </w:tabs>
        <w:rPr>
          <w:color w:val="000000"/>
          <w:szCs w:val="22"/>
          <w:u w:val="single"/>
          <w:lang w:val="fi-FI"/>
        </w:rPr>
      </w:pPr>
      <w:r w:rsidRPr="00B75202">
        <w:rPr>
          <w:color w:val="000000"/>
          <w:szCs w:val="22"/>
          <w:u w:val="single"/>
          <w:lang w:val="fi-FI"/>
        </w:rPr>
        <w:t xml:space="preserve">Glivec </w:t>
      </w:r>
      <w:r>
        <w:rPr>
          <w:color w:val="000000"/>
          <w:szCs w:val="22"/>
          <w:u w:val="single"/>
          <w:lang w:val="fi-FI"/>
        </w:rPr>
        <w:t>4</w:t>
      </w:r>
      <w:r w:rsidRPr="00B75202">
        <w:rPr>
          <w:color w:val="000000"/>
          <w:szCs w:val="22"/>
          <w:u w:val="single"/>
          <w:lang w:val="fi-FI"/>
        </w:rPr>
        <w:t>00 mg kalvopäällysteiset tabletit</w:t>
      </w:r>
    </w:p>
    <w:p w14:paraId="586FC4FB" w14:textId="77777777" w:rsidR="00B75202" w:rsidRPr="00912A5D" w:rsidRDefault="00B75202" w:rsidP="00B75202">
      <w:pPr>
        <w:widowControl w:val="0"/>
        <w:rPr>
          <w:rFonts w:ascii="Times New Roman" w:hAnsi="Times New Roman"/>
          <w:sz w:val="22"/>
          <w:szCs w:val="22"/>
        </w:rPr>
      </w:pPr>
      <w:r w:rsidRPr="00912A5D">
        <w:rPr>
          <w:rFonts w:ascii="Times New Roman" w:hAnsi="Times New Roman"/>
          <w:sz w:val="22"/>
          <w:szCs w:val="22"/>
        </w:rPr>
        <w:t>Hyvin tumman keltainen tai ruskehtavan oranssi, ovaalin muotoinen, kaksoiskupera, viistoreunainen kalvopäällysteinen tabletti, jonka toisella puolella on merkintä ”</w:t>
      </w:r>
      <w:r>
        <w:rPr>
          <w:rFonts w:ascii="Times New Roman" w:hAnsi="Times New Roman"/>
          <w:sz w:val="22"/>
          <w:szCs w:val="22"/>
        </w:rPr>
        <w:t>glivec</w:t>
      </w:r>
      <w:r w:rsidRPr="00912A5D">
        <w:rPr>
          <w:rFonts w:ascii="Times New Roman" w:hAnsi="Times New Roman"/>
          <w:sz w:val="22"/>
          <w:szCs w:val="22"/>
        </w:rPr>
        <w:t>”.</w:t>
      </w:r>
    </w:p>
    <w:p w14:paraId="586FC4FC" w14:textId="77777777" w:rsidR="00B75202" w:rsidRPr="00912A5D" w:rsidRDefault="00B75202">
      <w:pPr>
        <w:widowControl w:val="0"/>
        <w:rPr>
          <w:rFonts w:ascii="Times New Roman" w:hAnsi="Times New Roman"/>
          <w:sz w:val="22"/>
          <w:szCs w:val="22"/>
        </w:rPr>
      </w:pPr>
    </w:p>
    <w:p w14:paraId="586FC4FD" w14:textId="77777777" w:rsidR="00AE3698" w:rsidRPr="00912A5D" w:rsidRDefault="00AE3698">
      <w:pPr>
        <w:widowControl w:val="0"/>
        <w:rPr>
          <w:rFonts w:ascii="Times New Roman" w:hAnsi="Times New Roman"/>
          <w:sz w:val="22"/>
          <w:szCs w:val="22"/>
        </w:rPr>
      </w:pPr>
    </w:p>
    <w:p w14:paraId="586FC4FE" w14:textId="77777777" w:rsidR="004506D0" w:rsidRPr="00912A5D" w:rsidRDefault="004506D0"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w:t>
      </w:r>
      <w:r w:rsidRPr="00912A5D">
        <w:rPr>
          <w:rFonts w:ascii="Times New Roman" w:hAnsi="Times New Roman"/>
          <w:b/>
          <w:sz w:val="22"/>
          <w:szCs w:val="22"/>
        </w:rPr>
        <w:tab/>
        <w:t>KLIINISET TIEDOT</w:t>
      </w:r>
    </w:p>
    <w:p w14:paraId="586FC4FF" w14:textId="77777777" w:rsidR="004506D0" w:rsidRPr="00912A5D" w:rsidRDefault="004506D0" w:rsidP="00F71263">
      <w:pPr>
        <w:keepNext/>
        <w:widowControl w:val="0"/>
        <w:suppressAutoHyphens/>
        <w:rPr>
          <w:rFonts w:ascii="Times New Roman" w:hAnsi="Times New Roman"/>
          <w:sz w:val="22"/>
          <w:szCs w:val="22"/>
        </w:rPr>
      </w:pPr>
    </w:p>
    <w:p w14:paraId="586FC500" w14:textId="77777777" w:rsidR="004506D0" w:rsidRPr="00912A5D" w:rsidRDefault="004506D0"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4.1</w:t>
      </w:r>
      <w:r w:rsidRPr="00912A5D">
        <w:rPr>
          <w:rFonts w:ascii="Times New Roman" w:hAnsi="Times New Roman"/>
          <w:b/>
          <w:sz w:val="22"/>
          <w:szCs w:val="22"/>
        </w:rPr>
        <w:tab/>
        <w:t>Käyttöaiheet</w:t>
      </w:r>
    </w:p>
    <w:p w14:paraId="586FC501" w14:textId="77777777" w:rsidR="004506D0" w:rsidRPr="00912A5D" w:rsidRDefault="004506D0" w:rsidP="00F71263">
      <w:pPr>
        <w:pStyle w:val="EndnoteText"/>
        <w:keepNext/>
        <w:widowControl w:val="0"/>
        <w:tabs>
          <w:tab w:val="clear" w:pos="567"/>
        </w:tabs>
        <w:rPr>
          <w:color w:val="000000"/>
          <w:szCs w:val="22"/>
          <w:lang w:val="fi-FI"/>
        </w:rPr>
      </w:pPr>
    </w:p>
    <w:p w14:paraId="586FC502" w14:textId="77777777" w:rsidR="004506D0" w:rsidRPr="00912A5D" w:rsidRDefault="004506D0" w:rsidP="00F71263">
      <w:pPr>
        <w:pStyle w:val="EndnoteText"/>
        <w:keepNext/>
        <w:widowControl w:val="0"/>
        <w:tabs>
          <w:tab w:val="clear" w:pos="567"/>
        </w:tabs>
        <w:rPr>
          <w:color w:val="000000"/>
          <w:szCs w:val="22"/>
          <w:lang w:val="fi-FI"/>
        </w:rPr>
      </w:pPr>
      <w:r w:rsidRPr="00912A5D">
        <w:rPr>
          <w:color w:val="000000"/>
          <w:szCs w:val="22"/>
          <w:lang w:val="fi-FI"/>
        </w:rPr>
        <w:t>Glivec on tarkoitettu</w:t>
      </w:r>
    </w:p>
    <w:p w14:paraId="586FC503" w14:textId="77777777" w:rsidR="004506D0" w:rsidRPr="00912A5D" w:rsidRDefault="004506D0" w:rsidP="00B41940">
      <w:pPr>
        <w:pStyle w:val="EndnoteText"/>
        <w:widowControl w:val="0"/>
        <w:numPr>
          <w:ilvl w:val="0"/>
          <w:numId w:val="12"/>
        </w:numPr>
        <w:tabs>
          <w:tab w:val="clear" w:pos="567"/>
          <w:tab w:val="clear" w:pos="720"/>
        </w:tabs>
        <w:ind w:left="567" w:hanging="567"/>
        <w:rPr>
          <w:color w:val="000000"/>
          <w:szCs w:val="22"/>
          <w:lang w:val="fi-FI"/>
        </w:rPr>
      </w:pPr>
      <w:r w:rsidRPr="00912A5D">
        <w:rPr>
          <w:color w:val="000000"/>
          <w:szCs w:val="22"/>
          <w:lang w:val="fi-FI"/>
        </w:rPr>
        <w:t>Philadelphia-kromosomi (bcr-abl)-positiivisen (Ph+) kroonisen myelooisen leukemian (</w:t>
      </w:r>
      <w:smartTag w:uri="urn:schemas-microsoft-com:office:smarttags" w:element="State">
        <w:r w:rsidRPr="00912A5D">
          <w:rPr>
            <w:color w:val="000000"/>
            <w:szCs w:val="22"/>
            <w:lang w:val="fi-FI"/>
          </w:rPr>
          <w:t>KML</w:t>
        </w:r>
      </w:smartTag>
      <w:r w:rsidRPr="00912A5D">
        <w:rPr>
          <w:color w:val="000000"/>
          <w:szCs w:val="22"/>
          <w:lang w:val="fi-FI"/>
        </w:rPr>
        <w:t>) hoitoon aikuis- ja lapsipotilaille, joiden sairaus on vasta diagnosoitu mutta joille luuytimensiirtoa ei katsota ensisijaiseksi hoitomuodoksi.</w:t>
      </w:r>
    </w:p>
    <w:p w14:paraId="586FC504" w14:textId="77777777" w:rsidR="004506D0" w:rsidRPr="00912A5D" w:rsidRDefault="004506D0"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Philadelphia-kromosomipositiivisen kroonisen myelooisen leukemian hoitoon aikuis- ja lapsipotilaille alfa-interferonihoidon epäonnistuttua kroonisessa vaiheessa tai taudin ollessa blastikriisivaiheessa tai akseleraatiovaiheessa.</w:t>
      </w:r>
    </w:p>
    <w:p w14:paraId="586FC505" w14:textId="77777777" w:rsidR="004506D0" w:rsidRPr="00912A5D" w:rsidRDefault="004506D0"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kemoterapian osana aikuis</w:t>
      </w:r>
      <w:r w:rsidR="002D5BFA">
        <w:rPr>
          <w:color w:val="000000"/>
          <w:szCs w:val="22"/>
          <w:lang w:val="fi-FI"/>
        </w:rPr>
        <w:t>- ja lapsi</w:t>
      </w:r>
      <w:r w:rsidRPr="00912A5D">
        <w:rPr>
          <w:color w:val="000000"/>
          <w:szCs w:val="22"/>
          <w:lang w:val="fi-FI"/>
        </w:rPr>
        <w:t xml:space="preserve">potilaille, joilla on vasta diagnosoitu Philadelphia-kromosomipositiivinen akuutti lymfaattinen leukemia (Ph+ </w:t>
      </w:r>
      <w:smartTag w:uri="urn:schemas-microsoft-com:office:smarttags" w:element="State">
        <w:r w:rsidRPr="00912A5D">
          <w:rPr>
            <w:color w:val="000000"/>
            <w:szCs w:val="22"/>
            <w:lang w:val="fi-FI"/>
          </w:rPr>
          <w:t>ALL</w:t>
        </w:r>
      </w:smartTag>
      <w:r w:rsidRPr="00912A5D">
        <w:rPr>
          <w:color w:val="000000"/>
          <w:szCs w:val="22"/>
          <w:lang w:val="fi-FI"/>
        </w:rPr>
        <w:t>).</w:t>
      </w:r>
    </w:p>
    <w:p w14:paraId="586FC506" w14:textId="77777777" w:rsidR="004506D0" w:rsidRPr="00912A5D" w:rsidRDefault="004506D0"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 xml:space="preserve">monoterapiana aikuispotilaille, joilla on uusiutunut tai vaikeahoitoinen Ph+ </w:t>
      </w:r>
      <w:smartTag w:uri="urn:schemas-microsoft-com:office:smarttags" w:element="State">
        <w:r w:rsidRPr="00912A5D">
          <w:rPr>
            <w:color w:val="000000"/>
            <w:szCs w:val="22"/>
            <w:lang w:val="fi-FI"/>
          </w:rPr>
          <w:t>ALL</w:t>
        </w:r>
      </w:smartTag>
      <w:r w:rsidRPr="00912A5D">
        <w:rPr>
          <w:color w:val="000000"/>
          <w:szCs w:val="22"/>
          <w:lang w:val="fi-FI"/>
        </w:rPr>
        <w:t>.</w:t>
      </w:r>
    </w:p>
    <w:p w14:paraId="586FC507" w14:textId="77777777" w:rsidR="004506D0" w:rsidRPr="00912A5D" w:rsidRDefault="004506D0"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aikuispotilaille, joilla on myelodysplastinen oireyhtymä tai myeloproliferatiivinen sairaus (</w:t>
      </w:r>
      <w:smartTag w:uri="urn:schemas-microsoft-com:office:smarttags" w:element="State">
        <w:r w:rsidRPr="00912A5D">
          <w:rPr>
            <w:color w:val="000000"/>
            <w:szCs w:val="22"/>
            <w:lang w:val="fi-FI"/>
          </w:rPr>
          <w:t>MDS</w:t>
        </w:r>
      </w:smartTag>
      <w:r w:rsidRPr="00912A5D">
        <w:rPr>
          <w:color w:val="000000"/>
          <w:szCs w:val="22"/>
          <w:lang w:val="fi-FI"/>
        </w:rPr>
        <w:t>/MPD), johon liittyy verihiutalekasvutekijäreseptorigeenien (PDGFR) uudelleenjärjestäytymistä.</w:t>
      </w:r>
    </w:p>
    <w:p w14:paraId="586FC508" w14:textId="77777777" w:rsidR="004506D0" w:rsidRPr="00912A5D" w:rsidRDefault="004506D0" w:rsidP="00B41940">
      <w:pPr>
        <w:pStyle w:val="EndnoteText"/>
        <w:widowControl w:val="0"/>
        <w:numPr>
          <w:ilvl w:val="0"/>
          <w:numId w:val="13"/>
        </w:numPr>
        <w:tabs>
          <w:tab w:val="clear" w:pos="567"/>
          <w:tab w:val="clear" w:pos="720"/>
        </w:tabs>
        <w:ind w:left="567" w:hanging="567"/>
        <w:rPr>
          <w:color w:val="000000"/>
          <w:szCs w:val="22"/>
          <w:lang w:val="fi-FI"/>
        </w:rPr>
      </w:pPr>
      <w:r w:rsidRPr="00912A5D">
        <w:rPr>
          <w:color w:val="000000"/>
          <w:szCs w:val="22"/>
          <w:lang w:val="fi-FI"/>
        </w:rPr>
        <w:t>aikuispotilaille, joilla on pitkälle edennyt hypereosinofiilinen oireyhtymä (HES) ja/tai krooninen eosinofiilinen leukemia (</w:t>
      </w:r>
      <w:smartTag w:uri="urn:schemas-microsoft-com:office:smarttags" w:element="State">
        <w:r w:rsidRPr="00912A5D">
          <w:rPr>
            <w:color w:val="000000"/>
            <w:szCs w:val="22"/>
            <w:lang w:val="fi-FI"/>
          </w:rPr>
          <w:t>CEL</w:t>
        </w:r>
      </w:smartTag>
      <w:r w:rsidRPr="00912A5D">
        <w:rPr>
          <w:color w:val="000000"/>
          <w:szCs w:val="22"/>
          <w:lang w:val="fi-FI"/>
        </w:rPr>
        <w:t>), johon liittyy FIP1L1-PDGFR:n uudelleenjärjestäytymistä.</w:t>
      </w:r>
    </w:p>
    <w:p w14:paraId="586FC509" w14:textId="77777777" w:rsidR="004506D0" w:rsidRPr="00912A5D" w:rsidRDefault="004506D0" w:rsidP="004506D0">
      <w:pPr>
        <w:widowControl w:val="0"/>
        <w:rPr>
          <w:rFonts w:ascii="Times New Roman" w:hAnsi="Times New Roman"/>
          <w:sz w:val="22"/>
          <w:szCs w:val="22"/>
        </w:rPr>
      </w:pPr>
    </w:p>
    <w:p w14:paraId="586FC50A" w14:textId="77777777" w:rsidR="004506D0" w:rsidRPr="00912A5D" w:rsidRDefault="004506D0" w:rsidP="004506D0">
      <w:pPr>
        <w:widowControl w:val="0"/>
        <w:rPr>
          <w:rFonts w:ascii="Times New Roman" w:hAnsi="Times New Roman"/>
          <w:sz w:val="22"/>
          <w:szCs w:val="22"/>
        </w:rPr>
      </w:pPr>
      <w:r w:rsidRPr="00912A5D">
        <w:rPr>
          <w:rFonts w:ascii="Times New Roman" w:hAnsi="Times New Roman"/>
          <w:sz w:val="22"/>
          <w:szCs w:val="22"/>
        </w:rPr>
        <w:t>Glivecin vaikutusta luuytimensiirron lopputulokseen ei ole selvitetty.</w:t>
      </w:r>
    </w:p>
    <w:p w14:paraId="586FC50B" w14:textId="77777777" w:rsidR="004506D0" w:rsidRPr="00912A5D" w:rsidRDefault="004506D0" w:rsidP="004506D0">
      <w:pPr>
        <w:widowControl w:val="0"/>
        <w:rPr>
          <w:rFonts w:ascii="Times New Roman" w:hAnsi="Times New Roman"/>
          <w:sz w:val="22"/>
          <w:szCs w:val="22"/>
        </w:rPr>
      </w:pPr>
    </w:p>
    <w:p w14:paraId="586FC50C" w14:textId="77777777" w:rsidR="004506D0" w:rsidRPr="00912A5D" w:rsidRDefault="004506D0" w:rsidP="00F71263">
      <w:pPr>
        <w:keepNext/>
        <w:widowControl w:val="0"/>
        <w:rPr>
          <w:rFonts w:ascii="Times New Roman" w:hAnsi="Times New Roman"/>
          <w:sz w:val="22"/>
          <w:szCs w:val="22"/>
        </w:rPr>
      </w:pPr>
      <w:r w:rsidRPr="00912A5D">
        <w:rPr>
          <w:rFonts w:ascii="Times New Roman" w:hAnsi="Times New Roman"/>
          <w:sz w:val="22"/>
          <w:szCs w:val="22"/>
        </w:rPr>
        <w:t>Glivec on tarkoitettu</w:t>
      </w:r>
    </w:p>
    <w:p w14:paraId="586FC50D" w14:textId="77777777" w:rsidR="004506D0" w:rsidRDefault="004506D0" w:rsidP="00B41940">
      <w:pPr>
        <w:widowControl w:val="0"/>
        <w:numPr>
          <w:ilvl w:val="0"/>
          <w:numId w:val="14"/>
        </w:numPr>
        <w:tabs>
          <w:tab w:val="clear" w:pos="720"/>
        </w:tabs>
        <w:ind w:left="567" w:hanging="567"/>
        <w:rPr>
          <w:rFonts w:ascii="Times New Roman" w:hAnsi="Times New Roman"/>
          <w:sz w:val="22"/>
          <w:szCs w:val="22"/>
        </w:rPr>
      </w:pPr>
      <w:r w:rsidRPr="00912A5D">
        <w:rPr>
          <w:rFonts w:ascii="Times New Roman" w:hAnsi="Times New Roman"/>
          <w:sz w:val="22"/>
          <w:szCs w:val="22"/>
        </w:rPr>
        <w:t>pahanlaatuista Kit (CD 117)-positiivista ruuansulatuskanavan stroomakasvainta (GIST) sairastavien aikuisten potilaiden hoitoon silloin, kun kasvainta ei voida leikata ja/tai kun kasvain on metastasoitunut.</w:t>
      </w:r>
    </w:p>
    <w:p w14:paraId="586FC50E" w14:textId="77777777" w:rsidR="004506D0" w:rsidRPr="00F2758D" w:rsidRDefault="004506D0" w:rsidP="00B41940">
      <w:pPr>
        <w:widowControl w:val="0"/>
        <w:numPr>
          <w:ilvl w:val="0"/>
          <w:numId w:val="14"/>
        </w:numPr>
        <w:tabs>
          <w:tab w:val="clear" w:pos="720"/>
        </w:tabs>
        <w:ind w:left="567" w:hanging="567"/>
        <w:rPr>
          <w:rFonts w:ascii="Times New Roman" w:hAnsi="Times New Roman"/>
          <w:sz w:val="22"/>
          <w:szCs w:val="22"/>
        </w:rPr>
      </w:pPr>
      <w:r w:rsidRPr="000A28D8">
        <w:rPr>
          <w:rFonts w:ascii="Times New Roman" w:hAnsi="Times New Roman"/>
          <w:sz w:val="22"/>
          <w:szCs w:val="22"/>
        </w:rPr>
        <w:t xml:space="preserve">Kit (CD 117)-positiivisen GIST:in resektion jälkeiseen liitännäishoitoon aikuisille potilaille, </w:t>
      </w:r>
      <w:r w:rsidRPr="00F2758D">
        <w:rPr>
          <w:rFonts w:ascii="Times New Roman" w:hAnsi="Times New Roman"/>
          <w:sz w:val="22"/>
          <w:szCs w:val="22"/>
        </w:rPr>
        <w:t>joiden taudin uusiutumisriski on huomattava. Liitännäishoitoa ei tulisi antaa potilaille, joiden uusiutumisriski on matala tai erittäin matala.</w:t>
      </w:r>
    </w:p>
    <w:p w14:paraId="586FC50F" w14:textId="77777777" w:rsidR="004506D0" w:rsidRPr="00912A5D" w:rsidRDefault="004506D0" w:rsidP="00B41940">
      <w:pPr>
        <w:widowControl w:val="0"/>
        <w:numPr>
          <w:ilvl w:val="0"/>
          <w:numId w:val="14"/>
        </w:numPr>
        <w:tabs>
          <w:tab w:val="clear" w:pos="720"/>
        </w:tabs>
        <w:ind w:left="567" w:hanging="567"/>
        <w:rPr>
          <w:rFonts w:ascii="Times New Roman" w:hAnsi="Times New Roman"/>
          <w:sz w:val="22"/>
          <w:szCs w:val="22"/>
        </w:rPr>
      </w:pPr>
      <w:r w:rsidRPr="00F2758D">
        <w:rPr>
          <w:rFonts w:ascii="Times New Roman" w:hAnsi="Times New Roman"/>
          <w:sz w:val="22"/>
          <w:szCs w:val="22"/>
        </w:rPr>
        <w:t>aikuisten dermatofibrosarcoma protuberans- (DFSP-) potilaiden hoitoon, kun kasvainta ei voida</w:t>
      </w:r>
      <w:r w:rsidRPr="00912A5D">
        <w:rPr>
          <w:rFonts w:ascii="Times New Roman" w:hAnsi="Times New Roman"/>
          <w:sz w:val="22"/>
          <w:szCs w:val="22"/>
        </w:rPr>
        <w:t xml:space="preserve"> leikata ja aikuisille potilaille, joilla on uusiutunut ja/tai metastasoitunut DFSP, jota ei voi leikata.</w:t>
      </w:r>
    </w:p>
    <w:p w14:paraId="586FC510" w14:textId="77777777" w:rsidR="004506D0" w:rsidRPr="00912A5D" w:rsidRDefault="004506D0" w:rsidP="004506D0">
      <w:pPr>
        <w:widowControl w:val="0"/>
        <w:rPr>
          <w:rFonts w:ascii="Times New Roman" w:hAnsi="Times New Roman"/>
          <w:sz w:val="22"/>
          <w:szCs w:val="22"/>
        </w:rPr>
      </w:pPr>
    </w:p>
    <w:p w14:paraId="586FC511" w14:textId="77777777" w:rsidR="004506D0" w:rsidRPr="00912A5D" w:rsidRDefault="004506D0" w:rsidP="004506D0">
      <w:pPr>
        <w:pStyle w:val="EndnoteText"/>
        <w:rPr>
          <w:color w:val="000000"/>
          <w:lang w:val="fi-FI"/>
        </w:rPr>
      </w:pPr>
      <w:r w:rsidRPr="00912A5D">
        <w:rPr>
          <w:color w:val="000000"/>
          <w:lang w:val="fi-FI"/>
        </w:rPr>
        <w:t xml:space="preserve">Näyttö Glivecin tehosta aikuis- ja lapsipotilaiden </w:t>
      </w:r>
      <w:smartTag w:uri="urn:schemas-microsoft-com:office:smarttags" w:element="State">
        <w:r w:rsidRPr="00912A5D">
          <w:rPr>
            <w:color w:val="000000"/>
            <w:lang w:val="fi-FI"/>
          </w:rPr>
          <w:t>KML</w:t>
        </w:r>
      </w:smartTag>
      <w:r w:rsidRPr="00912A5D">
        <w:rPr>
          <w:color w:val="000000"/>
          <w:lang w:val="fi-FI"/>
        </w:rPr>
        <w:t xml:space="preserve">:ssa perustuu hematologisten ja sytogeneettisten vasteiden määrään ja havaittuun aikaan ilman merkkejä taudin etenemisestä, Ph+ </w:t>
      </w:r>
      <w:smartTag w:uri="urn:schemas-microsoft-com:office:smarttags" w:element="State">
        <w:r w:rsidRPr="00912A5D">
          <w:rPr>
            <w:color w:val="000000"/>
            <w:lang w:val="fi-FI"/>
          </w:rPr>
          <w:t>ALL</w:t>
        </w:r>
      </w:smartTag>
      <w:r w:rsidRPr="00912A5D">
        <w:rPr>
          <w:color w:val="000000"/>
          <w:lang w:val="fi-FI"/>
        </w:rPr>
        <w:t xml:space="preserve">:issa ja </w:t>
      </w:r>
      <w:smartTag w:uri="urn:schemas-microsoft-com:office:smarttags" w:element="State">
        <w:r w:rsidRPr="00912A5D">
          <w:rPr>
            <w:color w:val="000000"/>
            <w:lang w:val="fi-FI"/>
          </w:rPr>
          <w:t>MDS</w:t>
        </w:r>
      </w:smartTag>
      <w:r w:rsidRPr="00912A5D">
        <w:rPr>
          <w:color w:val="000000"/>
          <w:lang w:val="fi-FI"/>
        </w:rPr>
        <w:t>/MPD:ssä hematologiseen ja sytogeneettiseen vasteeseen</w:t>
      </w:r>
      <w:r w:rsidRPr="00912A5D">
        <w:rPr>
          <w:color w:val="000000"/>
          <w:szCs w:val="22"/>
          <w:lang w:val="fi-FI"/>
        </w:rPr>
        <w:t>, HES:ssä/</w:t>
      </w:r>
      <w:smartTag w:uri="urn:schemas-microsoft-com:office:smarttags" w:element="State">
        <w:r w:rsidRPr="00912A5D">
          <w:rPr>
            <w:color w:val="000000"/>
            <w:szCs w:val="22"/>
            <w:lang w:val="fi-FI"/>
          </w:rPr>
          <w:t>CEL</w:t>
        </w:r>
      </w:smartTag>
      <w:r w:rsidRPr="00912A5D">
        <w:rPr>
          <w:color w:val="000000"/>
          <w:szCs w:val="22"/>
          <w:lang w:val="fi-FI"/>
        </w:rPr>
        <w:t>:ssä hematologisten vasteiden määrään</w:t>
      </w:r>
      <w:r>
        <w:rPr>
          <w:color w:val="000000"/>
          <w:szCs w:val="22"/>
          <w:lang w:val="fi-FI"/>
        </w:rPr>
        <w:t>,</w:t>
      </w:r>
      <w:r w:rsidRPr="00912A5D">
        <w:rPr>
          <w:color w:val="000000"/>
          <w:lang w:val="fi-FI"/>
        </w:rPr>
        <w:t xml:space="preserve"> aikuispotilaiden GIST:issä</w:t>
      </w:r>
      <w:r>
        <w:rPr>
          <w:color w:val="000000"/>
          <w:lang w:val="fi-FI"/>
        </w:rPr>
        <w:t>,</w:t>
      </w:r>
      <w:r w:rsidRPr="00912A5D">
        <w:rPr>
          <w:color w:val="000000"/>
          <w:lang w:val="fi-FI"/>
        </w:rPr>
        <w:t xml:space="preserve"> </w:t>
      </w:r>
      <w:r w:rsidRPr="001F55AC">
        <w:rPr>
          <w:szCs w:val="22"/>
          <w:lang w:val="fi-FI"/>
        </w:rPr>
        <w:t>jota ei voida leikata ja/tai joka on metastasoitunut</w:t>
      </w:r>
      <w:r w:rsidRPr="00912A5D">
        <w:rPr>
          <w:color w:val="000000"/>
          <w:lang w:val="fi-FI"/>
        </w:rPr>
        <w:t xml:space="preserve"> ja DFSP:ssä objektiivisten vasteiden määrään</w:t>
      </w:r>
      <w:r>
        <w:rPr>
          <w:color w:val="000000"/>
          <w:lang w:val="fi-FI"/>
        </w:rPr>
        <w:t>, sekä liitännäishoidetussa GIST:issä uusiutumisvapaaseen eloonjäämiseen</w:t>
      </w:r>
      <w:r w:rsidRPr="00912A5D">
        <w:rPr>
          <w:color w:val="000000"/>
          <w:lang w:val="fi-FI"/>
        </w:rPr>
        <w:t>. Glivecin käytöstä on hyvin vähän kokemusta potilailla, joilla on myelodysplastinen oireyhtymä/myeloproliferatiivinen sairaus ja siihen liittyvää PDGFR-geenin uudelleenjärjestäytymistä (ks. kohta 5.1). Juuri diagnosoitua kroonisessa vaiheessa olevaa KML:aa lukuun ottamatta kontrolloituja tutkimuksia, jotka osoittaisivat kliinistä tehoa tai eloonjäämisetua näissä taudeissa, ei ole tehty.</w:t>
      </w:r>
    </w:p>
    <w:p w14:paraId="586FC512" w14:textId="77777777" w:rsidR="004506D0" w:rsidRPr="00912A5D" w:rsidRDefault="004506D0" w:rsidP="004506D0">
      <w:pPr>
        <w:widowControl w:val="0"/>
        <w:rPr>
          <w:rFonts w:ascii="Times New Roman" w:hAnsi="Times New Roman"/>
          <w:sz w:val="22"/>
          <w:szCs w:val="22"/>
        </w:rPr>
      </w:pPr>
    </w:p>
    <w:p w14:paraId="586FC513" w14:textId="77777777" w:rsidR="004506D0" w:rsidRPr="00912A5D" w:rsidRDefault="004506D0"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4.2</w:t>
      </w:r>
      <w:r w:rsidRPr="00912A5D">
        <w:rPr>
          <w:rFonts w:ascii="Times New Roman" w:hAnsi="Times New Roman"/>
          <w:b/>
          <w:sz w:val="22"/>
          <w:szCs w:val="22"/>
        </w:rPr>
        <w:tab/>
        <w:t>Annostus ja antotapa</w:t>
      </w:r>
    </w:p>
    <w:p w14:paraId="586FC514" w14:textId="77777777" w:rsidR="004506D0" w:rsidRPr="00912A5D" w:rsidRDefault="004506D0" w:rsidP="00F71263">
      <w:pPr>
        <w:pStyle w:val="EndnoteText"/>
        <w:keepNext/>
        <w:widowControl w:val="0"/>
        <w:tabs>
          <w:tab w:val="clear" w:pos="567"/>
        </w:tabs>
        <w:rPr>
          <w:color w:val="000000"/>
          <w:szCs w:val="22"/>
          <w:lang w:val="fi-FI"/>
        </w:rPr>
      </w:pPr>
    </w:p>
    <w:p w14:paraId="586FC515"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Hoito tulee aloittaa tilanteesta riippuen hematologista syöpäsairautta tai pahanlaatuista sarkoomaa sairastavien potilaiden hoitoon perehtyneen lääkärin toimesta.</w:t>
      </w:r>
    </w:p>
    <w:p w14:paraId="586FC516" w14:textId="77777777" w:rsidR="00AE3698" w:rsidRPr="00912A5D" w:rsidRDefault="00AE3698">
      <w:pPr>
        <w:pStyle w:val="EndnoteText"/>
        <w:widowControl w:val="0"/>
        <w:tabs>
          <w:tab w:val="clear" w:pos="567"/>
        </w:tabs>
        <w:rPr>
          <w:color w:val="000000"/>
          <w:szCs w:val="22"/>
          <w:lang w:val="fi-FI"/>
        </w:rPr>
      </w:pPr>
    </w:p>
    <w:p w14:paraId="586FC517" w14:textId="77777777" w:rsidR="00B75202" w:rsidRDefault="00B75202">
      <w:pPr>
        <w:pStyle w:val="EndnoteText"/>
        <w:widowControl w:val="0"/>
        <w:tabs>
          <w:tab w:val="clear" w:pos="567"/>
        </w:tabs>
        <w:rPr>
          <w:color w:val="000000"/>
          <w:szCs w:val="22"/>
          <w:lang w:val="fi-FI"/>
        </w:rPr>
      </w:pPr>
      <w:r>
        <w:rPr>
          <w:color w:val="000000"/>
          <w:szCs w:val="22"/>
          <w:lang w:val="fi-FI"/>
        </w:rPr>
        <w:t>Muita kuin 400 mg:n ja 800 mg:n anno</w:t>
      </w:r>
      <w:r w:rsidR="00266836">
        <w:rPr>
          <w:color w:val="000000"/>
          <w:szCs w:val="22"/>
          <w:lang w:val="fi-FI"/>
        </w:rPr>
        <w:t xml:space="preserve">ksia </w:t>
      </w:r>
      <w:r>
        <w:rPr>
          <w:color w:val="000000"/>
          <w:szCs w:val="22"/>
          <w:lang w:val="fi-FI"/>
        </w:rPr>
        <w:t>varten (k</w:t>
      </w:r>
      <w:r w:rsidR="00D47D79">
        <w:rPr>
          <w:color w:val="000000"/>
          <w:szCs w:val="22"/>
          <w:lang w:val="fi-FI"/>
        </w:rPr>
        <w:t>atso</w:t>
      </w:r>
      <w:r>
        <w:rPr>
          <w:color w:val="000000"/>
          <w:szCs w:val="22"/>
          <w:lang w:val="fi-FI"/>
        </w:rPr>
        <w:t xml:space="preserve"> annostussuositus alla) on saatav</w:t>
      </w:r>
      <w:r w:rsidR="006D7658">
        <w:rPr>
          <w:color w:val="000000"/>
          <w:szCs w:val="22"/>
          <w:lang w:val="fi-FI"/>
        </w:rPr>
        <w:t xml:space="preserve">ana </w:t>
      </w:r>
      <w:r>
        <w:rPr>
          <w:color w:val="000000"/>
          <w:szCs w:val="22"/>
          <w:lang w:val="fi-FI"/>
        </w:rPr>
        <w:t>jakouurteelli</w:t>
      </w:r>
      <w:r w:rsidR="00A33AA5">
        <w:rPr>
          <w:color w:val="000000"/>
          <w:szCs w:val="22"/>
          <w:lang w:val="fi-FI"/>
        </w:rPr>
        <w:t>nen 100 mg:n tabletti</w:t>
      </w:r>
      <w:r>
        <w:rPr>
          <w:color w:val="000000"/>
          <w:szCs w:val="22"/>
          <w:lang w:val="fi-FI"/>
        </w:rPr>
        <w:t>.</w:t>
      </w:r>
    </w:p>
    <w:p w14:paraId="586FC518"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400 mg:n ja sitä suurempia annoksia varten (katso annossuositus alla) on saatavana 400 mg:n tabletti (ei jakouurteellinen).</w:t>
      </w:r>
    </w:p>
    <w:p w14:paraId="586FC519" w14:textId="77777777" w:rsidR="00AE3698" w:rsidRPr="00912A5D" w:rsidRDefault="00AE3698">
      <w:pPr>
        <w:pStyle w:val="EndnoteText"/>
        <w:widowControl w:val="0"/>
        <w:tabs>
          <w:tab w:val="clear" w:pos="567"/>
        </w:tabs>
        <w:rPr>
          <w:color w:val="000000"/>
          <w:szCs w:val="22"/>
          <w:lang w:val="fi-FI"/>
        </w:rPr>
      </w:pPr>
    </w:p>
    <w:p w14:paraId="586FC51A"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Määrätty annos tulee antaa suun kautta aterian yhteydessä ja ison vesilasillisen kera ruuansulatuskanavan ärsytyksen riskin minimoimiseksi. Annokset 400 mg ja 600 mg pitää antaa kerran vuorokaudessa. Sen sijaan 800 mg annos pitää antaa kahdesti vuorokaudessa 400 mg annoksena aamulla ja illalla.</w:t>
      </w:r>
    </w:p>
    <w:p w14:paraId="586FC51B" w14:textId="77777777" w:rsidR="00AE3698" w:rsidRPr="00912A5D" w:rsidRDefault="00AE3698">
      <w:pPr>
        <w:pStyle w:val="EndnoteText"/>
        <w:widowControl w:val="0"/>
        <w:tabs>
          <w:tab w:val="clear" w:pos="567"/>
        </w:tabs>
        <w:rPr>
          <w:color w:val="000000"/>
          <w:szCs w:val="22"/>
          <w:lang w:val="fi-FI"/>
        </w:rPr>
      </w:pPr>
    </w:p>
    <w:p w14:paraId="586FC51C"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Jos potilas ei pysty nielemään kalvopäällysteistä tablettia kokonaisena, voidaan tabletti sekoittaa </w:t>
      </w:r>
      <w:r w:rsidR="00C025E4">
        <w:rPr>
          <w:color w:val="000000"/>
          <w:szCs w:val="22"/>
          <w:lang w:val="fi-FI"/>
        </w:rPr>
        <w:t xml:space="preserve">lasilliseen </w:t>
      </w:r>
      <w:r w:rsidR="007A056C">
        <w:rPr>
          <w:color w:val="000000"/>
          <w:szCs w:val="22"/>
          <w:lang w:val="fi-FI"/>
        </w:rPr>
        <w:t>hiilihapoto</w:t>
      </w:r>
      <w:r w:rsidR="00C025E4">
        <w:rPr>
          <w:color w:val="000000"/>
          <w:szCs w:val="22"/>
          <w:lang w:val="fi-FI"/>
        </w:rPr>
        <w:t>nt</w:t>
      </w:r>
      <w:r w:rsidR="007A056C">
        <w:rPr>
          <w:color w:val="000000"/>
          <w:szCs w:val="22"/>
          <w:lang w:val="fi-FI"/>
        </w:rPr>
        <w:t xml:space="preserve">a </w:t>
      </w:r>
      <w:r w:rsidRPr="00912A5D">
        <w:rPr>
          <w:color w:val="000000"/>
          <w:szCs w:val="22"/>
          <w:lang w:val="fi-FI"/>
        </w:rPr>
        <w:t>vet</w:t>
      </w:r>
      <w:r w:rsidR="00C025E4">
        <w:rPr>
          <w:color w:val="000000"/>
          <w:szCs w:val="22"/>
          <w:lang w:val="fi-FI"/>
        </w:rPr>
        <w:t>tä</w:t>
      </w:r>
      <w:r w:rsidRPr="00912A5D">
        <w:rPr>
          <w:color w:val="000000"/>
          <w:szCs w:val="22"/>
          <w:lang w:val="fi-FI"/>
        </w:rPr>
        <w:t xml:space="preserve"> tai omenamehu</w:t>
      </w:r>
      <w:r w:rsidR="00C025E4">
        <w:rPr>
          <w:color w:val="000000"/>
          <w:szCs w:val="22"/>
          <w:lang w:val="fi-FI"/>
        </w:rPr>
        <w:t>a</w:t>
      </w:r>
      <w:r w:rsidRPr="00912A5D">
        <w:rPr>
          <w:color w:val="000000"/>
          <w:szCs w:val="22"/>
          <w:lang w:val="fi-FI"/>
        </w:rPr>
        <w:t>. Vaadittava määrä tabletteja laitetaan sopivaan määrään nestettä (noin 50 ml yhtä 100 mg:n tablettia kohti ja noin 200 ml yhtä 400 mg:n tablettia kohti), ja sekoitetaan lusikalla. Suspensio annetaan välittömästi tabletin/tablettien täydellisen hajoamisen jälkeen.</w:t>
      </w:r>
    </w:p>
    <w:p w14:paraId="586FC51D" w14:textId="77777777" w:rsidR="00AE3698" w:rsidRPr="00912A5D" w:rsidRDefault="00AE3698">
      <w:pPr>
        <w:pStyle w:val="EndnoteText"/>
        <w:widowControl w:val="0"/>
        <w:tabs>
          <w:tab w:val="clear" w:pos="567"/>
        </w:tabs>
        <w:rPr>
          <w:color w:val="000000"/>
          <w:szCs w:val="22"/>
          <w:lang w:val="fi-FI"/>
        </w:rPr>
      </w:pPr>
    </w:p>
    <w:p w14:paraId="586FC51E" w14:textId="77777777" w:rsidR="004506D0" w:rsidRPr="00912A5D" w:rsidRDefault="004506D0" w:rsidP="00F71263">
      <w:pPr>
        <w:pStyle w:val="EndnoteText"/>
        <w:keepNext/>
        <w:widowControl w:val="0"/>
        <w:tabs>
          <w:tab w:val="clear" w:pos="567"/>
        </w:tabs>
        <w:rPr>
          <w:color w:val="000000"/>
          <w:szCs w:val="22"/>
          <w:u w:val="single"/>
          <w:lang w:val="fi-FI"/>
        </w:rPr>
      </w:pPr>
      <w:r w:rsidRPr="00912A5D">
        <w:rPr>
          <w:color w:val="000000"/>
          <w:szCs w:val="22"/>
          <w:u w:val="single"/>
          <w:lang w:val="fi-FI"/>
        </w:rPr>
        <w:t>Annostus aikuisille kroonisessa myelooisessa leukemiassa (</w:t>
      </w:r>
      <w:smartTag w:uri="urn:schemas-microsoft-com:office:smarttags" w:element="State">
        <w:r w:rsidRPr="00912A5D">
          <w:rPr>
            <w:color w:val="000000"/>
            <w:szCs w:val="22"/>
            <w:u w:val="single"/>
            <w:lang w:val="fi-FI"/>
          </w:rPr>
          <w:t>KML</w:t>
        </w:r>
      </w:smartTag>
      <w:r w:rsidRPr="00912A5D">
        <w:rPr>
          <w:color w:val="000000"/>
          <w:szCs w:val="22"/>
          <w:u w:val="single"/>
          <w:lang w:val="fi-FI"/>
        </w:rPr>
        <w:t>)</w:t>
      </w:r>
    </w:p>
    <w:p w14:paraId="586FC51F" w14:textId="77777777" w:rsidR="004506D0" w:rsidRPr="00912A5D" w:rsidRDefault="004506D0" w:rsidP="004506D0">
      <w:pPr>
        <w:pStyle w:val="EndnoteText"/>
        <w:widowControl w:val="0"/>
        <w:rPr>
          <w:color w:val="000000"/>
          <w:szCs w:val="22"/>
          <w:lang w:val="fi-FI"/>
        </w:rPr>
      </w:pPr>
      <w:r w:rsidRPr="00912A5D">
        <w:rPr>
          <w:color w:val="000000"/>
          <w:szCs w:val="22"/>
          <w:lang w:val="fi-FI"/>
        </w:rPr>
        <w:t xml:space="preserve">Kroonisessa vaiheessa oleville </w:t>
      </w:r>
      <w:r w:rsidR="00D24A5F">
        <w:rPr>
          <w:color w:val="000000"/>
          <w:szCs w:val="22"/>
          <w:lang w:val="fi-FI"/>
        </w:rPr>
        <w:t xml:space="preserve">aikuisille </w:t>
      </w:r>
      <w:smartTag w:uri="urn:schemas-microsoft-com:office:smarttags" w:element="State">
        <w:r w:rsidRPr="00912A5D">
          <w:rPr>
            <w:color w:val="000000"/>
            <w:szCs w:val="22"/>
            <w:lang w:val="fi-FI"/>
          </w:rPr>
          <w:t>KML</w:t>
        </w:r>
      </w:smartTag>
      <w:r w:rsidRPr="00912A5D">
        <w:rPr>
          <w:color w:val="000000"/>
          <w:szCs w:val="22"/>
          <w:lang w:val="fi-FI"/>
        </w:rPr>
        <w:t xml:space="preserve">-potilaille suositeltu Glivec-annos on 400 mg/vrk. </w:t>
      </w:r>
      <w:smartTag w:uri="urn:schemas-microsoft-com:office:smarttags" w:element="State">
        <w:r w:rsidRPr="00912A5D">
          <w:rPr>
            <w:color w:val="000000"/>
            <w:szCs w:val="22"/>
            <w:lang w:val="fi-FI"/>
          </w:rPr>
          <w:t>KML</w:t>
        </w:r>
      </w:smartTag>
      <w:r w:rsidRPr="00912A5D">
        <w:rPr>
          <w:color w:val="000000"/>
          <w:szCs w:val="22"/>
          <w:lang w:val="fi-FI"/>
        </w:rPr>
        <w:t xml:space="preserve"> on kroonisessa vaiheessa, kun kaikki seuraavat edellytykset täyttyvät: veressä ja luuytimessä blasteja &lt; 15 %, perifeerisessä veressä basofiilejä &lt; 20 %, verihiutaleita &gt; 100 x 10</w:t>
      </w:r>
      <w:r w:rsidRPr="00912A5D">
        <w:rPr>
          <w:color w:val="000000"/>
          <w:szCs w:val="22"/>
          <w:vertAlign w:val="superscript"/>
          <w:lang w:val="fi-FI"/>
        </w:rPr>
        <w:t>9</w:t>
      </w:r>
      <w:r w:rsidRPr="00912A5D">
        <w:rPr>
          <w:color w:val="000000"/>
          <w:szCs w:val="22"/>
          <w:lang w:val="fi-FI"/>
        </w:rPr>
        <w:t>/l.</w:t>
      </w:r>
    </w:p>
    <w:p w14:paraId="586FC520" w14:textId="77777777" w:rsidR="004506D0" w:rsidRPr="00912A5D" w:rsidRDefault="004506D0" w:rsidP="004506D0">
      <w:pPr>
        <w:pStyle w:val="EndnoteText"/>
        <w:widowControl w:val="0"/>
        <w:rPr>
          <w:color w:val="000000"/>
          <w:szCs w:val="22"/>
          <w:lang w:val="fi-FI"/>
        </w:rPr>
      </w:pPr>
    </w:p>
    <w:p w14:paraId="586FC521" w14:textId="77777777" w:rsidR="004506D0" w:rsidRPr="00912A5D" w:rsidRDefault="004506D0" w:rsidP="004506D0">
      <w:pPr>
        <w:pStyle w:val="EndnoteText"/>
        <w:widowControl w:val="0"/>
        <w:rPr>
          <w:color w:val="000000"/>
          <w:szCs w:val="22"/>
          <w:lang w:val="fi-FI"/>
        </w:rPr>
      </w:pPr>
      <w:r w:rsidRPr="00912A5D">
        <w:rPr>
          <w:color w:val="000000"/>
          <w:szCs w:val="22"/>
          <w:lang w:val="fi-FI"/>
        </w:rPr>
        <w:t xml:space="preserve">Akseleraatiovaiheessa oleville </w:t>
      </w:r>
      <w:r w:rsidR="00D24A5F">
        <w:rPr>
          <w:color w:val="000000"/>
          <w:szCs w:val="22"/>
          <w:lang w:val="fi-FI"/>
        </w:rPr>
        <w:t>aikuis</w:t>
      </w:r>
      <w:r w:rsidRPr="00912A5D">
        <w:rPr>
          <w:color w:val="000000"/>
          <w:szCs w:val="22"/>
          <w:lang w:val="fi-FI"/>
        </w:rPr>
        <w:t xml:space="preserve">potilaille suositeltu Glivec-annos on 600 mg/vrk. </w:t>
      </w:r>
      <w:smartTag w:uri="urn:schemas-microsoft-com:office:smarttags" w:element="State">
        <w:r w:rsidRPr="00912A5D">
          <w:rPr>
            <w:color w:val="000000"/>
            <w:szCs w:val="22"/>
            <w:lang w:val="fi-FI"/>
          </w:rPr>
          <w:t>KML</w:t>
        </w:r>
      </w:smartTag>
      <w:r w:rsidRPr="00912A5D">
        <w:rPr>
          <w:color w:val="000000"/>
          <w:szCs w:val="22"/>
          <w:lang w:val="fi-FI"/>
        </w:rPr>
        <w:t xml:space="preserve"> on akseleraatiovaiheessa, mikäli jokin seuraavista edellytyksistä täyttyy: veressä tai luuytimessä on blasteja ≥ 15 % mutta &lt; 30 %, veressä tai luuytimessä on ≥ 30 % blasteja ja promyelosyyttejä yhteensä (olettaen että blasteja &lt; 30 %), perifeerisessä veressä on basofiilejä ≥ 20 %, verihiutaleita on (ei hoidosta johtuen) &lt; 100 x 10</w:t>
      </w:r>
      <w:r w:rsidRPr="00912A5D">
        <w:rPr>
          <w:color w:val="000000"/>
          <w:szCs w:val="22"/>
          <w:vertAlign w:val="superscript"/>
          <w:lang w:val="fi-FI"/>
        </w:rPr>
        <w:t>9</w:t>
      </w:r>
      <w:r w:rsidRPr="00912A5D">
        <w:rPr>
          <w:color w:val="000000"/>
          <w:szCs w:val="22"/>
          <w:lang w:val="fi-FI"/>
        </w:rPr>
        <w:t>/l.</w:t>
      </w:r>
    </w:p>
    <w:p w14:paraId="586FC522" w14:textId="77777777" w:rsidR="004506D0" w:rsidRPr="00912A5D" w:rsidRDefault="004506D0" w:rsidP="004506D0">
      <w:pPr>
        <w:pStyle w:val="EndnoteText"/>
        <w:widowControl w:val="0"/>
        <w:rPr>
          <w:color w:val="000000"/>
          <w:szCs w:val="22"/>
          <w:lang w:val="fi-FI"/>
        </w:rPr>
      </w:pPr>
    </w:p>
    <w:p w14:paraId="586FC523" w14:textId="77777777" w:rsidR="004506D0" w:rsidRPr="00912A5D" w:rsidRDefault="004506D0" w:rsidP="004506D0">
      <w:pPr>
        <w:pStyle w:val="EndnoteText"/>
        <w:widowControl w:val="0"/>
        <w:rPr>
          <w:color w:val="000000"/>
          <w:szCs w:val="22"/>
          <w:lang w:val="fi-FI"/>
        </w:rPr>
      </w:pPr>
      <w:r w:rsidRPr="00912A5D">
        <w:rPr>
          <w:color w:val="000000"/>
          <w:szCs w:val="22"/>
          <w:lang w:val="fi-FI"/>
        </w:rPr>
        <w:t xml:space="preserve">Blastikriisissä oleville </w:t>
      </w:r>
      <w:r w:rsidR="00D24A5F">
        <w:rPr>
          <w:color w:val="000000"/>
          <w:szCs w:val="22"/>
          <w:lang w:val="fi-FI"/>
        </w:rPr>
        <w:t>aikuis</w:t>
      </w:r>
      <w:r w:rsidRPr="00912A5D">
        <w:rPr>
          <w:color w:val="000000"/>
          <w:szCs w:val="22"/>
          <w:lang w:val="fi-FI"/>
        </w:rPr>
        <w:t xml:space="preserve">potilaille suositeltu Glivec-annos on 600 mg/vrk. Blastikriisissä veressä tai luuytimessä on ≥ 30 % blasteja tai potilaalla on luuytimen ulkopuolinen sairaus pois lukien </w:t>
      </w:r>
      <w:r w:rsidRPr="00912A5D">
        <w:rPr>
          <w:color w:val="000000"/>
          <w:szCs w:val="22"/>
          <w:lang w:val="fi-FI"/>
        </w:rPr>
        <w:lastRenderedPageBreak/>
        <w:t>hepatosplenomegalia.</w:t>
      </w:r>
    </w:p>
    <w:p w14:paraId="586FC524" w14:textId="77777777" w:rsidR="004506D0" w:rsidRPr="00912A5D" w:rsidRDefault="004506D0" w:rsidP="004506D0">
      <w:pPr>
        <w:pStyle w:val="EndnoteText"/>
        <w:widowControl w:val="0"/>
        <w:rPr>
          <w:color w:val="000000"/>
          <w:szCs w:val="22"/>
          <w:lang w:val="fi-FI"/>
        </w:rPr>
      </w:pPr>
    </w:p>
    <w:p w14:paraId="586FC525" w14:textId="77777777" w:rsidR="004506D0" w:rsidRPr="00912A5D" w:rsidRDefault="004506D0" w:rsidP="004506D0">
      <w:pPr>
        <w:pStyle w:val="EndnoteText"/>
        <w:widowControl w:val="0"/>
        <w:rPr>
          <w:color w:val="000000"/>
          <w:szCs w:val="22"/>
          <w:lang w:val="fi-FI"/>
        </w:rPr>
      </w:pPr>
      <w:r w:rsidRPr="00912A5D">
        <w:rPr>
          <w:color w:val="000000"/>
          <w:szCs w:val="22"/>
          <w:lang w:val="fi-FI"/>
        </w:rPr>
        <w:t>Hoidon kesto: Kliinisissä tutkimuksissa Glivec-hoitoa jatkettiin, kunnes tauti alkoi edetä. Hoidon keskeyttämisen vaikutusta, sen jälkeen kun täydellinen sytogeneettinen vaste on saavutettu, ei ole tutkittu.</w:t>
      </w:r>
    </w:p>
    <w:p w14:paraId="586FC526" w14:textId="77777777" w:rsidR="004506D0" w:rsidRPr="00912A5D" w:rsidRDefault="004506D0" w:rsidP="004506D0">
      <w:pPr>
        <w:pStyle w:val="EndnoteText"/>
        <w:widowControl w:val="0"/>
        <w:tabs>
          <w:tab w:val="clear" w:pos="567"/>
        </w:tabs>
        <w:rPr>
          <w:color w:val="000000"/>
          <w:szCs w:val="22"/>
          <w:lang w:val="fi-FI"/>
        </w:rPr>
      </w:pPr>
    </w:p>
    <w:p w14:paraId="586FC527"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Annoksen suurentamista 400 mg:sta 600 mg:aan tai 800 mg:aan taudin kroonisessa vaiheessa tai 600 mg:sta suurimpaan annokseen 800 mg (400 mg annosteltuna kahdesti vuorokaudessa) akseleraatiovaiheessa tai blastikriisissä oleville potilaille voidaan harkita seuraavissa tapauksissa edellyttäen, ettei vaikeita haittavaikutuksia ja vaikeaa leukemiaan liittymätöntä neutropeniaa tai trombosytopeniaa ole esiintynyt: jos tauti etenee (ajankohdasta riippumatta); jos vähintään 3 kuukauden hoito ei ole tuottanut tyydyttävää hematologista vastetta; jos 12 kuukauden hoito ei ole tuottanut sytogeneettistä vastetta tai jos aiemmin saavutettu hematologinen ja/tai sytogeneettinen vaste häviää. Potilaita on seurattava huolellisesti, kun annosta nostetaan, koska korkeammilla annoksilla voi esiintyä enemmän haittavaikutuksia.</w:t>
      </w:r>
    </w:p>
    <w:p w14:paraId="586FC528" w14:textId="77777777" w:rsidR="004506D0" w:rsidRPr="00912A5D" w:rsidRDefault="004506D0" w:rsidP="004506D0">
      <w:pPr>
        <w:pStyle w:val="EndnoteText"/>
        <w:widowControl w:val="0"/>
        <w:tabs>
          <w:tab w:val="clear" w:pos="567"/>
        </w:tabs>
        <w:rPr>
          <w:color w:val="000000"/>
          <w:szCs w:val="22"/>
          <w:lang w:val="fi-FI"/>
        </w:rPr>
      </w:pPr>
    </w:p>
    <w:p w14:paraId="586FC529" w14:textId="77777777" w:rsidR="004506D0" w:rsidRPr="00912A5D" w:rsidRDefault="004506D0" w:rsidP="00F71263">
      <w:pPr>
        <w:pStyle w:val="EndnoteText"/>
        <w:keepNext/>
        <w:widowControl w:val="0"/>
        <w:tabs>
          <w:tab w:val="clear" w:pos="567"/>
        </w:tabs>
        <w:rPr>
          <w:color w:val="000000"/>
          <w:szCs w:val="22"/>
          <w:u w:val="single"/>
          <w:lang w:val="fi-FI"/>
        </w:rPr>
      </w:pPr>
      <w:r w:rsidRPr="00912A5D">
        <w:rPr>
          <w:color w:val="000000"/>
          <w:szCs w:val="22"/>
          <w:u w:val="single"/>
          <w:lang w:val="fi-FI"/>
        </w:rPr>
        <w:t>Annostus lapsille kroonisessa myelooisessa leukemiassa (</w:t>
      </w:r>
      <w:smartTag w:uri="urn:schemas-microsoft-com:office:smarttags" w:element="State">
        <w:r w:rsidRPr="00912A5D">
          <w:rPr>
            <w:color w:val="000000"/>
            <w:szCs w:val="22"/>
            <w:u w:val="single"/>
            <w:lang w:val="fi-FI"/>
          </w:rPr>
          <w:t>KML</w:t>
        </w:r>
      </w:smartTag>
      <w:r w:rsidRPr="00912A5D">
        <w:rPr>
          <w:color w:val="000000"/>
          <w:szCs w:val="22"/>
          <w:u w:val="single"/>
          <w:lang w:val="fi-FI"/>
        </w:rPr>
        <w:t>)</w:t>
      </w:r>
    </w:p>
    <w:p w14:paraId="586FC52A"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Annoksen määrittämisen lapsille tulee perustua kehon pinta-alaan (mg/m</w:t>
      </w:r>
      <w:r w:rsidRPr="00912A5D">
        <w:rPr>
          <w:color w:val="000000"/>
          <w:szCs w:val="22"/>
          <w:vertAlign w:val="superscript"/>
          <w:lang w:val="fi-FI"/>
        </w:rPr>
        <w:t>2</w:t>
      </w:r>
      <w:r w:rsidRPr="00912A5D">
        <w:rPr>
          <w:color w:val="000000"/>
          <w:szCs w:val="22"/>
          <w:lang w:val="fi-FI"/>
        </w:rPr>
        <w:t xml:space="preserve">). Kroonisen vaiheen </w:t>
      </w:r>
      <w:smartTag w:uri="urn:schemas-microsoft-com:office:smarttags" w:element="State">
        <w:r w:rsidRPr="00912A5D">
          <w:rPr>
            <w:color w:val="000000"/>
            <w:szCs w:val="22"/>
            <w:lang w:val="fi-FI"/>
          </w:rPr>
          <w:t>KML</w:t>
        </w:r>
      </w:smartTag>
      <w:r w:rsidRPr="00912A5D">
        <w:rPr>
          <w:color w:val="000000"/>
          <w:szCs w:val="22"/>
          <w:lang w:val="fi-FI"/>
        </w:rPr>
        <w:t xml:space="preserve">:a ja pitkälle edennyttä </w:t>
      </w:r>
      <w:smartTag w:uri="urn:schemas-microsoft-com:office:smarttags" w:element="State">
        <w:r w:rsidRPr="00912A5D">
          <w:rPr>
            <w:color w:val="000000"/>
            <w:szCs w:val="22"/>
            <w:lang w:val="fi-FI"/>
          </w:rPr>
          <w:t>KML</w:t>
        </w:r>
      </w:smartTag>
      <w:r w:rsidRPr="00912A5D">
        <w:rPr>
          <w:color w:val="000000"/>
          <w:szCs w:val="22"/>
          <w:lang w:val="fi-FI"/>
        </w:rPr>
        <w:t>:a sairastaville lapsille suositellaan annosta 340 mg/m</w:t>
      </w:r>
      <w:r w:rsidRPr="00912A5D">
        <w:rPr>
          <w:color w:val="000000"/>
          <w:szCs w:val="22"/>
          <w:vertAlign w:val="superscript"/>
          <w:lang w:val="fi-FI"/>
        </w:rPr>
        <w:t>2</w:t>
      </w:r>
      <w:r w:rsidRPr="00912A5D">
        <w:rPr>
          <w:color w:val="000000"/>
          <w:szCs w:val="22"/>
          <w:lang w:val="fi-FI"/>
        </w:rPr>
        <w:t xml:space="preserve"> vuorokaudessa (kokonaisannos ei saa olla yli 800 mg). Lääke voidaan antaa kerran vuorokaudessa tai vaihtoehtoisesti vuorokausiannos voidaan jakaa kahteen annostelukertaan – yksi annos aamulla ja yksi illalla. Tämänhetkinen annossuositus perustuu kokemukseen pienellä joukolla lapsipotilaita (ks. kohdat 5.1 ja 5.2). Alle 2-vuotiaiden lasten hoidosta ei ole kokemusta.</w:t>
      </w:r>
    </w:p>
    <w:p w14:paraId="586FC52B" w14:textId="77777777" w:rsidR="004506D0" w:rsidRPr="00912A5D" w:rsidRDefault="004506D0" w:rsidP="004506D0">
      <w:pPr>
        <w:pStyle w:val="EndnoteText"/>
        <w:widowControl w:val="0"/>
        <w:tabs>
          <w:tab w:val="clear" w:pos="567"/>
        </w:tabs>
        <w:rPr>
          <w:color w:val="000000"/>
          <w:szCs w:val="22"/>
          <w:lang w:val="fi-FI"/>
        </w:rPr>
      </w:pPr>
    </w:p>
    <w:p w14:paraId="586FC52C" w14:textId="77777777" w:rsidR="004506D0" w:rsidRPr="00912A5D" w:rsidRDefault="004506D0" w:rsidP="004506D0">
      <w:pPr>
        <w:pStyle w:val="EndnoteText"/>
        <w:widowControl w:val="0"/>
        <w:tabs>
          <w:tab w:val="clear" w:pos="567"/>
        </w:tabs>
        <w:rPr>
          <w:color w:val="000000"/>
          <w:szCs w:val="22"/>
          <w:lang w:val="fi-FI"/>
        </w:rPr>
      </w:pPr>
      <w:r w:rsidRPr="00912A5D">
        <w:rPr>
          <w:color w:val="000000"/>
          <w:lang w:val="fi-FI"/>
        </w:rPr>
        <w:t>Annoksen suurentamista 340 mg/m</w:t>
      </w:r>
      <w:r w:rsidRPr="00912A5D">
        <w:rPr>
          <w:color w:val="000000"/>
          <w:vertAlign w:val="superscript"/>
          <w:lang w:val="fi-FI"/>
        </w:rPr>
        <w:t>2</w:t>
      </w:r>
      <w:r w:rsidRPr="00912A5D">
        <w:rPr>
          <w:color w:val="000000"/>
          <w:lang w:val="fi-FI"/>
        </w:rPr>
        <w:t>:stä vuorokaudessa 570 mg/m</w:t>
      </w:r>
      <w:r w:rsidRPr="00912A5D">
        <w:rPr>
          <w:color w:val="000000"/>
          <w:vertAlign w:val="superscript"/>
          <w:lang w:val="fi-FI"/>
        </w:rPr>
        <w:t>2</w:t>
      </w:r>
      <w:r w:rsidRPr="00912A5D">
        <w:rPr>
          <w:color w:val="000000"/>
          <w:lang w:val="fi-FI"/>
        </w:rPr>
        <w:t xml:space="preserve">:een vuorokaudessa (kokonaisannos ei saa olla yli 800 mg) lapsille voidaan harkita seuraavissa tapauksissa edellyttäen, </w:t>
      </w:r>
      <w:r w:rsidRPr="00912A5D">
        <w:rPr>
          <w:color w:val="000000"/>
          <w:szCs w:val="22"/>
          <w:lang w:val="fi-FI"/>
        </w:rPr>
        <w:t>ettei vaikeita haittavaikutuksia ja vaikeaa leukemiaan liittymätöntä neutropeniaa tai trombosytopeniaa ole esiintynyt: jos tauti etenee (ajankohdasta riippumatta); jos vähintään 3 kuukauden hoito ei ole tuottanut tyydyttävää hematologista vastetta; jos 12 kuukauden hoito ei ole tuottanut sytogenettistä vastetta tai jos aiemmin saavutettu hematologinen ja/tai sytogeneettinen vaste häviää.</w:t>
      </w:r>
      <w:r w:rsidRPr="00912A5D">
        <w:rPr>
          <w:color w:val="000000"/>
          <w:lang w:val="fi-FI"/>
        </w:rPr>
        <w:t xml:space="preserve"> </w:t>
      </w:r>
      <w:r w:rsidRPr="00912A5D">
        <w:rPr>
          <w:color w:val="000000"/>
          <w:szCs w:val="22"/>
          <w:lang w:val="fi-FI"/>
        </w:rPr>
        <w:t>Potilaita on seurattava huolellisesti, kun annosta nostetaan, koska korkeammilla annoksilla voi esiintyä enemmän haittavaikutuksia.</w:t>
      </w:r>
    </w:p>
    <w:p w14:paraId="586FC52D" w14:textId="77777777" w:rsidR="004506D0" w:rsidRPr="00912A5D" w:rsidRDefault="004506D0" w:rsidP="004506D0">
      <w:pPr>
        <w:pStyle w:val="EndnoteText"/>
        <w:widowControl w:val="0"/>
        <w:tabs>
          <w:tab w:val="clear" w:pos="567"/>
        </w:tabs>
        <w:rPr>
          <w:color w:val="000000"/>
          <w:lang w:val="fi-FI"/>
        </w:rPr>
      </w:pPr>
    </w:p>
    <w:p w14:paraId="586FC52E" w14:textId="77777777" w:rsidR="004506D0" w:rsidRPr="00912A5D" w:rsidRDefault="004506D0" w:rsidP="00F71263">
      <w:pPr>
        <w:pStyle w:val="EndnoteText"/>
        <w:keepNext/>
        <w:widowControl w:val="0"/>
        <w:tabs>
          <w:tab w:val="clear" w:pos="567"/>
        </w:tabs>
        <w:rPr>
          <w:color w:val="000000"/>
          <w:szCs w:val="22"/>
          <w:u w:val="single"/>
          <w:lang w:val="fi-FI"/>
        </w:rPr>
      </w:pPr>
      <w:r w:rsidRPr="00912A5D">
        <w:rPr>
          <w:color w:val="000000"/>
          <w:szCs w:val="22"/>
          <w:u w:val="single"/>
          <w:lang w:val="fi-FI"/>
        </w:rPr>
        <w:t xml:space="preserve">Annostus </w:t>
      </w:r>
      <w:r w:rsidR="002D5BFA">
        <w:rPr>
          <w:color w:val="000000"/>
          <w:szCs w:val="22"/>
          <w:u w:val="single"/>
          <w:lang w:val="fi-FI"/>
        </w:rPr>
        <w:t xml:space="preserve">aikuisille </w:t>
      </w:r>
      <w:r w:rsidRPr="00912A5D">
        <w:rPr>
          <w:color w:val="000000"/>
          <w:szCs w:val="22"/>
          <w:u w:val="single"/>
          <w:lang w:val="fi-FI"/>
        </w:rPr>
        <w:t xml:space="preserve">Philadelphia-kromosomipositiivisessa akuutissa lymfaattisessa leukemiassa (Ph+ </w:t>
      </w:r>
      <w:smartTag w:uri="urn:schemas-microsoft-com:office:smarttags" w:element="State">
        <w:r w:rsidRPr="00912A5D">
          <w:rPr>
            <w:color w:val="000000"/>
            <w:szCs w:val="22"/>
            <w:u w:val="single"/>
            <w:lang w:val="fi-FI"/>
          </w:rPr>
          <w:t>ALL</w:t>
        </w:r>
      </w:smartTag>
      <w:r w:rsidRPr="00912A5D">
        <w:rPr>
          <w:color w:val="000000"/>
          <w:szCs w:val="22"/>
          <w:u w:val="single"/>
          <w:lang w:val="fi-FI"/>
        </w:rPr>
        <w:t>)</w:t>
      </w:r>
    </w:p>
    <w:p w14:paraId="586FC52F" w14:textId="77777777" w:rsidR="004506D0" w:rsidRPr="00912A5D" w:rsidRDefault="00D24A5F" w:rsidP="004506D0">
      <w:pPr>
        <w:pStyle w:val="EndnoteText"/>
        <w:widowControl w:val="0"/>
        <w:tabs>
          <w:tab w:val="clear" w:pos="567"/>
        </w:tabs>
        <w:rPr>
          <w:color w:val="000000"/>
          <w:szCs w:val="22"/>
          <w:lang w:val="fi-FI"/>
        </w:rPr>
      </w:pPr>
      <w:r>
        <w:rPr>
          <w:color w:val="000000"/>
          <w:szCs w:val="22"/>
          <w:lang w:val="fi-FI"/>
        </w:rPr>
        <w:t>Aikuisp</w:t>
      </w:r>
      <w:r w:rsidR="004506D0" w:rsidRPr="00912A5D">
        <w:rPr>
          <w:color w:val="000000"/>
          <w:szCs w:val="22"/>
          <w:lang w:val="fi-FI"/>
        </w:rPr>
        <w:t xml:space="preserve">otilaille, joilla on Ph+ </w:t>
      </w:r>
      <w:smartTag w:uri="urn:schemas-microsoft-com:office:smarttags" w:element="State">
        <w:r w:rsidR="004506D0" w:rsidRPr="00912A5D">
          <w:rPr>
            <w:color w:val="000000"/>
            <w:szCs w:val="22"/>
            <w:lang w:val="fi-FI"/>
          </w:rPr>
          <w:t>ALL</w:t>
        </w:r>
      </w:smartTag>
      <w:r w:rsidR="004506D0" w:rsidRPr="00912A5D">
        <w:rPr>
          <w:color w:val="000000"/>
          <w:szCs w:val="22"/>
          <w:lang w:val="fi-FI"/>
        </w:rPr>
        <w:t>, suositeltu Glivec-annos on 600 mg/vrk. Hoidon kaikkien vaiheiden tulee tapahtua kyseisen sairauden hoitoon perehtyneiden hematologian asiantuntijoiden valvonnassa.</w:t>
      </w:r>
    </w:p>
    <w:p w14:paraId="586FC530" w14:textId="77777777" w:rsidR="004506D0" w:rsidRPr="00912A5D" w:rsidRDefault="004506D0" w:rsidP="004506D0">
      <w:pPr>
        <w:pStyle w:val="EndnoteText"/>
        <w:widowControl w:val="0"/>
        <w:tabs>
          <w:tab w:val="clear" w:pos="567"/>
        </w:tabs>
        <w:rPr>
          <w:color w:val="000000"/>
          <w:szCs w:val="22"/>
          <w:lang w:val="fi-FI"/>
        </w:rPr>
      </w:pPr>
    </w:p>
    <w:p w14:paraId="586FC531" w14:textId="77777777" w:rsidR="004506D0" w:rsidRPr="00912A5D" w:rsidRDefault="004506D0" w:rsidP="004506D0">
      <w:pPr>
        <w:rPr>
          <w:rFonts w:ascii="Times New Roman" w:hAnsi="Times New Roman"/>
          <w:sz w:val="22"/>
          <w:szCs w:val="22"/>
        </w:rPr>
      </w:pPr>
      <w:r w:rsidRPr="00912A5D">
        <w:rPr>
          <w:rFonts w:ascii="Times New Roman" w:hAnsi="Times New Roman"/>
          <w:sz w:val="22"/>
          <w:szCs w:val="22"/>
        </w:rPr>
        <w:t>Hoitojen ajoitus: Nykytietojen perusteella Glivec-valmisteen on osoitettu olevan tehokas ja turvallinen, kun sitä käytetään annoksella 600 mg/vrk yhdessä muiden syöpälääkkeiden kanssa kemoterapian induktiovaiheessa, konsolidaatiovaiheessa ja ylläpitovaiheessa (ks. kohta 5.1) aikuispotilailla, joilla on äskettäin todettu Ph+</w:t>
      </w:r>
      <w:smartTag w:uri="urn:schemas-microsoft-com:office:smarttags" w:element="State">
        <w:r w:rsidRPr="00912A5D">
          <w:rPr>
            <w:rFonts w:ascii="Times New Roman" w:hAnsi="Times New Roman"/>
            <w:sz w:val="22"/>
            <w:szCs w:val="22"/>
          </w:rPr>
          <w:t>ALL</w:t>
        </w:r>
      </w:smartTag>
      <w:r w:rsidRPr="00912A5D">
        <w:rPr>
          <w:rFonts w:ascii="Times New Roman" w:hAnsi="Times New Roman"/>
          <w:sz w:val="22"/>
          <w:szCs w:val="22"/>
        </w:rPr>
        <w:t>. Glivec-hoidon kesto voi vaihdella valitun hoito-ohjelman mukaan, mutta pitempiaikainen altistus Glivecille on yleensä tuottanut parempia tuloksia.</w:t>
      </w:r>
    </w:p>
    <w:p w14:paraId="586FC532" w14:textId="77777777" w:rsidR="004506D0" w:rsidRPr="00912A5D" w:rsidRDefault="004506D0" w:rsidP="004506D0">
      <w:pPr>
        <w:rPr>
          <w:rFonts w:ascii="Times New Roman" w:eastAsia="MS Mincho" w:hAnsi="Times New Roman"/>
          <w:sz w:val="22"/>
          <w:szCs w:val="22"/>
        </w:rPr>
      </w:pPr>
    </w:p>
    <w:p w14:paraId="586FC533" w14:textId="77777777" w:rsidR="004506D0" w:rsidRPr="00912A5D" w:rsidRDefault="004506D0" w:rsidP="004506D0">
      <w:pPr>
        <w:rPr>
          <w:rFonts w:ascii="Times New Roman" w:hAnsi="Times New Roman"/>
          <w:sz w:val="22"/>
          <w:szCs w:val="22"/>
        </w:rPr>
      </w:pPr>
      <w:r w:rsidRPr="00912A5D">
        <w:rPr>
          <w:rFonts w:ascii="Times New Roman" w:hAnsi="Times New Roman"/>
          <w:sz w:val="22"/>
          <w:szCs w:val="22"/>
        </w:rPr>
        <w:t>Glivec-monoterapia annoksella 600 mg/vrk on tehokas ja turvallinen hoito aikuispotilaille, joilla on uusiutunut tai vaikeahoitoinen Ph+</w:t>
      </w:r>
      <w:smartTag w:uri="urn:schemas-microsoft-com:office:smarttags" w:element="State">
        <w:r w:rsidRPr="00912A5D">
          <w:rPr>
            <w:rFonts w:ascii="Times New Roman" w:hAnsi="Times New Roman"/>
            <w:sz w:val="22"/>
            <w:szCs w:val="22"/>
          </w:rPr>
          <w:t>ALL</w:t>
        </w:r>
      </w:smartTag>
      <w:r w:rsidRPr="00912A5D">
        <w:rPr>
          <w:rFonts w:ascii="Times New Roman" w:hAnsi="Times New Roman"/>
          <w:sz w:val="22"/>
          <w:szCs w:val="22"/>
        </w:rPr>
        <w:t>, ja hoitoa voidaan jatkaa, kunnes tauti etenee.</w:t>
      </w:r>
    </w:p>
    <w:p w14:paraId="586FC534" w14:textId="77777777" w:rsidR="00291A4D" w:rsidRDefault="00291A4D" w:rsidP="00291A4D">
      <w:pPr>
        <w:rPr>
          <w:rFonts w:ascii="Times New Roman" w:hAnsi="Times New Roman"/>
          <w:sz w:val="22"/>
          <w:szCs w:val="22"/>
          <w:u w:val="single"/>
          <w:lang w:eastAsia="fi-FI"/>
        </w:rPr>
      </w:pPr>
    </w:p>
    <w:p w14:paraId="586FC535" w14:textId="77777777" w:rsidR="00291A4D" w:rsidRPr="00396314" w:rsidRDefault="00291A4D" w:rsidP="00F71263">
      <w:pPr>
        <w:keepNext/>
        <w:rPr>
          <w:rFonts w:ascii="Times New Roman" w:eastAsia="MS Mincho" w:hAnsi="Times New Roman"/>
          <w:sz w:val="22"/>
          <w:szCs w:val="22"/>
          <w:u w:val="single"/>
        </w:rPr>
      </w:pPr>
      <w:r w:rsidRPr="00396314">
        <w:rPr>
          <w:rFonts w:ascii="Times New Roman" w:hAnsi="Times New Roman"/>
          <w:sz w:val="22"/>
          <w:szCs w:val="22"/>
          <w:u w:val="single"/>
          <w:lang w:eastAsia="fi-FI"/>
        </w:rPr>
        <w:t>Annostus lapsille Philadelphia-kromosomipositiivisessa akuutissa lymfaattisessa leukemiassa (Ph+ ALL)</w:t>
      </w:r>
    </w:p>
    <w:p w14:paraId="586FC536" w14:textId="77777777" w:rsidR="00291A4D" w:rsidRPr="00396314" w:rsidRDefault="00291A4D" w:rsidP="00291A4D">
      <w:pPr>
        <w:rPr>
          <w:rFonts w:ascii="Times New Roman" w:hAnsi="Times New Roman"/>
          <w:sz w:val="22"/>
          <w:szCs w:val="22"/>
        </w:rPr>
      </w:pPr>
      <w:r w:rsidRPr="00396314">
        <w:rPr>
          <w:rFonts w:ascii="Times New Roman" w:hAnsi="Times New Roman"/>
          <w:sz w:val="22"/>
          <w:szCs w:val="22"/>
        </w:rPr>
        <w:t>Lasten annostus perustuu kehon pinta-alaan (mg/m</w:t>
      </w:r>
      <w:r w:rsidRPr="00396314">
        <w:rPr>
          <w:rFonts w:ascii="Times New Roman" w:hAnsi="Times New Roman"/>
          <w:sz w:val="22"/>
          <w:szCs w:val="22"/>
          <w:vertAlign w:val="superscript"/>
        </w:rPr>
        <w:t>2</w:t>
      </w:r>
      <w:r w:rsidRPr="00396314">
        <w:rPr>
          <w:rFonts w:ascii="Times New Roman" w:hAnsi="Times New Roman"/>
          <w:sz w:val="22"/>
          <w:szCs w:val="22"/>
        </w:rPr>
        <w:t xml:space="preserve">). Ph+ ALL </w:t>
      </w:r>
      <w:r w:rsidRPr="00396314">
        <w:rPr>
          <w:rFonts w:ascii="Times New Roman" w:hAnsi="Times New Roman"/>
          <w:sz w:val="22"/>
          <w:szCs w:val="22"/>
        </w:rPr>
        <w:noBreakHyphen/>
        <w:t>lapsipotilaille suositeltu annos on 340 mg/m</w:t>
      </w:r>
      <w:r w:rsidRPr="00396314">
        <w:rPr>
          <w:rFonts w:ascii="Times New Roman" w:hAnsi="Times New Roman"/>
          <w:sz w:val="22"/>
          <w:szCs w:val="22"/>
          <w:vertAlign w:val="superscript"/>
        </w:rPr>
        <w:t>2</w:t>
      </w:r>
      <w:r w:rsidRPr="00396314">
        <w:rPr>
          <w:rFonts w:ascii="Times New Roman" w:hAnsi="Times New Roman"/>
          <w:sz w:val="22"/>
          <w:szCs w:val="22"/>
        </w:rPr>
        <w:t>/vrk (600 mg kokonaisannos ei saa ylittyä).</w:t>
      </w:r>
    </w:p>
    <w:p w14:paraId="586FC537" w14:textId="77777777" w:rsidR="004506D0" w:rsidRPr="00912A5D" w:rsidRDefault="004506D0" w:rsidP="004506D0">
      <w:pPr>
        <w:rPr>
          <w:rFonts w:ascii="Times New Roman" w:hAnsi="Times New Roman"/>
          <w:sz w:val="22"/>
          <w:szCs w:val="22"/>
        </w:rPr>
      </w:pPr>
    </w:p>
    <w:p w14:paraId="586FC538" w14:textId="77777777" w:rsidR="004506D0" w:rsidRPr="00912A5D" w:rsidRDefault="004506D0" w:rsidP="00F71263">
      <w:pPr>
        <w:pStyle w:val="EndnoteText"/>
        <w:keepNext/>
        <w:widowControl w:val="0"/>
        <w:tabs>
          <w:tab w:val="clear" w:pos="567"/>
        </w:tabs>
        <w:rPr>
          <w:color w:val="000000"/>
          <w:szCs w:val="22"/>
          <w:u w:val="single"/>
          <w:lang w:val="fi-FI"/>
        </w:rPr>
      </w:pPr>
      <w:r w:rsidRPr="00912A5D">
        <w:rPr>
          <w:color w:val="000000"/>
          <w:szCs w:val="22"/>
          <w:u w:val="single"/>
          <w:lang w:val="fi-FI"/>
        </w:rPr>
        <w:t>Annostus myelodysplastisessa oireyhtymässä tai myeloproliferatiivisissa sairauksissa (</w:t>
      </w:r>
      <w:smartTag w:uri="urn:schemas-microsoft-com:office:smarttags" w:element="State">
        <w:r w:rsidRPr="00912A5D">
          <w:rPr>
            <w:color w:val="000000"/>
            <w:szCs w:val="22"/>
            <w:u w:val="single"/>
            <w:lang w:val="fi-FI"/>
          </w:rPr>
          <w:t>MDS</w:t>
        </w:r>
      </w:smartTag>
      <w:r w:rsidRPr="00912A5D">
        <w:rPr>
          <w:color w:val="000000"/>
          <w:szCs w:val="22"/>
          <w:u w:val="single"/>
          <w:lang w:val="fi-FI"/>
        </w:rPr>
        <w:t>/MPD)</w:t>
      </w:r>
    </w:p>
    <w:p w14:paraId="586FC539" w14:textId="77777777" w:rsidR="004506D0" w:rsidRPr="00912A5D" w:rsidRDefault="00D24A5F" w:rsidP="004506D0">
      <w:pPr>
        <w:pStyle w:val="EndnoteText"/>
        <w:widowControl w:val="0"/>
        <w:tabs>
          <w:tab w:val="clear" w:pos="567"/>
        </w:tabs>
        <w:rPr>
          <w:color w:val="000000"/>
          <w:szCs w:val="22"/>
          <w:lang w:val="fi-FI"/>
        </w:rPr>
      </w:pPr>
      <w:r>
        <w:rPr>
          <w:color w:val="000000"/>
          <w:szCs w:val="22"/>
          <w:lang w:val="fi-FI"/>
        </w:rPr>
        <w:t>Aikuisp</w:t>
      </w:r>
      <w:r w:rsidR="004506D0" w:rsidRPr="00912A5D">
        <w:rPr>
          <w:color w:val="000000"/>
          <w:szCs w:val="22"/>
          <w:lang w:val="fi-FI"/>
        </w:rPr>
        <w:t xml:space="preserve">otilaille, joilla on </w:t>
      </w:r>
      <w:smartTag w:uri="urn:schemas-microsoft-com:office:smarttags" w:element="State">
        <w:r w:rsidR="004506D0" w:rsidRPr="00912A5D">
          <w:rPr>
            <w:color w:val="000000"/>
            <w:szCs w:val="22"/>
            <w:lang w:val="fi-FI"/>
          </w:rPr>
          <w:t>MDS</w:t>
        </w:r>
      </w:smartTag>
      <w:r w:rsidR="004506D0" w:rsidRPr="00912A5D">
        <w:rPr>
          <w:color w:val="000000"/>
          <w:szCs w:val="22"/>
          <w:lang w:val="fi-FI"/>
        </w:rPr>
        <w:t>/MPD, suositeltu Glivec-annos on 400 mg/vrk.</w:t>
      </w:r>
    </w:p>
    <w:p w14:paraId="586FC53A" w14:textId="77777777" w:rsidR="004506D0" w:rsidRPr="00912A5D" w:rsidRDefault="004506D0" w:rsidP="004506D0">
      <w:pPr>
        <w:pStyle w:val="EndnoteText"/>
        <w:widowControl w:val="0"/>
        <w:tabs>
          <w:tab w:val="clear" w:pos="567"/>
        </w:tabs>
        <w:rPr>
          <w:color w:val="000000"/>
          <w:szCs w:val="22"/>
          <w:lang w:val="fi-FI"/>
        </w:rPr>
      </w:pPr>
    </w:p>
    <w:p w14:paraId="586FC53B"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 xml:space="preserve">Hoidon kesto: Toistaiseksi ainoassa tätä aihetta selvittäneessä kliinisessä tutkimuksessa Glivec-hoitoa </w:t>
      </w:r>
      <w:r w:rsidRPr="00912A5D">
        <w:rPr>
          <w:color w:val="000000"/>
          <w:szCs w:val="22"/>
          <w:lang w:val="fi-FI"/>
        </w:rPr>
        <w:lastRenderedPageBreak/>
        <w:t>jatkettiin taudin etenemiseen asti (ks. kohta 5.1). Hoidon keston keskiarvo oli analyysihetkellä 47 kuukautta (24 päivää – 60 kuukautta).</w:t>
      </w:r>
    </w:p>
    <w:p w14:paraId="586FC53C" w14:textId="77777777" w:rsidR="004506D0" w:rsidRPr="00912A5D" w:rsidRDefault="004506D0" w:rsidP="004506D0">
      <w:pPr>
        <w:pStyle w:val="EndnoteText"/>
        <w:widowControl w:val="0"/>
        <w:tabs>
          <w:tab w:val="clear" w:pos="567"/>
        </w:tabs>
        <w:rPr>
          <w:color w:val="000000"/>
          <w:szCs w:val="22"/>
          <w:lang w:val="fi-FI"/>
        </w:rPr>
      </w:pPr>
    </w:p>
    <w:p w14:paraId="586FC53D" w14:textId="77777777" w:rsidR="004506D0" w:rsidRPr="00912A5D" w:rsidRDefault="004506D0" w:rsidP="00F71263">
      <w:pPr>
        <w:pStyle w:val="EndnoteText"/>
        <w:keepNext/>
        <w:widowControl w:val="0"/>
        <w:tabs>
          <w:tab w:val="clear" w:pos="567"/>
        </w:tabs>
        <w:rPr>
          <w:color w:val="000000"/>
          <w:szCs w:val="22"/>
          <w:lang w:val="fi-FI"/>
        </w:rPr>
      </w:pPr>
      <w:r w:rsidRPr="00912A5D">
        <w:rPr>
          <w:color w:val="000000"/>
          <w:szCs w:val="22"/>
          <w:u w:val="single"/>
          <w:lang w:val="fi-FI"/>
        </w:rPr>
        <w:t>Annostus hypereosinofiilisessä oireyhtymässä (HES)/kroonisessa eosinofiilisessä leukemiassa (</w:t>
      </w:r>
      <w:smartTag w:uri="urn:schemas-microsoft-com:office:smarttags" w:element="State">
        <w:r w:rsidRPr="00912A5D">
          <w:rPr>
            <w:color w:val="000000"/>
            <w:szCs w:val="22"/>
            <w:u w:val="single"/>
            <w:lang w:val="fi-FI"/>
          </w:rPr>
          <w:t>CEL</w:t>
        </w:r>
      </w:smartTag>
      <w:r w:rsidRPr="00912A5D">
        <w:rPr>
          <w:color w:val="000000"/>
          <w:szCs w:val="22"/>
          <w:u w:val="single"/>
          <w:lang w:val="fi-FI"/>
        </w:rPr>
        <w:t>)</w:t>
      </w:r>
    </w:p>
    <w:p w14:paraId="586FC53E" w14:textId="77777777" w:rsidR="004506D0" w:rsidRPr="00912A5D" w:rsidRDefault="00D24A5F" w:rsidP="004506D0">
      <w:pPr>
        <w:pStyle w:val="EndnoteText"/>
        <w:widowControl w:val="0"/>
        <w:tabs>
          <w:tab w:val="clear" w:pos="567"/>
        </w:tabs>
        <w:rPr>
          <w:color w:val="000000"/>
          <w:szCs w:val="22"/>
          <w:lang w:val="fi-FI"/>
        </w:rPr>
      </w:pPr>
      <w:r>
        <w:rPr>
          <w:color w:val="000000"/>
          <w:szCs w:val="22"/>
          <w:lang w:val="fi-FI"/>
        </w:rPr>
        <w:t>Aikuisp</w:t>
      </w:r>
      <w:r w:rsidR="004506D0" w:rsidRPr="00912A5D">
        <w:rPr>
          <w:color w:val="000000"/>
          <w:szCs w:val="22"/>
          <w:lang w:val="fi-FI"/>
        </w:rPr>
        <w:t>otilaille, joilla on HES/</w:t>
      </w:r>
      <w:smartTag w:uri="urn:schemas-microsoft-com:office:smarttags" w:element="State">
        <w:r w:rsidR="004506D0" w:rsidRPr="00912A5D">
          <w:rPr>
            <w:color w:val="000000"/>
            <w:szCs w:val="22"/>
            <w:lang w:val="fi-FI"/>
          </w:rPr>
          <w:t>CEL</w:t>
        </w:r>
      </w:smartTag>
      <w:r w:rsidR="004506D0" w:rsidRPr="00912A5D">
        <w:rPr>
          <w:color w:val="000000"/>
          <w:szCs w:val="22"/>
          <w:lang w:val="fi-FI"/>
        </w:rPr>
        <w:t>, suositeltu Glivec-annos on 100 mg/vrk.</w:t>
      </w:r>
    </w:p>
    <w:p w14:paraId="586FC53F" w14:textId="77777777" w:rsidR="004506D0" w:rsidRPr="00912A5D" w:rsidRDefault="004506D0" w:rsidP="004506D0">
      <w:pPr>
        <w:pStyle w:val="EndnoteText"/>
        <w:widowControl w:val="0"/>
        <w:tabs>
          <w:tab w:val="clear" w:pos="567"/>
        </w:tabs>
        <w:rPr>
          <w:color w:val="000000"/>
          <w:szCs w:val="22"/>
          <w:lang w:val="fi-FI"/>
        </w:rPr>
      </w:pPr>
    </w:p>
    <w:p w14:paraId="586FC540" w14:textId="77777777" w:rsidR="004506D0" w:rsidRDefault="004506D0" w:rsidP="004506D0">
      <w:pPr>
        <w:pStyle w:val="EndnoteText"/>
        <w:widowControl w:val="0"/>
        <w:tabs>
          <w:tab w:val="clear" w:pos="567"/>
        </w:tabs>
        <w:rPr>
          <w:color w:val="000000"/>
          <w:szCs w:val="22"/>
          <w:lang w:val="fi-FI"/>
        </w:rPr>
      </w:pPr>
      <w:r w:rsidRPr="00912A5D">
        <w:rPr>
          <w:color w:val="000000"/>
          <w:szCs w:val="22"/>
          <w:lang w:val="fi-FI"/>
        </w:rPr>
        <w:t>Annoksen suurentamista 100 mg:sta 400 mg:aan voidaan harkita, mikäli hoitovaste ei ole riittävä eikä potilaalle ole kehittynyt haittavaikutuksia.</w:t>
      </w:r>
    </w:p>
    <w:p w14:paraId="586FC541" w14:textId="77777777" w:rsidR="004506D0" w:rsidRDefault="004506D0" w:rsidP="004506D0">
      <w:pPr>
        <w:pStyle w:val="EndnoteText"/>
        <w:widowControl w:val="0"/>
        <w:tabs>
          <w:tab w:val="clear" w:pos="567"/>
        </w:tabs>
        <w:rPr>
          <w:color w:val="000000"/>
          <w:szCs w:val="22"/>
          <w:lang w:val="fi-FI"/>
        </w:rPr>
      </w:pPr>
    </w:p>
    <w:p w14:paraId="586FC542" w14:textId="77777777" w:rsidR="004506D0" w:rsidRPr="00912A5D" w:rsidRDefault="004506D0" w:rsidP="004506D0">
      <w:pPr>
        <w:pStyle w:val="EndnoteText"/>
        <w:widowControl w:val="0"/>
        <w:tabs>
          <w:tab w:val="clear" w:pos="567"/>
        </w:tabs>
        <w:rPr>
          <w:color w:val="000000"/>
          <w:szCs w:val="22"/>
          <w:lang w:val="fi-FI"/>
        </w:rPr>
      </w:pPr>
      <w:r>
        <w:rPr>
          <w:color w:val="000000"/>
          <w:szCs w:val="22"/>
          <w:lang w:val="fi-FI"/>
        </w:rPr>
        <w:t>Hoitoa tulisi jatkaa niin kauan kuin potilas hyötyy siitä.</w:t>
      </w:r>
    </w:p>
    <w:p w14:paraId="586FC543" w14:textId="77777777" w:rsidR="004506D0" w:rsidRPr="00912A5D" w:rsidRDefault="004506D0" w:rsidP="004506D0">
      <w:pPr>
        <w:pStyle w:val="EndnoteText"/>
        <w:widowControl w:val="0"/>
        <w:tabs>
          <w:tab w:val="clear" w:pos="567"/>
        </w:tabs>
        <w:rPr>
          <w:color w:val="000000"/>
          <w:szCs w:val="22"/>
          <w:lang w:val="fi-FI"/>
        </w:rPr>
      </w:pPr>
    </w:p>
    <w:p w14:paraId="586FC544" w14:textId="77777777" w:rsidR="004506D0" w:rsidRPr="00912A5D" w:rsidRDefault="004506D0" w:rsidP="00F71263">
      <w:pPr>
        <w:pStyle w:val="EndnoteText"/>
        <w:keepNext/>
        <w:widowControl w:val="0"/>
        <w:tabs>
          <w:tab w:val="clear" w:pos="567"/>
        </w:tabs>
        <w:rPr>
          <w:color w:val="000000"/>
          <w:szCs w:val="22"/>
          <w:u w:val="single"/>
          <w:lang w:val="fi-FI"/>
        </w:rPr>
      </w:pPr>
      <w:r w:rsidRPr="00912A5D">
        <w:rPr>
          <w:color w:val="000000"/>
          <w:szCs w:val="22"/>
          <w:u w:val="single"/>
          <w:lang w:val="fi-FI"/>
        </w:rPr>
        <w:t>Annostus ruuansulatuskanavan stroomakasvaimissa (GIST)</w:t>
      </w:r>
    </w:p>
    <w:p w14:paraId="586FC545" w14:textId="77777777" w:rsidR="004506D0" w:rsidRPr="00912A5D" w:rsidRDefault="00D24A5F" w:rsidP="004506D0">
      <w:pPr>
        <w:pStyle w:val="EndnoteText"/>
        <w:widowControl w:val="0"/>
        <w:tabs>
          <w:tab w:val="clear" w:pos="567"/>
        </w:tabs>
        <w:rPr>
          <w:color w:val="000000"/>
          <w:szCs w:val="22"/>
          <w:lang w:val="fi-FI"/>
        </w:rPr>
      </w:pPr>
      <w:r>
        <w:rPr>
          <w:color w:val="000000"/>
          <w:szCs w:val="22"/>
          <w:lang w:val="fi-FI"/>
        </w:rPr>
        <w:t>Aikuisp</w:t>
      </w:r>
      <w:r w:rsidR="004506D0" w:rsidRPr="00912A5D">
        <w:rPr>
          <w:color w:val="000000"/>
          <w:szCs w:val="22"/>
          <w:lang w:val="fi-FI"/>
        </w:rPr>
        <w:t>otilaille, joilla on pahanlaatuinen ruuansulatuskanavan stroomakasvain (GIST), jota ei voida leikata ja/tai joka on metastasoitunut, suositeltu Glivec-annos on 400 mg/vrk.</w:t>
      </w:r>
    </w:p>
    <w:p w14:paraId="586FC546" w14:textId="77777777" w:rsidR="004506D0" w:rsidRPr="00912A5D" w:rsidRDefault="004506D0" w:rsidP="004506D0">
      <w:pPr>
        <w:pStyle w:val="EndnoteText"/>
        <w:widowControl w:val="0"/>
        <w:tabs>
          <w:tab w:val="clear" w:pos="567"/>
        </w:tabs>
        <w:rPr>
          <w:color w:val="000000"/>
          <w:szCs w:val="22"/>
          <w:lang w:val="fi-FI"/>
        </w:rPr>
      </w:pPr>
    </w:p>
    <w:p w14:paraId="586FC547"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Annoksen suurentamisen 400 mg:sta 600 mg:aan tai 800 mg:aan vaikutuksesta potilaille, joiden tauti etenee pienemmällä annoksella, on vain vähän tietoa (ks. kohta 5.1).</w:t>
      </w:r>
    </w:p>
    <w:p w14:paraId="586FC548" w14:textId="77777777" w:rsidR="004506D0" w:rsidRPr="00912A5D" w:rsidRDefault="004506D0" w:rsidP="004506D0">
      <w:pPr>
        <w:pStyle w:val="EndnoteText"/>
        <w:widowControl w:val="0"/>
        <w:tabs>
          <w:tab w:val="clear" w:pos="567"/>
        </w:tabs>
        <w:rPr>
          <w:color w:val="000000"/>
          <w:szCs w:val="22"/>
          <w:lang w:val="fi-FI"/>
        </w:rPr>
      </w:pPr>
    </w:p>
    <w:p w14:paraId="586FC549" w14:textId="77777777" w:rsidR="004506D0" w:rsidRDefault="004506D0" w:rsidP="004506D0">
      <w:pPr>
        <w:pStyle w:val="EndnoteText"/>
        <w:widowControl w:val="0"/>
        <w:tabs>
          <w:tab w:val="clear" w:pos="567"/>
        </w:tabs>
        <w:rPr>
          <w:color w:val="000000"/>
          <w:szCs w:val="22"/>
          <w:lang w:val="fi-FI"/>
        </w:rPr>
      </w:pPr>
      <w:r w:rsidRPr="00912A5D">
        <w:rPr>
          <w:color w:val="000000"/>
          <w:szCs w:val="22"/>
          <w:lang w:val="fi-FI"/>
        </w:rPr>
        <w:t>Hoidon kesto: Kliinisessä GIST-tutkimuksessa Glivec-hoitoa jatkettiin kunnes tauti eteni. Tulosten analysoinnin aikaan hoidon keston mediaani oli 7 kuukautta (7 päivää - 13 kuukautta). Hoidon keskeyttämisen vaikutusta vasteen saavuttamisen jälkeen ei ole tutkittu.</w:t>
      </w:r>
    </w:p>
    <w:p w14:paraId="586FC54A" w14:textId="77777777" w:rsidR="004506D0" w:rsidRDefault="004506D0" w:rsidP="004506D0">
      <w:pPr>
        <w:pStyle w:val="EndnoteText"/>
        <w:widowControl w:val="0"/>
        <w:tabs>
          <w:tab w:val="clear" w:pos="567"/>
        </w:tabs>
        <w:rPr>
          <w:color w:val="000000"/>
          <w:szCs w:val="22"/>
          <w:lang w:val="fi-FI"/>
        </w:rPr>
      </w:pPr>
    </w:p>
    <w:p w14:paraId="586FC54B" w14:textId="77777777" w:rsidR="004506D0" w:rsidRPr="00EF208C" w:rsidRDefault="004506D0" w:rsidP="004506D0">
      <w:pPr>
        <w:pStyle w:val="EndnoteText"/>
        <w:widowControl w:val="0"/>
        <w:tabs>
          <w:tab w:val="clear" w:pos="567"/>
        </w:tabs>
        <w:rPr>
          <w:color w:val="000000"/>
          <w:szCs w:val="22"/>
          <w:lang w:val="fi-FI"/>
        </w:rPr>
      </w:pPr>
      <w:r>
        <w:rPr>
          <w:szCs w:val="22"/>
          <w:lang w:val="fi-FI"/>
        </w:rPr>
        <w:t xml:space="preserve">Aikuispotilaille, </w:t>
      </w:r>
      <w:r w:rsidRPr="00523475">
        <w:rPr>
          <w:szCs w:val="22"/>
          <w:lang w:val="fi-FI"/>
        </w:rPr>
        <w:t>GIST:in resektion jälkeiseen liitännäishoitoon</w:t>
      </w:r>
      <w:r>
        <w:rPr>
          <w:szCs w:val="22"/>
          <w:lang w:val="fi-FI"/>
        </w:rPr>
        <w:t>,</w:t>
      </w:r>
      <w:r w:rsidRPr="00523475">
        <w:rPr>
          <w:szCs w:val="22"/>
          <w:lang w:val="fi-FI"/>
        </w:rPr>
        <w:t xml:space="preserve"> </w:t>
      </w:r>
      <w:r>
        <w:rPr>
          <w:szCs w:val="22"/>
          <w:lang w:val="fi-FI"/>
        </w:rPr>
        <w:t xml:space="preserve">suositeltu Glivec-annos on 400 mg </w:t>
      </w:r>
      <w:r w:rsidRPr="00F2758D">
        <w:rPr>
          <w:szCs w:val="22"/>
          <w:lang w:val="fi-FI"/>
        </w:rPr>
        <w:t xml:space="preserve">päivässä. Optimaalinen hoitoaika ei ole vielä vakiintunut. Tämän indikaation tueksi tehdyssä kliinisessä tutkimuksessa hoitoaika oli </w:t>
      </w:r>
      <w:r w:rsidR="00334AFA">
        <w:rPr>
          <w:szCs w:val="22"/>
          <w:lang w:val="fi-FI"/>
        </w:rPr>
        <w:t>36 </w:t>
      </w:r>
      <w:r w:rsidRPr="00F2758D">
        <w:rPr>
          <w:szCs w:val="22"/>
          <w:lang w:val="fi-FI"/>
        </w:rPr>
        <w:t>kuukautta</w:t>
      </w:r>
      <w:r w:rsidR="00334AFA">
        <w:rPr>
          <w:szCs w:val="22"/>
          <w:lang w:val="fi-FI"/>
        </w:rPr>
        <w:t xml:space="preserve"> </w:t>
      </w:r>
      <w:r w:rsidR="00334AFA" w:rsidRPr="00912A5D">
        <w:rPr>
          <w:color w:val="000000"/>
          <w:szCs w:val="22"/>
          <w:lang w:val="fi-FI"/>
        </w:rPr>
        <w:t>(ks. kohta 5.1)</w:t>
      </w:r>
      <w:r w:rsidRPr="00F2758D">
        <w:rPr>
          <w:szCs w:val="22"/>
          <w:lang w:val="fi-FI"/>
        </w:rPr>
        <w:t>.</w:t>
      </w:r>
    </w:p>
    <w:p w14:paraId="586FC54C" w14:textId="77777777" w:rsidR="004506D0" w:rsidRPr="00912A5D" w:rsidRDefault="004506D0" w:rsidP="004506D0">
      <w:pPr>
        <w:pStyle w:val="EndnoteText"/>
        <w:widowControl w:val="0"/>
        <w:tabs>
          <w:tab w:val="clear" w:pos="567"/>
        </w:tabs>
        <w:rPr>
          <w:color w:val="000000"/>
          <w:szCs w:val="22"/>
          <w:u w:val="single"/>
          <w:lang w:val="fi-FI"/>
        </w:rPr>
      </w:pPr>
    </w:p>
    <w:p w14:paraId="586FC54D" w14:textId="77777777" w:rsidR="004506D0" w:rsidRPr="00912A5D" w:rsidRDefault="004506D0" w:rsidP="00F71263">
      <w:pPr>
        <w:pStyle w:val="EndnoteText"/>
        <w:keepNext/>
        <w:widowControl w:val="0"/>
        <w:tabs>
          <w:tab w:val="clear" w:pos="567"/>
        </w:tabs>
        <w:rPr>
          <w:color w:val="000000"/>
          <w:szCs w:val="22"/>
          <w:u w:val="single"/>
          <w:lang w:val="fi-FI"/>
        </w:rPr>
      </w:pPr>
      <w:r w:rsidRPr="00912A5D">
        <w:rPr>
          <w:color w:val="000000"/>
          <w:szCs w:val="22"/>
          <w:u w:val="single"/>
          <w:lang w:val="fi-FI"/>
        </w:rPr>
        <w:t>Annostus dermatofibrosarcoma protuberansissa (DFSP)</w:t>
      </w:r>
    </w:p>
    <w:p w14:paraId="586FC54E" w14:textId="77777777" w:rsidR="004506D0" w:rsidRPr="00912A5D" w:rsidRDefault="00D24A5F" w:rsidP="004506D0">
      <w:pPr>
        <w:pStyle w:val="EndnoteText"/>
        <w:widowControl w:val="0"/>
        <w:tabs>
          <w:tab w:val="clear" w:pos="567"/>
        </w:tabs>
        <w:rPr>
          <w:color w:val="000000"/>
          <w:szCs w:val="22"/>
          <w:lang w:val="fi-FI"/>
        </w:rPr>
      </w:pPr>
      <w:r>
        <w:rPr>
          <w:color w:val="000000"/>
          <w:szCs w:val="22"/>
          <w:lang w:val="fi-FI"/>
        </w:rPr>
        <w:t>Aikuisp</w:t>
      </w:r>
      <w:r w:rsidR="004506D0" w:rsidRPr="00912A5D">
        <w:rPr>
          <w:color w:val="000000"/>
          <w:szCs w:val="22"/>
          <w:lang w:val="fi-FI"/>
        </w:rPr>
        <w:t>otilaille, joilla on DFSP, suositeltu Glivec-annos on 800 mg/vrk.</w:t>
      </w:r>
    </w:p>
    <w:p w14:paraId="586FC54F" w14:textId="77777777" w:rsidR="004506D0" w:rsidRPr="00912A5D" w:rsidRDefault="004506D0" w:rsidP="004506D0">
      <w:pPr>
        <w:pStyle w:val="EndnoteText"/>
        <w:widowControl w:val="0"/>
        <w:tabs>
          <w:tab w:val="clear" w:pos="567"/>
        </w:tabs>
        <w:rPr>
          <w:color w:val="000000"/>
          <w:szCs w:val="22"/>
          <w:lang w:val="fi-FI"/>
        </w:rPr>
      </w:pPr>
    </w:p>
    <w:p w14:paraId="586FC550" w14:textId="77777777" w:rsidR="004506D0" w:rsidRPr="00912A5D" w:rsidRDefault="004506D0" w:rsidP="00F71263">
      <w:pPr>
        <w:pStyle w:val="EndnoteText"/>
        <w:keepNext/>
        <w:widowControl w:val="0"/>
        <w:tabs>
          <w:tab w:val="clear" w:pos="567"/>
        </w:tabs>
        <w:rPr>
          <w:i/>
          <w:color w:val="000000"/>
          <w:szCs w:val="22"/>
          <w:lang w:val="fi-FI"/>
        </w:rPr>
      </w:pPr>
      <w:r w:rsidRPr="00912A5D">
        <w:rPr>
          <w:color w:val="000000"/>
          <w:szCs w:val="22"/>
          <w:u w:val="single"/>
          <w:lang w:val="fi-FI"/>
        </w:rPr>
        <w:t>Annoksen muuttaminen haittavaikutusten vuoksi</w:t>
      </w:r>
    </w:p>
    <w:p w14:paraId="586FC551" w14:textId="77777777" w:rsidR="004506D0" w:rsidRPr="00912A5D" w:rsidRDefault="004506D0" w:rsidP="00F71263">
      <w:pPr>
        <w:pStyle w:val="EndnoteText"/>
        <w:keepNext/>
        <w:widowControl w:val="0"/>
        <w:tabs>
          <w:tab w:val="clear" w:pos="567"/>
        </w:tabs>
        <w:rPr>
          <w:i/>
          <w:color w:val="000000"/>
          <w:szCs w:val="22"/>
          <w:lang w:val="fi-FI"/>
        </w:rPr>
      </w:pPr>
      <w:r w:rsidRPr="00912A5D">
        <w:rPr>
          <w:i/>
          <w:color w:val="000000"/>
          <w:szCs w:val="22"/>
          <w:lang w:val="fi-FI"/>
        </w:rPr>
        <w:t>Muut kuin hematologiset haittavaikutukset</w:t>
      </w:r>
    </w:p>
    <w:p w14:paraId="586FC552"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Jos Glivecin käytön yhteydessä ilmenee muu kuin hematologinen haittavaikutus, hoito on keskeytettävä, kunnes tilanne on normalisoitunut. Sen jälkeen hoito voidaan aloittaa uudelleen, kun se on tarkoituksenmukaista haittavaikutuksen vakavuuteen nähden.</w:t>
      </w:r>
    </w:p>
    <w:p w14:paraId="586FC553" w14:textId="77777777" w:rsidR="004506D0" w:rsidRPr="00912A5D" w:rsidRDefault="004506D0" w:rsidP="004506D0">
      <w:pPr>
        <w:pStyle w:val="EndnoteText"/>
        <w:widowControl w:val="0"/>
        <w:tabs>
          <w:tab w:val="clear" w:pos="567"/>
        </w:tabs>
        <w:rPr>
          <w:color w:val="000000"/>
          <w:szCs w:val="22"/>
          <w:lang w:val="fi-FI"/>
        </w:rPr>
      </w:pPr>
    </w:p>
    <w:p w14:paraId="586FC554"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Mikäli bilirubiini nousee &gt; 3 x viitearvon normaalin ylärajan tai mikäli transaminaasit nousevat &gt; 5 x yli viitearvon normaalin ylärajan, Glivec-hoito tulisi keskeyttää, kunnes bilirubiinitaso on laskenut &lt; 1,5 x viitearvon ylärajan ja transaminaasitasot laskeneet &lt; 2,5 x viitearvon ylärajan. Glivec-hoitoa voidaan tämän jälkeen jatkaa alennetuilla vuorokausiannoksilla. Aikuisilla annosta tulee pienentää 400 mg:sta 300 mg:aan tai 600 mg:sta 400 mg:aan tai 800 mg:sta 600 mg:aan vuorokaudessa, ja lapsilla 340 mg:sta 260 mg:aan per m</w:t>
      </w:r>
      <w:r w:rsidRPr="00912A5D">
        <w:rPr>
          <w:color w:val="000000"/>
          <w:szCs w:val="22"/>
          <w:vertAlign w:val="superscript"/>
          <w:lang w:val="fi-FI"/>
        </w:rPr>
        <w:t>2</w:t>
      </w:r>
      <w:r w:rsidRPr="00912A5D">
        <w:rPr>
          <w:color w:val="000000"/>
          <w:szCs w:val="22"/>
          <w:lang w:val="fi-FI"/>
        </w:rPr>
        <w:t>/vrk.</w:t>
      </w:r>
    </w:p>
    <w:p w14:paraId="586FC555" w14:textId="77777777" w:rsidR="004506D0" w:rsidRPr="00912A5D" w:rsidRDefault="004506D0" w:rsidP="004506D0">
      <w:pPr>
        <w:pStyle w:val="EndnoteText"/>
        <w:widowControl w:val="0"/>
        <w:tabs>
          <w:tab w:val="clear" w:pos="567"/>
        </w:tabs>
        <w:rPr>
          <w:color w:val="000000"/>
          <w:szCs w:val="22"/>
          <w:lang w:val="fi-FI"/>
        </w:rPr>
      </w:pPr>
    </w:p>
    <w:p w14:paraId="586FC556" w14:textId="77777777" w:rsidR="004506D0" w:rsidRPr="00912A5D" w:rsidRDefault="004506D0" w:rsidP="00F71263">
      <w:pPr>
        <w:pStyle w:val="EndnoteText"/>
        <w:keepNext/>
        <w:widowControl w:val="0"/>
        <w:tabs>
          <w:tab w:val="clear" w:pos="567"/>
        </w:tabs>
        <w:rPr>
          <w:i/>
          <w:color w:val="000000"/>
          <w:szCs w:val="22"/>
          <w:lang w:val="fi-FI"/>
        </w:rPr>
      </w:pPr>
      <w:r w:rsidRPr="00912A5D">
        <w:rPr>
          <w:i/>
          <w:color w:val="000000"/>
          <w:szCs w:val="22"/>
          <w:lang w:val="fi-FI"/>
        </w:rPr>
        <w:t>Hematologiset haittavaikutukset</w:t>
      </w:r>
    </w:p>
    <w:p w14:paraId="586FC557"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Annoksen pienentämistä tai hoidon keskeyttämistä vaikean neutropenian ja trombosytopenian vuoksi suositellaan oheisen taulukon mukaisesti.</w:t>
      </w:r>
    </w:p>
    <w:p w14:paraId="586FC558" w14:textId="77777777" w:rsidR="004506D0" w:rsidRPr="00912A5D" w:rsidRDefault="004506D0" w:rsidP="004506D0">
      <w:pPr>
        <w:pStyle w:val="EndnoteText"/>
        <w:widowControl w:val="0"/>
        <w:tabs>
          <w:tab w:val="clear" w:pos="567"/>
        </w:tabs>
        <w:rPr>
          <w:color w:val="000000"/>
          <w:szCs w:val="22"/>
          <w:lang w:val="fi-FI"/>
        </w:rPr>
      </w:pPr>
    </w:p>
    <w:p w14:paraId="586FC559" w14:textId="77777777" w:rsidR="004506D0" w:rsidRPr="00912A5D" w:rsidRDefault="004506D0" w:rsidP="00F71263">
      <w:pPr>
        <w:pStyle w:val="EndnoteText"/>
        <w:keepNext/>
        <w:widowControl w:val="0"/>
        <w:tabs>
          <w:tab w:val="clear" w:pos="567"/>
        </w:tabs>
        <w:rPr>
          <w:color w:val="000000"/>
          <w:szCs w:val="22"/>
          <w:lang w:val="fi-FI"/>
        </w:rPr>
      </w:pPr>
      <w:r w:rsidRPr="00912A5D">
        <w:rPr>
          <w:color w:val="000000"/>
          <w:szCs w:val="22"/>
          <w:lang w:val="fi-FI"/>
        </w:rPr>
        <w:t>Annoksen muuttaminen neutropenian ja trombosytopenian vuoksi:</w:t>
      </w:r>
    </w:p>
    <w:p w14:paraId="586FC55A" w14:textId="77777777" w:rsidR="004506D0" w:rsidRPr="00912A5D" w:rsidRDefault="004506D0" w:rsidP="00F71263">
      <w:pPr>
        <w:pStyle w:val="EndnoteText"/>
        <w:keepNext/>
        <w:widowControl w:val="0"/>
        <w:tabs>
          <w:tab w:val="clear" w:pos="567"/>
        </w:tabs>
        <w:rPr>
          <w:color w:val="000000"/>
          <w:szCs w:val="22"/>
          <w:lang w:val="fi-F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2400"/>
        <w:gridCol w:w="4404"/>
      </w:tblGrid>
      <w:tr w:rsidR="004506D0" w:rsidRPr="00912A5D" w14:paraId="586FC561" w14:textId="77777777" w:rsidTr="00F71263">
        <w:trPr>
          <w:cantSplit/>
        </w:trPr>
        <w:tc>
          <w:tcPr>
            <w:tcW w:w="2376" w:type="dxa"/>
          </w:tcPr>
          <w:p w14:paraId="586FC55B"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HES/</w:t>
            </w:r>
            <w:smartTag w:uri="urn:schemas-microsoft-com:office:smarttags" w:element="State">
              <w:r w:rsidRPr="00912A5D">
                <w:rPr>
                  <w:color w:val="000000"/>
                  <w:szCs w:val="22"/>
                  <w:lang w:val="fi-FI"/>
                </w:rPr>
                <w:t>CEL</w:t>
              </w:r>
            </w:smartTag>
            <w:r w:rsidRPr="00912A5D">
              <w:rPr>
                <w:color w:val="000000"/>
                <w:szCs w:val="22"/>
                <w:lang w:val="fi-FI"/>
              </w:rPr>
              <w:t xml:space="preserve"> (aloitusannos 100 mg)</w:t>
            </w:r>
          </w:p>
        </w:tc>
        <w:tc>
          <w:tcPr>
            <w:tcW w:w="2400" w:type="dxa"/>
          </w:tcPr>
          <w:p w14:paraId="586FC55C"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ANC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5D"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C55E"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trombosyyttiarvo &lt; 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tc>
        <w:tc>
          <w:tcPr>
            <w:tcW w:w="4404" w:type="dxa"/>
          </w:tcPr>
          <w:p w14:paraId="586FC55F" w14:textId="77777777" w:rsidR="004506D0" w:rsidRPr="00912A5D" w:rsidRDefault="004506D0" w:rsidP="004506D0">
            <w:pPr>
              <w:pStyle w:val="EndnoteText"/>
              <w:widowControl w:val="0"/>
              <w:tabs>
                <w:tab w:val="clear" w:pos="567"/>
              </w:tabs>
              <w:ind w:left="558" w:hanging="558"/>
              <w:rPr>
                <w:color w:val="000000"/>
                <w:szCs w:val="22"/>
                <w:lang w:val="fi-FI"/>
              </w:rPr>
            </w:pPr>
            <w:r>
              <w:rPr>
                <w:color w:val="000000"/>
                <w:lang w:val="fi-FI"/>
              </w:rPr>
              <w:t>1.</w:t>
            </w:r>
            <w:r>
              <w:rPr>
                <w:color w:val="000000"/>
                <w:lang w:val="fi-FI"/>
              </w:rPr>
              <w:tab/>
            </w:r>
            <w:r w:rsidRPr="00912A5D">
              <w:rPr>
                <w:color w:val="000000"/>
                <w:lang w:val="fi-FI"/>
              </w:rPr>
              <w:t xml:space="preserve">Glivec-hoito lopetetaan, kunnes ANC on </w:t>
            </w:r>
            <w:r w:rsidRPr="00912A5D">
              <w:rPr>
                <w:color w:val="000000"/>
              </w:rPr>
              <w:sym w:font="Symbol" w:char="F0B3"/>
            </w:r>
            <w:r w:rsidRPr="00912A5D">
              <w:rPr>
                <w:color w:val="000000"/>
                <w:lang w:val="fi-FI"/>
              </w:rPr>
              <w:t> 1,5 x 10</w:t>
            </w:r>
            <w:r w:rsidRPr="00912A5D">
              <w:rPr>
                <w:color w:val="000000"/>
                <w:vertAlign w:val="superscript"/>
                <w:lang w:val="fi-FI"/>
              </w:rPr>
              <w:t>9</w:t>
            </w:r>
            <w:r w:rsidRPr="00912A5D">
              <w:rPr>
                <w:color w:val="000000"/>
                <w:lang w:val="fi-FI"/>
              </w:rPr>
              <w:t xml:space="preserve">/l ja trombosyyttiarvo </w:t>
            </w:r>
            <w:r w:rsidRPr="00912A5D">
              <w:rPr>
                <w:color w:val="000000"/>
              </w:rPr>
              <w:sym w:font="Symbol" w:char="F0B3"/>
            </w:r>
            <w:r w:rsidRPr="00912A5D">
              <w:rPr>
                <w:color w:val="000000"/>
                <w:lang w:val="fi-FI"/>
              </w:rPr>
              <w:t> 75 x 10</w:t>
            </w:r>
            <w:r w:rsidRPr="00912A5D">
              <w:rPr>
                <w:color w:val="000000"/>
                <w:vertAlign w:val="superscript"/>
                <w:lang w:val="fi-FI"/>
              </w:rPr>
              <w:t>9</w:t>
            </w:r>
            <w:r w:rsidRPr="00912A5D">
              <w:rPr>
                <w:color w:val="000000"/>
                <w:lang w:val="fi-FI"/>
              </w:rPr>
              <w:t>/l.</w:t>
            </w:r>
          </w:p>
          <w:p w14:paraId="586FC560" w14:textId="77777777" w:rsidR="004506D0" w:rsidRPr="00912A5D" w:rsidRDefault="004506D0" w:rsidP="004506D0">
            <w:pPr>
              <w:pStyle w:val="EndnoteText"/>
              <w:widowControl w:val="0"/>
              <w:tabs>
                <w:tab w:val="clear" w:pos="567"/>
              </w:tabs>
              <w:ind w:left="558" w:hanging="558"/>
              <w:rPr>
                <w:color w:val="000000"/>
                <w:szCs w:val="22"/>
                <w:lang w:val="fi-FI"/>
              </w:rPr>
            </w:pPr>
            <w:r>
              <w:rPr>
                <w:color w:val="000000"/>
                <w:lang w:val="fi-FI"/>
              </w:rPr>
              <w:t>2.</w:t>
            </w:r>
            <w:r>
              <w:rPr>
                <w:color w:val="000000"/>
                <w:lang w:val="fi-FI"/>
              </w:rPr>
              <w:tab/>
            </w:r>
            <w:r w:rsidRPr="00912A5D">
              <w:rPr>
                <w:color w:val="000000"/>
                <w:lang w:val="fi-FI"/>
              </w:rPr>
              <w:t>Hoito aloitetaan uudelleen Glivec-valmisteella aikaisemmalla annoksella (jota käytettiin ennen vakavaa haittavaikutusta).</w:t>
            </w:r>
          </w:p>
        </w:tc>
      </w:tr>
      <w:tr w:rsidR="004506D0" w:rsidRPr="00912A5D" w14:paraId="586FC56A" w14:textId="77777777" w:rsidTr="00F71263">
        <w:trPr>
          <w:cantSplit/>
        </w:trPr>
        <w:tc>
          <w:tcPr>
            <w:tcW w:w="2376" w:type="dxa"/>
          </w:tcPr>
          <w:p w14:paraId="586FC562"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lastRenderedPageBreak/>
              <w:t xml:space="preserve">Kroonisen myelooisen leukemian krooninen vaihe, </w:t>
            </w:r>
            <w:smartTag w:uri="urn:schemas-microsoft-com:office:smarttags" w:element="State">
              <w:r w:rsidRPr="00912A5D">
                <w:rPr>
                  <w:color w:val="000000"/>
                  <w:szCs w:val="22"/>
                  <w:lang w:val="fi-FI"/>
                </w:rPr>
                <w:t>MDS</w:t>
              </w:r>
            </w:smartTag>
            <w:r w:rsidRPr="00912A5D">
              <w:rPr>
                <w:color w:val="000000"/>
                <w:szCs w:val="22"/>
                <w:lang w:val="fi-FI"/>
              </w:rPr>
              <w:t>/MPD ja GIST (aloitusannos 400 mg)</w:t>
            </w:r>
          </w:p>
          <w:p w14:paraId="586FC563"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HES/</w:t>
            </w:r>
            <w:smartTag w:uri="urn:schemas-microsoft-com:office:smarttags" w:element="State">
              <w:r w:rsidRPr="00912A5D">
                <w:rPr>
                  <w:color w:val="000000"/>
                  <w:szCs w:val="22"/>
                  <w:lang w:val="fi-FI"/>
                </w:rPr>
                <w:t>CEL</w:t>
              </w:r>
            </w:smartTag>
            <w:r w:rsidRPr="00912A5D">
              <w:rPr>
                <w:color w:val="000000"/>
                <w:szCs w:val="22"/>
                <w:lang w:val="fi-FI"/>
              </w:rPr>
              <w:t xml:space="preserve"> (annos 400 mg)</w:t>
            </w:r>
          </w:p>
        </w:tc>
        <w:tc>
          <w:tcPr>
            <w:tcW w:w="2400" w:type="dxa"/>
          </w:tcPr>
          <w:p w14:paraId="586FC564"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ANC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65"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C566"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trombosyyttiarvo &lt; 50 x 10</w:t>
            </w:r>
            <w:r w:rsidRPr="00912A5D">
              <w:rPr>
                <w:color w:val="000000"/>
                <w:szCs w:val="22"/>
                <w:vertAlign w:val="superscript"/>
                <w:lang w:val="fi-FI"/>
              </w:rPr>
              <w:t>9</w:t>
            </w:r>
            <w:r w:rsidRPr="00912A5D">
              <w:rPr>
                <w:color w:val="000000"/>
                <w:szCs w:val="22"/>
                <w:lang w:val="fi-FI"/>
              </w:rPr>
              <w:t>/l</w:t>
            </w:r>
          </w:p>
        </w:tc>
        <w:tc>
          <w:tcPr>
            <w:tcW w:w="4404" w:type="dxa"/>
          </w:tcPr>
          <w:p w14:paraId="586FC567" w14:textId="77777777" w:rsidR="004506D0" w:rsidRPr="00912A5D" w:rsidRDefault="004506D0" w:rsidP="004506D0">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Pr="00912A5D">
              <w:rPr>
                <w:rFonts w:ascii="Times New Roman" w:hAnsi="Times New Roman"/>
                <w:color w:val="000000"/>
                <w:sz w:val="22"/>
                <w:szCs w:val="22"/>
                <w:lang w:val="fi-FI"/>
              </w:rPr>
              <w:t xml:space="preserve">Glivec-hoito lopetetaan, kunnes ANC on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ja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75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68" w14:textId="77777777" w:rsidR="004506D0" w:rsidRPr="00912A5D" w:rsidRDefault="004506D0" w:rsidP="004506D0">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Pr="00912A5D">
              <w:rPr>
                <w:rFonts w:ascii="Times New Roman" w:hAnsi="Times New Roman"/>
                <w:color w:val="000000"/>
                <w:sz w:val="22"/>
                <w:szCs w:val="22"/>
                <w:lang w:val="fi-FI"/>
              </w:rPr>
              <w:t>Hoito aloitetaan uudelleen Glivec-valmisteella aikaisemmalla annoksella (jota käytettiin ennen vakavaa haittavaikutusta).</w:t>
            </w:r>
          </w:p>
          <w:p w14:paraId="586FC569" w14:textId="77777777" w:rsidR="004506D0" w:rsidRPr="00912A5D" w:rsidRDefault="004506D0" w:rsidP="004506D0">
            <w:pPr>
              <w:pStyle w:val="EndnoteText"/>
              <w:widowControl w:val="0"/>
              <w:tabs>
                <w:tab w:val="clear" w:pos="567"/>
              </w:tabs>
              <w:ind w:left="558" w:hanging="558"/>
              <w:rPr>
                <w:color w:val="000000"/>
                <w:szCs w:val="22"/>
                <w:lang w:val="fi-FI"/>
              </w:rPr>
            </w:pPr>
            <w:r>
              <w:rPr>
                <w:color w:val="000000"/>
                <w:szCs w:val="22"/>
                <w:lang w:val="fi-FI"/>
              </w:rPr>
              <w:t>3.</w:t>
            </w:r>
            <w:r>
              <w:rPr>
                <w:color w:val="000000"/>
                <w:szCs w:val="22"/>
                <w:lang w:val="fi-FI"/>
              </w:rPr>
              <w:tab/>
            </w:r>
            <w:r w:rsidRPr="00912A5D">
              <w:rPr>
                <w:color w:val="000000"/>
                <w:szCs w:val="22"/>
                <w:lang w:val="fi-FI"/>
              </w:rPr>
              <w:t>Jos ANC palaa tasolle &lt; 1,0 x 10</w:t>
            </w:r>
            <w:r w:rsidRPr="00912A5D">
              <w:rPr>
                <w:color w:val="000000"/>
                <w:szCs w:val="22"/>
                <w:vertAlign w:val="superscript"/>
                <w:lang w:val="fi-FI"/>
              </w:rPr>
              <w:t>9</w:t>
            </w:r>
            <w:r w:rsidRPr="00912A5D">
              <w:rPr>
                <w:color w:val="000000"/>
                <w:szCs w:val="22"/>
                <w:lang w:val="fi-FI"/>
              </w:rPr>
              <w:t>/l ja/tai trombosyyttiarvo tasolle &lt; 50 x 10</w:t>
            </w:r>
            <w:r w:rsidRPr="00912A5D">
              <w:rPr>
                <w:color w:val="000000"/>
                <w:szCs w:val="22"/>
                <w:vertAlign w:val="superscript"/>
                <w:lang w:val="fi-FI"/>
              </w:rPr>
              <w:t>9</w:t>
            </w:r>
            <w:r w:rsidRPr="00912A5D">
              <w:rPr>
                <w:color w:val="000000"/>
                <w:szCs w:val="22"/>
                <w:lang w:val="fi-FI"/>
              </w:rPr>
              <w:t>/l, toistetaan vaihe 1 ja aloitetaan Glivec-hoito uudelleen pienennetyllä 300 mg annoksella.</w:t>
            </w:r>
          </w:p>
        </w:tc>
      </w:tr>
      <w:tr w:rsidR="004506D0" w:rsidRPr="00912A5D" w14:paraId="586FC572" w14:textId="77777777" w:rsidTr="00F71263">
        <w:trPr>
          <w:cantSplit/>
        </w:trPr>
        <w:tc>
          <w:tcPr>
            <w:tcW w:w="2376" w:type="dxa"/>
          </w:tcPr>
          <w:p w14:paraId="586FC56B"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Lasten kroonisen myelooisen leukemian krooninen vaihe (annos 340 mg/m</w:t>
            </w:r>
            <w:r w:rsidRPr="00912A5D">
              <w:rPr>
                <w:color w:val="000000"/>
                <w:szCs w:val="22"/>
                <w:vertAlign w:val="superscript"/>
                <w:lang w:val="fi-FI"/>
              </w:rPr>
              <w:t>2</w:t>
            </w:r>
            <w:r w:rsidRPr="00912A5D">
              <w:rPr>
                <w:color w:val="000000"/>
                <w:szCs w:val="22"/>
                <w:lang w:val="fi-FI"/>
              </w:rPr>
              <w:t>)</w:t>
            </w:r>
          </w:p>
        </w:tc>
        <w:tc>
          <w:tcPr>
            <w:tcW w:w="2400" w:type="dxa"/>
          </w:tcPr>
          <w:p w14:paraId="586FC56C"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ANC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6D"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C56E"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trombosyyttiarvo &lt; 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tc>
        <w:tc>
          <w:tcPr>
            <w:tcW w:w="4404" w:type="dxa"/>
          </w:tcPr>
          <w:p w14:paraId="586FC56F" w14:textId="77777777" w:rsidR="004506D0" w:rsidRPr="00912A5D" w:rsidRDefault="004506D0" w:rsidP="004506D0">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Pr="00912A5D">
              <w:rPr>
                <w:rFonts w:ascii="Times New Roman" w:hAnsi="Times New Roman"/>
                <w:color w:val="000000"/>
                <w:sz w:val="22"/>
                <w:szCs w:val="22"/>
                <w:lang w:val="fi-FI"/>
              </w:rPr>
              <w:t xml:space="preserve">Glivec-hoito lopetetaan, kunnes ANC on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ja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75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70" w14:textId="77777777" w:rsidR="004506D0" w:rsidRPr="00912A5D" w:rsidRDefault="004506D0" w:rsidP="004506D0">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Pr="00912A5D">
              <w:rPr>
                <w:rFonts w:ascii="Times New Roman" w:hAnsi="Times New Roman"/>
                <w:color w:val="000000"/>
                <w:sz w:val="22"/>
                <w:szCs w:val="22"/>
                <w:lang w:val="fi-FI"/>
              </w:rPr>
              <w:t>Hoito aloitetaan uudelleen Glivec-valmisteella aikaisemmalla annoksella (jota käytettiin ennen vakavaa haittavaikutusta).</w:t>
            </w:r>
          </w:p>
          <w:p w14:paraId="586FC571" w14:textId="77777777" w:rsidR="004506D0" w:rsidRPr="00912A5D" w:rsidRDefault="004506D0" w:rsidP="004506D0">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3.</w:t>
            </w:r>
            <w:r>
              <w:rPr>
                <w:rFonts w:ascii="Times New Roman" w:hAnsi="Times New Roman"/>
                <w:color w:val="000000"/>
                <w:sz w:val="22"/>
                <w:szCs w:val="22"/>
                <w:lang w:val="fi-FI"/>
              </w:rPr>
              <w:tab/>
            </w:r>
            <w:r w:rsidRPr="00912A5D">
              <w:rPr>
                <w:rFonts w:ascii="Times New Roman" w:hAnsi="Times New Roman"/>
                <w:color w:val="000000"/>
                <w:sz w:val="22"/>
                <w:szCs w:val="22"/>
                <w:lang w:val="fi-FI"/>
              </w:rPr>
              <w:t>Jos ANC palaa tasolle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ja/tai trombosyyttiarvo tasolle &lt; 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toistetaan vaihe 1 ja aloitetaan Glivec-hoito uudelleen pienennetyllä 260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annoksella.</w:t>
            </w:r>
          </w:p>
        </w:tc>
      </w:tr>
      <w:tr w:rsidR="004506D0" w:rsidRPr="00912A5D" w14:paraId="586FC57C" w14:textId="77777777" w:rsidTr="00F71263">
        <w:trPr>
          <w:cantSplit/>
        </w:trPr>
        <w:tc>
          <w:tcPr>
            <w:tcW w:w="2376" w:type="dxa"/>
            <w:tcBorders>
              <w:bottom w:val="single" w:sz="6" w:space="0" w:color="auto"/>
            </w:tcBorders>
          </w:tcPr>
          <w:p w14:paraId="586FC573"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 xml:space="preserve">Kroonisen myelooisen leukemian akseleraatiovaihe ja blastikriisi ja Ph+ </w:t>
            </w:r>
            <w:smartTag w:uri="urn:schemas-microsoft-com:office:smarttags" w:element="State">
              <w:r w:rsidRPr="00912A5D">
                <w:rPr>
                  <w:color w:val="000000"/>
                  <w:szCs w:val="22"/>
                  <w:lang w:val="fi-FI"/>
                </w:rPr>
                <w:t>ALL</w:t>
              </w:r>
            </w:smartTag>
            <w:r w:rsidRPr="00912A5D">
              <w:rPr>
                <w:color w:val="000000"/>
                <w:szCs w:val="22"/>
                <w:lang w:val="fi-FI"/>
              </w:rPr>
              <w:t xml:space="preserve"> (aloitusannos 600 mg)</w:t>
            </w:r>
          </w:p>
        </w:tc>
        <w:tc>
          <w:tcPr>
            <w:tcW w:w="2400" w:type="dxa"/>
            <w:tcBorders>
              <w:bottom w:val="single" w:sz="6" w:space="0" w:color="auto"/>
            </w:tcBorders>
          </w:tcPr>
          <w:p w14:paraId="586FC574"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position w:val="10"/>
                <w:sz w:val="22"/>
                <w:szCs w:val="22"/>
                <w:vertAlign w:val="superscript"/>
                <w:lang w:val="fi-FI"/>
              </w:rPr>
              <w:t>a</w:t>
            </w:r>
            <w:r w:rsidRPr="00912A5D">
              <w:rPr>
                <w:rFonts w:ascii="Times New Roman" w:hAnsi="Times New Roman"/>
                <w:color w:val="000000"/>
                <w:sz w:val="22"/>
                <w:szCs w:val="22"/>
                <w:lang w:val="fi-FI"/>
              </w:rPr>
              <w:t>ANC &lt; 0,5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75"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C576"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trombosyyttiarvo</w:t>
            </w:r>
          </w:p>
          <w:p w14:paraId="586FC577"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&lt; 10 x 10</w:t>
            </w:r>
            <w:r w:rsidRPr="00912A5D">
              <w:rPr>
                <w:color w:val="000000"/>
                <w:szCs w:val="22"/>
                <w:vertAlign w:val="superscript"/>
                <w:lang w:val="fi-FI"/>
              </w:rPr>
              <w:t>9</w:t>
            </w:r>
            <w:r w:rsidRPr="00912A5D">
              <w:rPr>
                <w:color w:val="000000"/>
                <w:szCs w:val="22"/>
                <w:lang w:val="fi-FI"/>
              </w:rPr>
              <w:t>/l</w:t>
            </w:r>
          </w:p>
        </w:tc>
        <w:tc>
          <w:tcPr>
            <w:tcW w:w="4404" w:type="dxa"/>
            <w:tcBorders>
              <w:bottom w:val="single" w:sz="6" w:space="0" w:color="auto"/>
            </w:tcBorders>
          </w:tcPr>
          <w:p w14:paraId="586FC578" w14:textId="77777777" w:rsidR="004506D0" w:rsidRPr="00912A5D" w:rsidRDefault="004506D0" w:rsidP="004506D0">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Pr="00912A5D">
              <w:rPr>
                <w:rFonts w:ascii="Times New Roman" w:hAnsi="Times New Roman"/>
                <w:color w:val="000000"/>
                <w:sz w:val="22"/>
                <w:szCs w:val="22"/>
                <w:lang w:val="fi-FI"/>
              </w:rPr>
              <w:t>Tarkistetaan, liittyykö sytopenia leukemiaan (luuydinaspiraatti tai biopsia).</w:t>
            </w:r>
          </w:p>
          <w:p w14:paraId="586FC579" w14:textId="77777777" w:rsidR="004506D0" w:rsidRPr="00912A5D" w:rsidRDefault="004506D0" w:rsidP="004506D0">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Pr="00912A5D">
              <w:rPr>
                <w:rFonts w:ascii="Times New Roman" w:hAnsi="Times New Roman"/>
                <w:color w:val="000000"/>
                <w:sz w:val="22"/>
                <w:szCs w:val="22"/>
                <w:lang w:val="fi-FI"/>
              </w:rPr>
              <w:t>Jos sytopenia ei liity leukemiaan, Glivec-annos pienennetään 400 mg:an.</w:t>
            </w:r>
          </w:p>
          <w:p w14:paraId="586FC57A" w14:textId="77777777" w:rsidR="004506D0" w:rsidRPr="00912A5D" w:rsidRDefault="004506D0" w:rsidP="004506D0">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3.</w:t>
            </w:r>
            <w:r>
              <w:rPr>
                <w:rFonts w:ascii="Times New Roman" w:hAnsi="Times New Roman"/>
                <w:color w:val="000000"/>
                <w:sz w:val="22"/>
                <w:szCs w:val="22"/>
                <w:lang w:val="fi-FI"/>
              </w:rPr>
              <w:tab/>
            </w:r>
            <w:r w:rsidRPr="00912A5D">
              <w:rPr>
                <w:rFonts w:ascii="Times New Roman" w:hAnsi="Times New Roman"/>
                <w:color w:val="000000"/>
                <w:sz w:val="22"/>
                <w:szCs w:val="22"/>
                <w:lang w:val="fi-FI"/>
              </w:rPr>
              <w:t>Jos sytopenia jatkuu 2 viikon ajan, annos pienennetään vielä 300 mg:an.</w:t>
            </w:r>
          </w:p>
          <w:p w14:paraId="586FC57B" w14:textId="77777777" w:rsidR="004506D0" w:rsidRPr="00912A5D" w:rsidRDefault="004506D0" w:rsidP="004506D0">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4.</w:t>
            </w:r>
            <w:r>
              <w:rPr>
                <w:rFonts w:ascii="Times New Roman" w:hAnsi="Times New Roman"/>
                <w:color w:val="000000"/>
                <w:sz w:val="22"/>
                <w:szCs w:val="22"/>
                <w:lang w:val="fi-FI"/>
              </w:rPr>
              <w:tab/>
            </w:r>
            <w:r w:rsidRPr="00912A5D">
              <w:rPr>
                <w:rFonts w:ascii="Times New Roman" w:hAnsi="Times New Roman"/>
                <w:color w:val="000000"/>
                <w:sz w:val="22"/>
                <w:szCs w:val="22"/>
                <w:lang w:val="fi-FI"/>
              </w:rPr>
              <w:t xml:space="preserve">Jos sytopenia jatkuu 4 viikon ajan eikä vieläkään liity leukemiaan, Glivec-hoito lopetetaan, kunnes ANC on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ja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20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ja sen jälkeen hoito aloitetaan uudelleen 300 mg annoksella.</w:t>
            </w:r>
          </w:p>
        </w:tc>
      </w:tr>
      <w:tr w:rsidR="004506D0" w:rsidRPr="00912A5D" w14:paraId="586FC585" w14:textId="77777777" w:rsidTr="00F71263">
        <w:trPr>
          <w:cantSplit/>
        </w:trPr>
        <w:tc>
          <w:tcPr>
            <w:tcW w:w="2376" w:type="dxa"/>
            <w:tcBorders>
              <w:bottom w:val="single" w:sz="4" w:space="0" w:color="auto"/>
            </w:tcBorders>
          </w:tcPr>
          <w:p w14:paraId="586FC57D"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Lasten kroonisen myelooisen leukemian akseleraatiovaihe ja blastikriisi (aloitusannos 340 mg/m</w:t>
            </w:r>
            <w:r w:rsidRPr="00912A5D">
              <w:rPr>
                <w:color w:val="000000"/>
                <w:szCs w:val="22"/>
                <w:vertAlign w:val="superscript"/>
                <w:lang w:val="fi-FI"/>
              </w:rPr>
              <w:t>2</w:t>
            </w:r>
            <w:r w:rsidRPr="00912A5D">
              <w:rPr>
                <w:color w:val="000000"/>
                <w:szCs w:val="22"/>
                <w:lang w:val="fi-FI"/>
              </w:rPr>
              <w:t>)</w:t>
            </w:r>
          </w:p>
        </w:tc>
        <w:tc>
          <w:tcPr>
            <w:tcW w:w="2400" w:type="dxa"/>
            <w:tcBorders>
              <w:bottom w:val="single" w:sz="4" w:space="0" w:color="auto"/>
            </w:tcBorders>
          </w:tcPr>
          <w:p w14:paraId="586FC57E"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position w:val="10"/>
                <w:sz w:val="22"/>
                <w:szCs w:val="22"/>
                <w:vertAlign w:val="superscript"/>
                <w:lang w:val="fi-FI"/>
              </w:rPr>
              <w:t>a</w:t>
            </w:r>
            <w:r w:rsidRPr="00912A5D">
              <w:rPr>
                <w:rFonts w:ascii="Times New Roman" w:hAnsi="Times New Roman"/>
                <w:color w:val="000000"/>
                <w:sz w:val="22"/>
                <w:szCs w:val="22"/>
                <w:lang w:val="fi-FI"/>
              </w:rPr>
              <w:t>ANC &lt; 0,5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7F"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C580" w14:textId="77777777" w:rsidR="004506D0" w:rsidRPr="00912A5D" w:rsidRDefault="004506D0" w:rsidP="004506D0">
            <w:pPr>
              <w:pStyle w:val="Table"/>
              <w:keepNext w:val="0"/>
              <w:keepLines w:val="0"/>
              <w:widowControl w:val="0"/>
              <w:suppressLineNumbers/>
              <w:tabs>
                <w:tab w:val="clear" w:pos="284"/>
              </w:tabs>
              <w:spacing w:before="0" w:after="0"/>
              <w:rPr>
                <w:rFonts w:ascii="Times New Roman" w:hAnsi="Times New Roman"/>
                <w:color w:val="000000"/>
                <w:position w:val="10"/>
                <w:sz w:val="22"/>
                <w:szCs w:val="22"/>
                <w:vertAlign w:val="superscript"/>
                <w:lang w:val="fi-FI"/>
              </w:rPr>
            </w:pPr>
            <w:r w:rsidRPr="00912A5D">
              <w:rPr>
                <w:rFonts w:ascii="Times New Roman" w:hAnsi="Times New Roman"/>
                <w:color w:val="000000"/>
                <w:sz w:val="22"/>
                <w:szCs w:val="22"/>
                <w:lang w:val="fi-FI"/>
              </w:rPr>
              <w:t>trombosyyttiarvo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tc>
        <w:tc>
          <w:tcPr>
            <w:tcW w:w="4404" w:type="dxa"/>
            <w:tcBorders>
              <w:bottom w:val="single" w:sz="4" w:space="0" w:color="auto"/>
            </w:tcBorders>
          </w:tcPr>
          <w:p w14:paraId="586FC581" w14:textId="77777777" w:rsidR="004506D0" w:rsidRPr="00912A5D" w:rsidRDefault="004506D0" w:rsidP="004506D0">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Pr="00912A5D">
              <w:rPr>
                <w:rFonts w:ascii="Times New Roman" w:hAnsi="Times New Roman"/>
                <w:color w:val="000000"/>
                <w:sz w:val="22"/>
                <w:szCs w:val="22"/>
                <w:lang w:val="fi-FI"/>
              </w:rPr>
              <w:t>Tarkistetaan, liittyykö sytopenia leukemiaan (luuydinaspiraatti tai biopsia).</w:t>
            </w:r>
          </w:p>
          <w:p w14:paraId="586FC582" w14:textId="77777777" w:rsidR="004506D0" w:rsidRPr="00912A5D" w:rsidRDefault="004506D0" w:rsidP="004506D0">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Pr="00912A5D">
              <w:rPr>
                <w:rFonts w:ascii="Times New Roman" w:hAnsi="Times New Roman"/>
                <w:color w:val="000000"/>
                <w:sz w:val="22"/>
                <w:szCs w:val="22"/>
                <w:lang w:val="fi-FI"/>
              </w:rPr>
              <w:t>Jos sytopenia ei liity leukemiaan, Glivec-annos pienennetään 260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:een.</w:t>
            </w:r>
          </w:p>
          <w:p w14:paraId="586FC583" w14:textId="77777777" w:rsidR="004506D0" w:rsidRPr="00912A5D" w:rsidRDefault="004506D0" w:rsidP="004506D0">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3.</w:t>
            </w:r>
            <w:r>
              <w:rPr>
                <w:rFonts w:ascii="Times New Roman" w:hAnsi="Times New Roman"/>
                <w:color w:val="000000"/>
                <w:sz w:val="22"/>
                <w:szCs w:val="22"/>
                <w:lang w:val="fi-FI"/>
              </w:rPr>
              <w:tab/>
            </w:r>
            <w:r w:rsidRPr="00912A5D">
              <w:rPr>
                <w:rFonts w:ascii="Times New Roman" w:hAnsi="Times New Roman"/>
                <w:color w:val="000000"/>
                <w:sz w:val="22"/>
                <w:szCs w:val="22"/>
                <w:lang w:val="fi-FI"/>
              </w:rPr>
              <w:t>Jos sytopenia jatkuu 2 viikon ajan, annos pienennetään vielä 200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:aan.</w:t>
            </w:r>
          </w:p>
          <w:p w14:paraId="586FC584" w14:textId="77777777" w:rsidR="004506D0" w:rsidRPr="00912A5D" w:rsidRDefault="004506D0" w:rsidP="004506D0">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4.</w:t>
            </w:r>
            <w:r>
              <w:rPr>
                <w:rFonts w:ascii="Times New Roman" w:hAnsi="Times New Roman"/>
                <w:color w:val="000000"/>
                <w:sz w:val="22"/>
                <w:szCs w:val="22"/>
                <w:lang w:val="fi-FI"/>
              </w:rPr>
              <w:tab/>
            </w:r>
            <w:r w:rsidRPr="00912A5D">
              <w:rPr>
                <w:rFonts w:ascii="Times New Roman" w:hAnsi="Times New Roman"/>
                <w:color w:val="000000"/>
                <w:sz w:val="22"/>
                <w:szCs w:val="22"/>
                <w:lang w:val="fi-FI"/>
              </w:rPr>
              <w:t xml:space="preserve">Jos sytopenia jatkuu 4 viikon ajan eikä vieläkään liity leukemiaan, Glivec-hoito lopetetaan, kunnes ANC on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ja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20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ja sen jälkeen hoito aloitetaan uudelleen 200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:an annoksella.</w:t>
            </w:r>
          </w:p>
        </w:tc>
      </w:tr>
      <w:tr w:rsidR="004506D0" w:rsidRPr="00912A5D" w14:paraId="586FC58E" w14:textId="77777777" w:rsidTr="00F71263">
        <w:trPr>
          <w:cantSplit/>
        </w:trPr>
        <w:tc>
          <w:tcPr>
            <w:tcW w:w="2376" w:type="dxa"/>
            <w:tcBorders>
              <w:top w:val="single" w:sz="4" w:space="0" w:color="auto"/>
              <w:bottom w:val="nil"/>
            </w:tcBorders>
          </w:tcPr>
          <w:p w14:paraId="586FC586" w14:textId="77777777" w:rsidR="004506D0" w:rsidRPr="00912A5D" w:rsidRDefault="004506D0" w:rsidP="00F71263">
            <w:pPr>
              <w:pStyle w:val="EndnoteText"/>
              <w:keepNext/>
              <w:widowControl w:val="0"/>
              <w:tabs>
                <w:tab w:val="clear" w:pos="567"/>
              </w:tabs>
              <w:rPr>
                <w:color w:val="000000"/>
                <w:szCs w:val="22"/>
                <w:lang w:val="sv-SE"/>
              </w:rPr>
            </w:pPr>
            <w:r w:rsidRPr="00912A5D">
              <w:rPr>
                <w:color w:val="000000"/>
                <w:szCs w:val="22"/>
                <w:lang w:val="sv-SE"/>
              </w:rPr>
              <w:lastRenderedPageBreak/>
              <w:t>Dermatofibrosarcoma protuberans (aloitusannos 800 mg)</w:t>
            </w:r>
          </w:p>
        </w:tc>
        <w:tc>
          <w:tcPr>
            <w:tcW w:w="2400" w:type="dxa"/>
            <w:tcBorders>
              <w:top w:val="single" w:sz="4" w:space="0" w:color="auto"/>
              <w:bottom w:val="nil"/>
            </w:tcBorders>
          </w:tcPr>
          <w:p w14:paraId="586FC587" w14:textId="77777777" w:rsidR="004506D0" w:rsidRPr="00912A5D" w:rsidRDefault="004506D0" w:rsidP="00F71263">
            <w:pPr>
              <w:pStyle w:val="Table"/>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ANC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88" w14:textId="77777777" w:rsidR="004506D0" w:rsidRPr="00912A5D" w:rsidRDefault="004506D0" w:rsidP="00F71263">
            <w:pPr>
              <w:pStyle w:val="Table"/>
              <w:keepLines w:val="0"/>
              <w:widowControl w:val="0"/>
              <w:suppressLineNumbers/>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ja/tai</w:t>
            </w:r>
          </w:p>
          <w:p w14:paraId="586FC589" w14:textId="77777777" w:rsidR="004506D0" w:rsidRPr="00912A5D" w:rsidRDefault="004506D0" w:rsidP="00F71263">
            <w:pPr>
              <w:pStyle w:val="EndnoteText"/>
              <w:keepNext/>
              <w:widowControl w:val="0"/>
              <w:tabs>
                <w:tab w:val="clear" w:pos="567"/>
              </w:tabs>
              <w:rPr>
                <w:color w:val="000000"/>
                <w:szCs w:val="22"/>
                <w:lang w:val="fi-FI"/>
              </w:rPr>
            </w:pPr>
            <w:r w:rsidRPr="00912A5D">
              <w:rPr>
                <w:color w:val="000000"/>
                <w:szCs w:val="22"/>
                <w:lang w:val="fi-FI"/>
              </w:rPr>
              <w:t>trombosyyttiarvo</w:t>
            </w:r>
          </w:p>
          <w:p w14:paraId="586FC58A" w14:textId="77777777" w:rsidR="004506D0" w:rsidRPr="00912A5D" w:rsidRDefault="004506D0" w:rsidP="00F71263">
            <w:pPr>
              <w:pStyle w:val="Table"/>
              <w:keepLines w:val="0"/>
              <w:widowControl w:val="0"/>
              <w:suppressLineNumbers/>
              <w:tabs>
                <w:tab w:val="clear" w:pos="284"/>
              </w:tabs>
              <w:spacing w:before="0" w:after="0"/>
              <w:rPr>
                <w:rFonts w:ascii="Times New Roman" w:hAnsi="Times New Roman"/>
                <w:color w:val="000000"/>
                <w:position w:val="10"/>
                <w:sz w:val="22"/>
                <w:szCs w:val="22"/>
                <w:vertAlign w:val="superscript"/>
                <w:lang w:val="fi-FI"/>
              </w:rPr>
            </w:pPr>
            <w:r w:rsidRPr="00912A5D">
              <w:rPr>
                <w:rFonts w:ascii="Times New Roman" w:hAnsi="Times New Roman"/>
                <w:color w:val="000000"/>
                <w:sz w:val="22"/>
                <w:szCs w:val="22"/>
                <w:lang w:val="fi-FI"/>
              </w:rPr>
              <w:t>&lt; 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tc>
        <w:tc>
          <w:tcPr>
            <w:tcW w:w="4404" w:type="dxa"/>
            <w:tcBorders>
              <w:top w:val="single" w:sz="4" w:space="0" w:color="auto"/>
              <w:bottom w:val="nil"/>
            </w:tcBorders>
          </w:tcPr>
          <w:p w14:paraId="586FC58B" w14:textId="77777777" w:rsidR="004506D0" w:rsidRPr="00912A5D" w:rsidRDefault="004506D0" w:rsidP="00F71263">
            <w:pPr>
              <w:pStyle w:val="Table"/>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1.</w:t>
            </w:r>
            <w:r>
              <w:rPr>
                <w:rFonts w:ascii="Times New Roman" w:hAnsi="Times New Roman"/>
                <w:color w:val="000000"/>
                <w:sz w:val="22"/>
                <w:szCs w:val="22"/>
                <w:lang w:val="fi-FI"/>
              </w:rPr>
              <w:tab/>
            </w:r>
            <w:r w:rsidRPr="00912A5D">
              <w:rPr>
                <w:rFonts w:ascii="Times New Roman" w:hAnsi="Times New Roman"/>
                <w:color w:val="000000"/>
                <w:sz w:val="22"/>
                <w:szCs w:val="22"/>
                <w:lang w:val="fi-FI"/>
              </w:rPr>
              <w:t xml:space="preserve">Glivec-hoito lopetetaan, kunnes ANC on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ja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75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w:t>
            </w:r>
          </w:p>
          <w:p w14:paraId="586FC58C" w14:textId="77777777" w:rsidR="004506D0" w:rsidRPr="00912A5D" w:rsidRDefault="004506D0" w:rsidP="00F71263">
            <w:pPr>
              <w:pStyle w:val="Table"/>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2.</w:t>
            </w:r>
            <w:r>
              <w:rPr>
                <w:rFonts w:ascii="Times New Roman" w:hAnsi="Times New Roman"/>
                <w:color w:val="000000"/>
                <w:sz w:val="22"/>
                <w:szCs w:val="22"/>
                <w:lang w:val="fi-FI"/>
              </w:rPr>
              <w:tab/>
            </w:r>
            <w:r w:rsidRPr="00912A5D">
              <w:rPr>
                <w:rFonts w:ascii="Times New Roman" w:hAnsi="Times New Roman"/>
                <w:color w:val="000000"/>
                <w:sz w:val="22"/>
                <w:szCs w:val="22"/>
                <w:lang w:val="fi-FI"/>
              </w:rPr>
              <w:t>Glivec-hoito aloitetaan uudelleen annoksella 600 mg.</w:t>
            </w:r>
          </w:p>
          <w:p w14:paraId="586FC58D" w14:textId="77777777" w:rsidR="004506D0" w:rsidRPr="00912A5D" w:rsidRDefault="004506D0" w:rsidP="00F71263">
            <w:pPr>
              <w:pStyle w:val="Table"/>
              <w:keepLines w:val="0"/>
              <w:widowControl w:val="0"/>
              <w:suppressLineNumbers/>
              <w:tabs>
                <w:tab w:val="clear" w:pos="284"/>
              </w:tabs>
              <w:spacing w:before="0" w:after="0"/>
              <w:ind w:left="558" w:hanging="558"/>
              <w:rPr>
                <w:rFonts w:ascii="Times New Roman" w:hAnsi="Times New Roman"/>
                <w:color w:val="000000"/>
                <w:sz w:val="22"/>
                <w:szCs w:val="22"/>
                <w:lang w:val="fi-FI"/>
              </w:rPr>
            </w:pPr>
            <w:r>
              <w:rPr>
                <w:rFonts w:ascii="Times New Roman" w:hAnsi="Times New Roman"/>
                <w:color w:val="000000"/>
                <w:sz w:val="22"/>
                <w:szCs w:val="22"/>
                <w:lang w:val="fi-FI"/>
              </w:rPr>
              <w:t>3.</w:t>
            </w:r>
            <w:r>
              <w:rPr>
                <w:rFonts w:ascii="Times New Roman" w:hAnsi="Times New Roman"/>
                <w:color w:val="000000"/>
                <w:sz w:val="22"/>
                <w:szCs w:val="22"/>
                <w:lang w:val="fi-FI"/>
              </w:rPr>
              <w:tab/>
            </w:r>
            <w:r w:rsidRPr="00912A5D">
              <w:rPr>
                <w:rFonts w:ascii="Times New Roman" w:hAnsi="Times New Roman"/>
                <w:color w:val="000000"/>
                <w:sz w:val="22"/>
                <w:szCs w:val="22"/>
                <w:lang w:val="fi-FI"/>
              </w:rPr>
              <w:t>Jos ANC palaa tasolle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ja/tai trombosyyttiarvo tasolle &lt; 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toistetaan vaihe 1 ja aloitetaan Glivec-hoito uudelleen pienennetyllä 400 mg annoksella.</w:t>
            </w:r>
          </w:p>
        </w:tc>
      </w:tr>
      <w:tr w:rsidR="004506D0" w:rsidRPr="00912A5D" w14:paraId="586FC590" w14:textId="77777777" w:rsidTr="00F71263">
        <w:trPr>
          <w:cantSplit/>
        </w:trPr>
        <w:tc>
          <w:tcPr>
            <w:tcW w:w="9180" w:type="dxa"/>
            <w:gridSpan w:val="3"/>
            <w:tcBorders>
              <w:bottom w:val="nil"/>
            </w:tcBorders>
          </w:tcPr>
          <w:p w14:paraId="586FC58F" w14:textId="77777777" w:rsidR="004506D0" w:rsidRPr="00912A5D" w:rsidRDefault="004506D0" w:rsidP="00F71263">
            <w:pPr>
              <w:pStyle w:val="Heading5"/>
              <w:widowControl w:val="0"/>
              <w:rPr>
                <w:szCs w:val="22"/>
                <w:vertAlign w:val="baseline"/>
              </w:rPr>
            </w:pPr>
            <w:r w:rsidRPr="00912A5D">
              <w:rPr>
                <w:szCs w:val="22"/>
                <w:vertAlign w:val="baseline"/>
              </w:rPr>
              <w:t>ANC = neutrofiilien absoluuttinen määrä</w:t>
            </w:r>
          </w:p>
        </w:tc>
      </w:tr>
      <w:tr w:rsidR="004506D0" w:rsidRPr="00912A5D" w14:paraId="586FC592" w14:textId="77777777" w:rsidTr="00F71263">
        <w:trPr>
          <w:cantSplit/>
        </w:trPr>
        <w:tc>
          <w:tcPr>
            <w:tcW w:w="9180" w:type="dxa"/>
            <w:gridSpan w:val="3"/>
            <w:tcBorders>
              <w:top w:val="nil"/>
            </w:tcBorders>
          </w:tcPr>
          <w:p w14:paraId="586FC591"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vertAlign w:val="superscript"/>
                <w:lang w:val="fi-FI"/>
              </w:rPr>
              <w:t>a</w:t>
            </w:r>
            <w:r w:rsidRPr="00912A5D">
              <w:rPr>
                <w:color w:val="000000"/>
                <w:szCs w:val="22"/>
                <w:lang w:val="fi-FI"/>
              </w:rPr>
              <w:t xml:space="preserve"> joka ilmenee vähintään 1 kuukautta kestäneen hoidon jälkeen</w:t>
            </w:r>
          </w:p>
        </w:tc>
      </w:tr>
    </w:tbl>
    <w:p w14:paraId="586FC593" w14:textId="77777777" w:rsidR="00B3746F" w:rsidRPr="00912A5D" w:rsidRDefault="00B3746F" w:rsidP="00B3746F">
      <w:pPr>
        <w:pStyle w:val="EndnoteText"/>
        <w:widowControl w:val="0"/>
        <w:tabs>
          <w:tab w:val="clear" w:pos="567"/>
        </w:tabs>
        <w:rPr>
          <w:color w:val="000000"/>
          <w:szCs w:val="22"/>
          <w:lang w:val="fi-FI"/>
        </w:rPr>
      </w:pPr>
    </w:p>
    <w:p w14:paraId="586FC594" w14:textId="77777777" w:rsidR="00B3746F" w:rsidRDefault="00B3746F" w:rsidP="00F71263">
      <w:pPr>
        <w:pStyle w:val="EndnoteText"/>
        <w:keepNext/>
        <w:widowControl w:val="0"/>
        <w:tabs>
          <w:tab w:val="clear" w:pos="567"/>
        </w:tabs>
        <w:rPr>
          <w:color w:val="000000"/>
          <w:szCs w:val="22"/>
          <w:lang w:val="fi-FI"/>
        </w:rPr>
      </w:pPr>
      <w:r w:rsidRPr="006E44D6">
        <w:rPr>
          <w:color w:val="000000"/>
          <w:szCs w:val="22"/>
          <w:u w:val="single"/>
          <w:lang w:val="fi-FI"/>
        </w:rPr>
        <w:t>Erityisryhmät</w:t>
      </w:r>
    </w:p>
    <w:p w14:paraId="586FC595" w14:textId="77777777" w:rsidR="00F8429E" w:rsidRDefault="00B3746F" w:rsidP="00861595">
      <w:pPr>
        <w:pStyle w:val="EndnoteText"/>
        <w:widowControl w:val="0"/>
        <w:tabs>
          <w:tab w:val="clear" w:pos="567"/>
        </w:tabs>
        <w:rPr>
          <w:color w:val="000000"/>
          <w:szCs w:val="22"/>
          <w:lang w:val="fi-FI"/>
        </w:rPr>
      </w:pPr>
      <w:r w:rsidRPr="00F43D6A">
        <w:rPr>
          <w:i/>
          <w:color w:val="000000"/>
          <w:szCs w:val="22"/>
          <w:lang w:val="fi-FI"/>
        </w:rPr>
        <w:t>Käyttö lapsille:</w:t>
      </w:r>
      <w:r w:rsidRPr="00912A5D">
        <w:rPr>
          <w:color w:val="000000"/>
          <w:szCs w:val="22"/>
          <w:lang w:val="fi-FI"/>
        </w:rPr>
        <w:t xml:space="preserve"> Tietoja käytöstä KML:aa sairastaville alle 2-vuotiaille lapsille </w:t>
      </w:r>
      <w:r w:rsidR="00291A4D">
        <w:rPr>
          <w:color w:val="000000"/>
          <w:szCs w:val="22"/>
          <w:lang w:val="fi-FI"/>
        </w:rPr>
        <w:t xml:space="preserve">ja alle 1-vuotiaille </w:t>
      </w:r>
      <w:r w:rsidR="00291A4D" w:rsidRPr="00912A5D">
        <w:rPr>
          <w:color w:val="000000"/>
          <w:szCs w:val="22"/>
          <w:lang w:val="fi-FI"/>
        </w:rPr>
        <w:t xml:space="preserve">Philadelphia-kromosomipositiivista akuuttia lymfaattista leukemiaa sairastaville lapsille </w:t>
      </w:r>
      <w:r w:rsidRPr="00912A5D">
        <w:rPr>
          <w:color w:val="000000"/>
          <w:szCs w:val="22"/>
          <w:lang w:val="fi-FI"/>
        </w:rPr>
        <w:t>ei ole (ks. kohta 5.1). Lapsista, joilla on myelodysplastinen oireyhtymä/myeloproliferatiivinen tauti</w:t>
      </w:r>
      <w:r w:rsidR="00712BAF">
        <w:rPr>
          <w:color w:val="000000"/>
          <w:szCs w:val="22"/>
          <w:lang w:val="fi-FI"/>
        </w:rPr>
        <w:t>,</w:t>
      </w:r>
      <w:r w:rsidRPr="00912A5D">
        <w:rPr>
          <w:color w:val="000000"/>
          <w:szCs w:val="22"/>
          <w:lang w:val="fi-FI"/>
        </w:rPr>
        <w:t xml:space="preserve"> dermatofibrosarcoma protuberans, </w:t>
      </w:r>
      <w:r w:rsidR="00861595" w:rsidRPr="00912A5D">
        <w:rPr>
          <w:color w:val="000000"/>
          <w:szCs w:val="22"/>
          <w:lang w:val="fi-FI"/>
        </w:rPr>
        <w:t>GIST ja hypereosinofiilinen oireyhtymä</w:t>
      </w:r>
      <w:r w:rsidR="00861595">
        <w:rPr>
          <w:color w:val="000000"/>
          <w:szCs w:val="22"/>
          <w:lang w:val="fi-FI"/>
        </w:rPr>
        <w:t>/</w:t>
      </w:r>
      <w:r w:rsidR="00861595" w:rsidRPr="00912A5D">
        <w:rPr>
          <w:color w:val="000000"/>
          <w:szCs w:val="22"/>
          <w:lang w:val="fi-FI"/>
        </w:rPr>
        <w:t>krooninen eosinofiilinen leukemia</w:t>
      </w:r>
      <w:r w:rsidR="00861595">
        <w:rPr>
          <w:color w:val="000000"/>
          <w:szCs w:val="22"/>
          <w:lang w:val="fi-FI"/>
        </w:rPr>
        <w:t>,</w:t>
      </w:r>
      <w:r w:rsidR="00861595" w:rsidRPr="00912A5D">
        <w:rPr>
          <w:color w:val="000000"/>
          <w:szCs w:val="22"/>
          <w:lang w:val="fi-FI"/>
        </w:rPr>
        <w:t xml:space="preserve"> </w:t>
      </w:r>
      <w:r w:rsidRPr="00912A5D">
        <w:rPr>
          <w:color w:val="000000"/>
          <w:szCs w:val="22"/>
          <w:lang w:val="fi-FI"/>
        </w:rPr>
        <w:t>on hyvin vähän kokemusta.</w:t>
      </w:r>
    </w:p>
    <w:p w14:paraId="586FC596" w14:textId="77777777" w:rsidR="00861595" w:rsidRDefault="00861595" w:rsidP="00861595">
      <w:pPr>
        <w:pStyle w:val="EndnoteText"/>
        <w:widowControl w:val="0"/>
        <w:tabs>
          <w:tab w:val="clear" w:pos="567"/>
        </w:tabs>
        <w:rPr>
          <w:color w:val="000000"/>
          <w:szCs w:val="22"/>
          <w:lang w:val="fi-FI"/>
        </w:rPr>
      </w:pPr>
    </w:p>
    <w:p w14:paraId="586FC597" w14:textId="77777777" w:rsidR="00861595" w:rsidRPr="00912A5D" w:rsidRDefault="00861595" w:rsidP="00861595">
      <w:pPr>
        <w:pStyle w:val="EndnoteText"/>
        <w:widowControl w:val="0"/>
        <w:tabs>
          <w:tab w:val="clear" w:pos="567"/>
        </w:tabs>
        <w:rPr>
          <w:color w:val="000000"/>
          <w:szCs w:val="22"/>
          <w:lang w:val="fi-FI"/>
        </w:rPr>
      </w:pPr>
      <w:r>
        <w:rPr>
          <w:color w:val="000000"/>
          <w:szCs w:val="22"/>
          <w:lang w:val="fi-FI"/>
        </w:rPr>
        <w:t xml:space="preserve">Imatinibin turvallisuutta ja tehoa alle 18-vuotiaiden, </w:t>
      </w:r>
      <w:r w:rsidRPr="00912A5D">
        <w:rPr>
          <w:color w:val="000000"/>
          <w:szCs w:val="22"/>
          <w:lang w:val="fi-FI"/>
        </w:rPr>
        <w:t>myelodysplasti</w:t>
      </w:r>
      <w:r>
        <w:rPr>
          <w:color w:val="000000"/>
          <w:szCs w:val="22"/>
          <w:lang w:val="fi-FI"/>
        </w:rPr>
        <w:t>sta</w:t>
      </w:r>
      <w:r w:rsidRPr="00912A5D">
        <w:rPr>
          <w:color w:val="000000"/>
          <w:szCs w:val="22"/>
          <w:lang w:val="fi-FI"/>
        </w:rPr>
        <w:t xml:space="preserve"> oireyhtymä</w:t>
      </w:r>
      <w:r>
        <w:rPr>
          <w:color w:val="000000"/>
          <w:szCs w:val="22"/>
          <w:lang w:val="fi-FI"/>
        </w:rPr>
        <w:t>ä</w:t>
      </w:r>
      <w:r w:rsidRPr="00912A5D">
        <w:rPr>
          <w:color w:val="000000"/>
          <w:szCs w:val="22"/>
          <w:lang w:val="fi-FI"/>
        </w:rPr>
        <w:t>/myeloproliferatiivi</w:t>
      </w:r>
      <w:r>
        <w:rPr>
          <w:color w:val="000000"/>
          <w:szCs w:val="22"/>
          <w:lang w:val="fi-FI"/>
        </w:rPr>
        <w:t>sta</w:t>
      </w:r>
      <w:r w:rsidRPr="00912A5D">
        <w:rPr>
          <w:color w:val="000000"/>
          <w:szCs w:val="22"/>
          <w:lang w:val="fi-FI"/>
        </w:rPr>
        <w:t xml:space="preserve"> tauti</w:t>
      </w:r>
      <w:r>
        <w:rPr>
          <w:color w:val="000000"/>
          <w:szCs w:val="22"/>
          <w:lang w:val="fi-FI"/>
        </w:rPr>
        <w:t>a,</w:t>
      </w:r>
      <w:r w:rsidRPr="00912A5D">
        <w:rPr>
          <w:color w:val="000000"/>
          <w:szCs w:val="22"/>
          <w:lang w:val="fi-FI"/>
        </w:rPr>
        <w:t xml:space="preserve"> dermatofibrosarcoma protuberans</w:t>
      </w:r>
      <w:r>
        <w:rPr>
          <w:color w:val="000000"/>
          <w:szCs w:val="22"/>
          <w:lang w:val="fi-FI"/>
        </w:rPr>
        <w:t>ia</w:t>
      </w:r>
      <w:r w:rsidRPr="00912A5D">
        <w:rPr>
          <w:color w:val="000000"/>
          <w:szCs w:val="22"/>
          <w:lang w:val="fi-FI"/>
        </w:rPr>
        <w:t>, GIST</w:t>
      </w:r>
      <w:r>
        <w:rPr>
          <w:color w:val="000000"/>
          <w:szCs w:val="22"/>
          <w:lang w:val="fi-FI"/>
        </w:rPr>
        <w:t>:iä</w:t>
      </w:r>
      <w:r w:rsidRPr="00912A5D">
        <w:rPr>
          <w:color w:val="000000"/>
          <w:szCs w:val="22"/>
          <w:lang w:val="fi-FI"/>
        </w:rPr>
        <w:t xml:space="preserve"> ja HES/</w:t>
      </w:r>
      <w:smartTag w:uri="urn:schemas-microsoft-com:office:smarttags" w:element="State">
        <w:r w:rsidRPr="00912A5D">
          <w:rPr>
            <w:color w:val="000000"/>
            <w:szCs w:val="22"/>
            <w:lang w:val="fi-FI"/>
          </w:rPr>
          <w:t>CEL</w:t>
        </w:r>
        <w:r>
          <w:rPr>
            <w:color w:val="000000"/>
            <w:szCs w:val="22"/>
            <w:lang w:val="fi-FI"/>
          </w:rPr>
          <w:t>:iä sairastavien</w:t>
        </w:r>
      </w:smartTag>
      <w:r>
        <w:rPr>
          <w:color w:val="000000"/>
          <w:szCs w:val="22"/>
          <w:lang w:val="fi-FI"/>
        </w:rPr>
        <w:t xml:space="preserve"> lasten hoidossa ei ole osoitettu kliinisissä tutkimuksissa. Saatavissa olevan julkaistun tiedon perusteella, joka on kuvattu kohdassa 5.1, ei voida antaa suosituksia annostuksesta.</w:t>
      </w:r>
    </w:p>
    <w:p w14:paraId="586FC598" w14:textId="77777777" w:rsidR="00B3746F" w:rsidRPr="00912A5D" w:rsidRDefault="00B3746F" w:rsidP="00B3746F">
      <w:pPr>
        <w:pStyle w:val="EndnoteText"/>
        <w:widowControl w:val="0"/>
        <w:tabs>
          <w:tab w:val="clear" w:pos="567"/>
        </w:tabs>
        <w:rPr>
          <w:color w:val="000000"/>
          <w:szCs w:val="22"/>
          <w:lang w:val="fi-FI"/>
        </w:rPr>
      </w:pPr>
    </w:p>
    <w:p w14:paraId="586FC599" w14:textId="77777777" w:rsidR="00B3746F" w:rsidRPr="00912A5D" w:rsidRDefault="00B3746F" w:rsidP="00B3746F">
      <w:pPr>
        <w:pStyle w:val="EndnoteText"/>
        <w:widowControl w:val="0"/>
        <w:tabs>
          <w:tab w:val="clear" w:pos="567"/>
        </w:tabs>
        <w:rPr>
          <w:color w:val="000000"/>
          <w:szCs w:val="22"/>
          <w:lang w:val="fi-FI"/>
        </w:rPr>
      </w:pPr>
      <w:r w:rsidRPr="00F43D6A">
        <w:rPr>
          <w:i/>
          <w:color w:val="000000"/>
          <w:szCs w:val="22"/>
          <w:lang w:val="fi-FI"/>
        </w:rPr>
        <w:t>Maksan vajaatoiminta:</w:t>
      </w:r>
      <w:r w:rsidRPr="00912A5D">
        <w:rPr>
          <w:color w:val="000000"/>
          <w:szCs w:val="22"/>
          <w:lang w:val="fi-FI"/>
        </w:rPr>
        <w:t xml:space="preserve"> Imatinibi metaboloituu pääosin maksan välityksellä. Potilaille, joilla on lievä, kohtalainen tai vaikea maksan vajaatoiminta pitää antaa pienintä suositettua annosta 400 mg vuorokaudessa. Annosta voidaan pienentää, jos se ei ole siedetty (ks. kohdat 4.4, 4.8 ja 5.2).</w:t>
      </w:r>
    </w:p>
    <w:p w14:paraId="586FC59A" w14:textId="77777777" w:rsidR="00B3746F" w:rsidRPr="00912A5D" w:rsidRDefault="00B3746F" w:rsidP="00B3746F">
      <w:pPr>
        <w:pStyle w:val="EndnoteText"/>
        <w:widowControl w:val="0"/>
        <w:tabs>
          <w:tab w:val="clear" w:pos="567"/>
        </w:tabs>
        <w:rPr>
          <w:color w:val="000000"/>
          <w:szCs w:val="22"/>
          <w:lang w:val="fi-FI"/>
        </w:rPr>
      </w:pPr>
    </w:p>
    <w:p w14:paraId="586FC59B" w14:textId="77777777" w:rsidR="00B3746F" w:rsidRPr="00912A5D" w:rsidRDefault="00B3746F" w:rsidP="00F71263">
      <w:pPr>
        <w:pStyle w:val="EndnoteText"/>
        <w:keepNext/>
        <w:widowControl w:val="0"/>
        <w:tabs>
          <w:tab w:val="clear" w:pos="567"/>
        </w:tabs>
        <w:rPr>
          <w:color w:val="000000"/>
          <w:szCs w:val="22"/>
          <w:lang w:val="fi-FI"/>
        </w:rPr>
      </w:pPr>
      <w:r w:rsidRPr="00912A5D">
        <w:rPr>
          <w:color w:val="000000"/>
          <w:szCs w:val="22"/>
          <w:lang w:val="fi-FI"/>
        </w:rPr>
        <w:t>Maksan vajaatoiminnan luokittelu:</w:t>
      </w:r>
    </w:p>
    <w:p w14:paraId="586FC59C" w14:textId="77777777" w:rsidR="00B3746F" w:rsidRPr="00912A5D" w:rsidRDefault="00B3746F" w:rsidP="00F71263">
      <w:pPr>
        <w:pStyle w:val="Text"/>
        <w:keepNext/>
        <w:spacing w:before="0"/>
        <w:jc w:val="left"/>
        <w:rPr>
          <w:color w:val="000000"/>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4"/>
        <w:gridCol w:w="5767"/>
      </w:tblGrid>
      <w:tr w:rsidR="00B3746F" w:rsidRPr="00B852DB" w14:paraId="586FC59F" w14:textId="77777777" w:rsidTr="00F71263">
        <w:trPr>
          <w:cantSplit/>
        </w:trPr>
        <w:tc>
          <w:tcPr>
            <w:tcW w:w="3369" w:type="dxa"/>
          </w:tcPr>
          <w:p w14:paraId="586FC59D" w14:textId="77777777" w:rsidR="00B3746F" w:rsidRPr="00B852DB" w:rsidRDefault="00B3746F" w:rsidP="00F71263">
            <w:pPr>
              <w:pStyle w:val="Text"/>
              <w:keepNext/>
              <w:tabs>
                <w:tab w:val="left" w:pos="567"/>
              </w:tabs>
              <w:spacing w:before="0" w:line="260" w:lineRule="exact"/>
              <w:jc w:val="left"/>
              <w:rPr>
                <w:color w:val="000000"/>
                <w:sz w:val="22"/>
                <w:szCs w:val="22"/>
                <w:lang w:val="en-GB"/>
              </w:rPr>
            </w:pPr>
            <w:r w:rsidRPr="00B852DB">
              <w:rPr>
                <w:color w:val="000000"/>
                <w:sz w:val="22"/>
                <w:szCs w:val="22"/>
              </w:rPr>
              <w:t>Maksan vajaatoiminta</w:t>
            </w:r>
          </w:p>
        </w:tc>
        <w:tc>
          <w:tcPr>
            <w:tcW w:w="5918" w:type="dxa"/>
          </w:tcPr>
          <w:p w14:paraId="586FC59E" w14:textId="77777777" w:rsidR="00B3746F" w:rsidRPr="00B852DB" w:rsidRDefault="00B3746F" w:rsidP="00F71263">
            <w:pPr>
              <w:pStyle w:val="Text"/>
              <w:keepNext/>
              <w:tabs>
                <w:tab w:val="left" w:pos="567"/>
              </w:tabs>
              <w:spacing w:before="0" w:line="260" w:lineRule="exact"/>
              <w:jc w:val="left"/>
              <w:rPr>
                <w:color w:val="000000"/>
                <w:sz w:val="22"/>
                <w:szCs w:val="22"/>
                <w:lang w:val="en-GB"/>
              </w:rPr>
            </w:pPr>
            <w:r w:rsidRPr="00B852DB">
              <w:rPr>
                <w:color w:val="000000"/>
                <w:sz w:val="22"/>
                <w:szCs w:val="22"/>
              </w:rPr>
              <w:t>Maksan</w:t>
            </w:r>
            <w:r w:rsidRPr="00B852DB">
              <w:rPr>
                <w:color w:val="000000"/>
                <w:sz w:val="22"/>
                <w:szCs w:val="22"/>
                <w:lang w:val="fi-FI"/>
              </w:rPr>
              <w:t xml:space="preserve"> toimintakokeen</w:t>
            </w:r>
            <w:r w:rsidRPr="00B852DB">
              <w:rPr>
                <w:color w:val="000000"/>
                <w:sz w:val="22"/>
                <w:szCs w:val="22"/>
              </w:rPr>
              <w:t xml:space="preserve"> arvot</w:t>
            </w:r>
          </w:p>
        </w:tc>
      </w:tr>
      <w:tr w:rsidR="00B3746F" w:rsidRPr="00B852DB" w14:paraId="586FC5A3" w14:textId="77777777" w:rsidTr="00F71263">
        <w:trPr>
          <w:cantSplit/>
        </w:trPr>
        <w:tc>
          <w:tcPr>
            <w:tcW w:w="3369" w:type="dxa"/>
          </w:tcPr>
          <w:p w14:paraId="586FC5A0" w14:textId="77777777" w:rsidR="00B3746F" w:rsidRPr="00B852DB" w:rsidRDefault="00B3746F" w:rsidP="00F71263">
            <w:pPr>
              <w:pStyle w:val="Text"/>
              <w:keepNext/>
              <w:tabs>
                <w:tab w:val="left" w:pos="567"/>
              </w:tabs>
              <w:spacing w:before="0" w:line="260" w:lineRule="exact"/>
              <w:jc w:val="left"/>
              <w:rPr>
                <w:color w:val="000000"/>
                <w:sz w:val="22"/>
                <w:szCs w:val="22"/>
                <w:lang w:val="en-GB"/>
              </w:rPr>
            </w:pPr>
            <w:r w:rsidRPr="00B852DB">
              <w:rPr>
                <w:color w:val="000000"/>
                <w:sz w:val="22"/>
                <w:szCs w:val="22"/>
              </w:rPr>
              <w:t>Lievä</w:t>
            </w:r>
          </w:p>
        </w:tc>
        <w:tc>
          <w:tcPr>
            <w:tcW w:w="5918" w:type="dxa"/>
          </w:tcPr>
          <w:p w14:paraId="586FC5A1" w14:textId="77777777" w:rsidR="00B3746F" w:rsidRPr="00B852DB" w:rsidRDefault="00B3746F" w:rsidP="00F71263">
            <w:pPr>
              <w:keepNext/>
              <w:tabs>
                <w:tab w:val="left" w:pos="567"/>
              </w:tabs>
              <w:rPr>
                <w:rFonts w:ascii="Times New Roman" w:hAnsi="Times New Roman"/>
                <w:snapToGrid w:val="0"/>
                <w:sz w:val="22"/>
                <w:szCs w:val="22"/>
              </w:rPr>
            </w:pPr>
            <w:r w:rsidRPr="00B852DB">
              <w:rPr>
                <w:rFonts w:ascii="Times New Roman" w:hAnsi="Times New Roman"/>
                <w:snapToGrid w:val="0"/>
                <w:sz w:val="22"/>
                <w:szCs w:val="22"/>
              </w:rPr>
              <w:t>kokonaisbilirubiini: = 1,5 ULN</w:t>
            </w:r>
          </w:p>
          <w:p w14:paraId="586FC5A2" w14:textId="77777777" w:rsidR="00B3746F" w:rsidRPr="00B852DB" w:rsidRDefault="00B3746F" w:rsidP="00F71263">
            <w:pPr>
              <w:pStyle w:val="Text"/>
              <w:keepNext/>
              <w:tabs>
                <w:tab w:val="left" w:pos="567"/>
              </w:tabs>
              <w:spacing w:before="0" w:line="260" w:lineRule="exact"/>
              <w:jc w:val="left"/>
              <w:rPr>
                <w:color w:val="000000"/>
                <w:sz w:val="22"/>
                <w:szCs w:val="22"/>
                <w:lang w:val="fi-FI"/>
              </w:rPr>
            </w:pPr>
            <w:r w:rsidRPr="00B852DB">
              <w:rPr>
                <w:snapToGrid w:val="0"/>
                <w:color w:val="000000"/>
                <w:sz w:val="22"/>
                <w:szCs w:val="22"/>
                <w:lang w:val="fi-FI"/>
              </w:rPr>
              <w:t>ASAT: &gt; ULN (voi olla normaali tai &lt; ULN, jos kokonaisbilirubiini on &gt; ULN)</w:t>
            </w:r>
          </w:p>
        </w:tc>
      </w:tr>
      <w:tr w:rsidR="00B3746F" w:rsidRPr="00B852DB" w14:paraId="586FC5A7" w14:textId="77777777" w:rsidTr="00F71263">
        <w:trPr>
          <w:cantSplit/>
        </w:trPr>
        <w:tc>
          <w:tcPr>
            <w:tcW w:w="3369" w:type="dxa"/>
          </w:tcPr>
          <w:p w14:paraId="586FC5A4" w14:textId="77777777" w:rsidR="00B3746F" w:rsidRPr="00B852DB" w:rsidRDefault="00B3746F" w:rsidP="00F71263">
            <w:pPr>
              <w:pStyle w:val="Text"/>
              <w:keepNext/>
              <w:tabs>
                <w:tab w:val="left" w:pos="567"/>
              </w:tabs>
              <w:spacing w:before="0" w:line="260" w:lineRule="exact"/>
              <w:jc w:val="left"/>
              <w:rPr>
                <w:color w:val="000000"/>
                <w:sz w:val="22"/>
                <w:szCs w:val="22"/>
                <w:lang w:val="en-GB"/>
              </w:rPr>
            </w:pPr>
            <w:r w:rsidRPr="00B852DB">
              <w:rPr>
                <w:color w:val="000000"/>
                <w:sz w:val="22"/>
                <w:szCs w:val="22"/>
              </w:rPr>
              <w:t>Kohtalainen</w:t>
            </w:r>
          </w:p>
        </w:tc>
        <w:tc>
          <w:tcPr>
            <w:tcW w:w="5918" w:type="dxa"/>
          </w:tcPr>
          <w:p w14:paraId="586FC5A5" w14:textId="77777777" w:rsidR="00B3746F" w:rsidRPr="00B852DB" w:rsidRDefault="00B3746F" w:rsidP="00F71263">
            <w:pPr>
              <w:keepNext/>
              <w:tabs>
                <w:tab w:val="left" w:pos="567"/>
              </w:tabs>
              <w:rPr>
                <w:rFonts w:ascii="Times New Roman" w:hAnsi="Times New Roman"/>
                <w:snapToGrid w:val="0"/>
                <w:sz w:val="22"/>
                <w:szCs w:val="22"/>
              </w:rPr>
            </w:pPr>
            <w:r w:rsidRPr="00B852DB">
              <w:rPr>
                <w:rFonts w:ascii="Times New Roman" w:hAnsi="Times New Roman"/>
                <w:snapToGrid w:val="0"/>
                <w:sz w:val="22"/>
                <w:szCs w:val="22"/>
              </w:rPr>
              <w:t>kokonaisbilirubiini: &gt; 1,5</w:t>
            </w:r>
            <w:r w:rsidRPr="00B852DB">
              <w:rPr>
                <w:rFonts w:ascii="Times New Roman" w:hAnsi="Times New Roman"/>
                <w:sz w:val="22"/>
                <w:szCs w:val="22"/>
              </w:rPr>
              <w:t>–</w:t>
            </w:r>
            <w:r w:rsidRPr="00B852DB">
              <w:rPr>
                <w:rFonts w:ascii="Times New Roman" w:hAnsi="Times New Roman"/>
                <w:snapToGrid w:val="0"/>
                <w:sz w:val="22"/>
                <w:szCs w:val="22"/>
              </w:rPr>
              <w:t>3,0 ULN</w:t>
            </w:r>
          </w:p>
          <w:p w14:paraId="586FC5A6" w14:textId="77777777" w:rsidR="00B3746F" w:rsidRPr="00B852DB" w:rsidRDefault="00B3746F" w:rsidP="00F71263">
            <w:pPr>
              <w:pStyle w:val="Text"/>
              <w:keepNext/>
              <w:tabs>
                <w:tab w:val="left" w:pos="567"/>
              </w:tabs>
              <w:spacing w:before="0" w:line="260" w:lineRule="exact"/>
              <w:jc w:val="left"/>
              <w:rPr>
                <w:color w:val="000000"/>
                <w:sz w:val="22"/>
                <w:szCs w:val="22"/>
                <w:lang w:val="fi-FI"/>
              </w:rPr>
            </w:pPr>
            <w:r w:rsidRPr="00B852DB">
              <w:rPr>
                <w:snapToGrid w:val="0"/>
                <w:color w:val="000000"/>
                <w:sz w:val="22"/>
                <w:szCs w:val="22"/>
                <w:lang w:val="fi-FI"/>
              </w:rPr>
              <w:t>ASAT: mikä tahansa arvo</w:t>
            </w:r>
          </w:p>
        </w:tc>
      </w:tr>
      <w:tr w:rsidR="00B3746F" w:rsidRPr="00B852DB" w14:paraId="586FC5AB" w14:textId="77777777" w:rsidTr="00F71263">
        <w:trPr>
          <w:cantSplit/>
        </w:trPr>
        <w:tc>
          <w:tcPr>
            <w:tcW w:w="3369" w:type="dxa"/>
          </w:tcPr>
          <w:p w14:paraId="586FC5A8" w14:textId="77777777" w:rsidR="00B3746F" w:rsidRPr="00B852DB" w:rsidRDefault="00B3746F" w:rsidP="00F71263">
            <w:pPr>
              <w:pStyle w:val="Text"/>
              <w:keepNext/>
              <w:tabs>
                <w:tab w:val="left" w:pos="567"/>
              </w:tabs>
              <w:spacing w:before="0" w:line="260" w:lineRule="exact"/>
              <w:jc w:val="left"/>
              <w:rPr>
                <w:color w:val="000000"/>
                <w:sz w:val="22"/>
                <w:szCs w:val="22"/>
                <w:lang w:val="en-GB"/>
              </w:rPr>
            </w:pPr>
            <w:r w:rsidRPr="00B852DB">
              <w:rPr>
                <w:color w:val="000000"/>
                <w:sz w:val="22"/>
                <w:szCs w:val="22"/>
              </w:rPr>
              <w:t>Vaikea</w:t>
            </w:r>
          </w:p>
        </w:tc>
        <w:tc>
          <w:tcPr>
            <w:tcW w:w="5918" w:type="dxa"/>
          </w:tcPr>
          <w:p w14:paraId="586FC5A9" w14:textId="77777777" w:rsidR="00B3746F" w:rsidRPr="00B852DB" w:rsidRDefault="00B3746F" w:rsidP="00F71263">
            <w:pPr>
              <w:keepNext/>
              <w:tabs>
                <w:tab w:val="left" w:pos="567"/>
              </w:tabs>
              <w:rPr>
                <w:rFonts w:ascii="Times New Roman" w:hAnsi="Times New Roman"/>
                <w:snapToGrid w:val="0"/>
                <w:sz w:val="22"/>
                <w:szCs w:val="22"/>
              </w:rPr>
            </w:pPr>
            <w:r w:rsidRPr="00B852DB">
              <w:rPr>
                <w:rFonts w:ascii="Times New Roman" w:hAnsi="Times New Roman"/>
                <w:snapToGrid w:val="0"/>
                <w:sz w:val="22"/>
                <w:szCs w:val="22"/>
              </w:rPr>
              <w:t>kokonaisbilirubiini: &gt; 3</w:t>
            </w:r>
            <w:r w:rsidRPr="00B852DB">
              <w:rPr>
                <w:rFonts w:ascii="Times New Roman" w:hAnsi="Times New Roman"/>
                <w:sz w:val="22"/>
                <w:szCs w:val="22"/>
              </w:rPr>
              <w:t>–</w:t>
            </w:r>
            <w:r w:rsidRPr="00B852DB">
              <w:rPr>
                <w:rFonts w:ascii="Times New Roman" w:hAnsi="Times New Roman"/>
                <w:snapToGrid w:val="0"/>
                <w:sz w:val="22"/>
                <w:szCs w:val="22"/>
              </w:rPr>
              <w:t>10 ULN</w:t>
            </w:r>
          </w:p>
          <w:p w14:paraId="586FC5AA" w14:textId="77777777" w:rsidR="00B3746F" w:rsidRPr="00B852DB" w:rsidRDefault="00B3746F" w:rsidP="00F71263">
            <w:pPr>
              <w:pStyle w:val="Text"/>
              <w:keepNext/>
              <w:tabs>
                <w:tab w:val="left" w:pos="567"/>
              </w:tabs>
              <w:spacing w:before="0" w:line="260" w:lineRule="exact"/>
              <w:jc w:val="left"/>
              <w:rPr>
                <w:color w:val="000000"/>
                <w:sz w:val="22"/>
                <w:szCs w:val="22"/>
                <w:lang w:val="fi-FI"/>
              </w:rPr>
            </w:pPr>
            <w:r w:rsidRPr="00B852DB">
              <w:rPr>
                <w:snapToGrid w:val="0"/>
                <w:color w:val="000000"/>
                <w:sz w:val="22"/>
                <w:szCs w:val="22"/>
                <w:lang w:val="fi-FI"/>
              </w:rPr>
              <w:t>ASAT: mikä tahansa arvo</w:t>
            </w:r>
          </w:p>
        </w:tc>
      </w:tr>
    </w:tbl>
    <w:p w14:paraId="586FC5AC" w14:textId="77777777" w:rsidR="00B3746F" w:rsidRPr="00912A5D" w:rsidRDefault="00B3746F" w:rsidP="00F71263">
      <w:pPr>
        <w:pStyle w:val="Text"/>
        <w:keepNext/>
        <w:spacing w:before="0"/>
        <w:jc w:val="left"/>
        <w:rPr>
          <w:color w:val="000000"/>
          <w:sz w:val="22"/>
          <w:szCs w:val="22"/>
          <w:lang w:val="fi-FI"/>
        </w:rPr>
      </w:pPr>
      <w:r w:rsidRPr="00912A5D">
        <w:rPr>
          <w:color w:val="000000"/>
          <w:sz w:val="22"/>
          <w:szCs w:val="22"/>
          <w:lang w:val="fi-FI"/>
        </w:rPr>
        <w:t>ULN = normaaliarvon yläraja laitoksessa</w:t>
      </w:r>
    </w:p>
    <w:p w14:paraId="586FC5AD" w14:textId="77777777" w:rsidR="00B3746F" w:rsidRPr="00912A5D" w:rsidRDefault="00B3746F" w:rsidP="00B3746F">
      <w:pPr>
        <w:pStyle w:val="EndnoteText"/>
        <w:widowControl w:val="0"/>
        <w:tabs>
          <w:tab w:val="clear" w:pos="567"/>
        </w:tabs>
        <w:rPr>
          <w:color w:val="000000"/>
          <w:szCs w:val="22"/>
          <w:lang w:val="fi-FI"/>
        </w:rPr>
      </w:pPr>
      <w:r w:rsidRPr="00912A5D">
        <w:rPr>
          <w:rFonts w:eastAsia="MS Mincho"/>
          <w:bCs/>
          <w:color w:val="000000"/>
          <w:szCs w:val="22"/>
          <w:lang w:val="fi-FI" w:eastAsia="ja-JP"/>
        </w:rPr>
        <w:t xml:space="preserve">ASAT = </w:t>
      </w:r>
      <w:r w:rsidRPr="00912A5D">
        <w:rPr>
          <w:color w:val="000000"/>
          <w:szCs w:val="22"/>
          <w:lang w:val="fi-FI"/>
        </w:rPr>
        <w:t>asparaattiaminotransferaasi</w:t>
      </w:r>
    </w:p>
    <w:p w14:paraId="586FC5AE" w14:textId="77777777" w:rsidR="00B3746F" w:rsidRPr="00912A5D" w:rsidRDefault="00B3746F" w:rsidP="00B3746F">
      <w:pPr>
        <w:pStyle w:val="EndnoteText"/>
        <w:widowControl w:val="0"/>
        <w:tabs>
          <w:tab w:val="clear" w:pos="567"/>
        </w:tabs>
        <w:rPr>
          <w:color w:val="000000"/>
          <w:szCs w:val="22"/>
          <w:lang w:val="fi-FI"/>
        </w:rPr>
      </w:pPr>
    </w:p>
    <w:p w14:paraId="586FC5AF" w14:textId="77777777" w:rsidR="00B3746F" w:rsidRPr="00912A5D" w:rsidRDefault="00B3746F" w:rsidP="00B3746F">
      <w:pPr>
        <w:pStyle w:val="EndnoteText"/>
        <w:widowControl w:val="0"/>
        <w:tabs>
          <w:tab w:val="clear" w:pos="567"/>
        </w:tabs>
        <w:rPr>
          <w:color w:val="000000"/>
          <w:szCs w:val="22"/>
          <w:lang w:val="fi-FI"/>
        </w:rPr>
      </w:pPr>
      <w:r w:rsidRPr="00F43D6A">
        <w:rPr>
          <w:i/>
          <w:color w:val="000000"/>
          <w:szCs w:val="22"/>
          <w:lang w:val="fi-FI"/>
        </w:rPr>
        <w:t>Munuaisten vajaatoiminta:</w:t>
      </w:r>
      <w:r w:rsidRPr="00912A5D">
        <w:rPr>
          <w:color w:val="000000"/>
          <w:szCs w:val="22"/>
          <w:lang w:val="fi-FI"/>
        </w:rPr>
        <w:t xml:space="preserve"> Potilaille, joilla on munuaisten vajaatoiminta </w:t>
      </w:r>
      <w:r>
        <w:rPr>
          <w:color w:val="000000"/>
          <w:szCs w:val="22"/>
          <w:lang w:val="fi-FI"/>
        </w:rPr>
        <w:t xml:space="preserve">tai jotka saavat dialyysihoitoa, </w:t>
      </w:r>
      <w:r w:rsidRPr="00912A5D">
        <w:rPr>
          <w:color w:val="000000"/>
          <w:szCs w:val="22"/>
          <w:lang w:val="fi-FI"/>
        </w:rPr>
        <w:t>tulee antaa aloitusannoksena pienin suositeltu vuorokausiannos eli 400 mg. Näiden potilaiden kohdalla suositellaan kuitenkin varovaisuutta. Annosta voidaan pienentää, jos potilas ei siedä sitä</w:t>
      </w:r>
      <w:r>
        <w:rPr>
          <w:color w:val="000000"/>
          <w:szCs w:val="22"/>
          <w:lang w:val="fi-FI"/>
        </w:rPr>
        <w:t>.</w:t>
      </w:r>
      <w:r w:rsidRPr="00912A5D">
        <w:rPr>
          <w:color w:val="000000"/>
          <w:szCs w:val="22"/>
          <w:lang w:val="fi-FI"/>
        </w:rPr>
        <w:t xml:space="preserve"> </w:t>
      </w:r>
      <w:r>
        <w:rPr>
          <w:color w:val="000000"/>
          <w:szCs w:val="22"/>
          <w:lang w:val="fi-FI"/>
        </w:rPr>
        <w:t>Jos annos on siedetty, sitä voidaan</w:t>
      </w:r>
      <w:r w:rsidRPr="00912A5D">
        <w:rPr>
          <w:color w:val="000000"/>
          <w:szCs w:val="22"/>
          <w:lang w:val="fi-FI"/>
        </w:rPr>
        <w:t xml:space="preserve"> suurentaa, ellei teho ole riittävä (ks. kohdat 4.4 ja 5.2).</w:t>
      </w:r>
    </w:p>
    <w:p w14:paraId="586FC5B0" w14:textId="77777777" w:rsidR="00B3746F" w:rsidRPr="00912A5D" w:rsidRDefault="00B3746F" w:rsidP="00B3746F">
      <w:pPr>
        <w:pStyle w:val="EndnoteText"/>
        <w:widowControl w:val="0"/>
        <w:tabs>
          <w:tab w:val="clear" w:pos="567"/>
        </w:tabs>
        <w:rPr>
          <w:color w:val="000000"/>
          <w:szCs w:val="22"/>
          <w:lang w:val="fi-FI"/>
        </w:rPr>
      </w:pPr>
    </w:p>
    <w:p w14:paraId="586FC5B1" w14:textId="77777777" w:rsidR="00B3746F" w:rsidRPr="00912A5D" w:rsidRDefault="00207324" w:rsidP="00B3746F">
      <w:pPr>
        <w:pStyle w:val="EndnoteText"/>
        <w:widowControl w:val="0"/>
        <w:tabs>
          <w:tab w:val="clear" w:pos="567"/>
        </w:tabs>
        <w:rPr>
          <w:color w:val="000000"/>
          <w:szCs w:val="22"/>
          <w:lang w:val="fi-FI"/>
        </w:rPr>
      </w:pPr>
      <w:r w:rsidRPr="00207324">
        <w:rPr>
          <w:i/>
          <w:color w:val="000000"/>
          <w:szCs w:val="22"/>
          <w:lang w:val="fi-FI"/>
        </w:rPr>
        <w:t>Iäkkäät henkilöt</w:t>
      </w:r>
      <w:r w:rsidR="00B3746F" w:rsidRPr="00F43D6A">
        <w:rPr>
          <w:i/>
          <w:color w:val="000000"/>
          <w:szCs w:val="22"/>
          <w:lang w:val="fi-FI"/>
        </w:rPr>
        <w:t>:</w:t>
      </w:r>
      <w:r w:rsidR="00B3746F" w:rsidRPr="00912A5D">
        <w:rPr>
          <w:color w:val="000000"/>
          <w:szCs w:val="22"/>
          <w:lang w:val="fi-FI"/>
        </w:rPr>
        <w:t xml:space="preserve"> Imatinibin farmakokinetiikkaa ei ole erityisesti tutkittu </w:t>
      </w:r>
      <w:r w:rsidRPr="00207324">
        <w:rPr>
          <w:color w:val="000000"/>
          <w:szCs w:val="22"/>
          <w:lang w:val="fi-FI"/>
        </w:rPr>
        <w:t>iäkkäillä henkilöillä</w:t>
      </w:r>
      <w:r w:rsidR="00B3746F" w:rsidRPr="00912A5D">
        <w:rPr>
          <w:color w:val="000000"/>
          <w:szCs w:val="22"/>
          <w:lang w:val="fi-FI"/>
        </w:rPr>
        <w:t xml:space="preserve">. Kliinisissä tutkimuksissa aikuisilla potilailla, joista yli 20 % oli 65-vuotiaita tai vanhempia, ei havaittu iästä merkittävästi riippuvia muutoksia farmakokinetiikassa. Erityinen annossuositus </w:t>
      </w:r>
      <w:r w:rsidRPr="00207324">
        <w:rPr>
          <w:color w:val="000000"/>
          <w:szCs w:val="22"/>
          <w:lang w:val="fi-FI"/>
        </w:rPr>
        <w:t xml:space="preserve">iäkkäille henkilöille </w:t>
      </w:r>
      <w:r w:rsidR="00B3746F" w:rsidRPr="00912A5D">
        <w:rPr>
          <w:color w:val="000000"/>
          <w:szCs w:val="22"/>
          <w:lang w:val="fi-FI"/>
        </w:rPr>
        <w:t>ei ole tarpeen.</w:t>
      </w:r>
    </w:p>
    <w:p w14:paraId="586FC5B2" w14:textId="77777777" w:rsidR="00B3746F" w:rsidRPr="00912A5D" w:rsidRDefault="00B3746F" w:rsidP="00B3746F">
      <w:pPr>
        <w:pStyle w:val="EndnoteText"/>
        <w:widowControl w:val="0"/>
        <w:tabs>
          <w:tab w:val="clear" w:pos="567"/>
        </w:tabs>
        <w:rPr>
          <w:color w:val="000000"/>
          <w:szCs w:val="22"/>
          <w:lang w:val="fi-FI"/>
        </w:rPr>
      </w:pPr>
    </w:p>
    <w:p w14:paraId="586FC5B3" w14:textId="77777777" w:rsidR="00311DC5" w:rsidRPr="00912A5D" w:rsidRDefault="00311DC5" w:rsidP="00F71263">
      <w:pPr>
        <w:keepNext/>
        <w:widowControl w:val="0"/>
        <w:suppressAutoHyphens/>
        <w:ind w:left="567" w:hanging="567"/>
        <w:rPr>
          <w:rFonts w:ascii="Times New Roman" w:hAnsi="Times New Roman"/>
          <w:b/>
          <w:sz w:val="22"/>
          <w:szCs w:val="22"/>
        </w:rPr>
      </w:pPr>
      <w:r w:rsidRPr="00912A5D">
        <w:rPr>
          <w:rFonts w:ascii="Times New Roman" w:hAnsi="Times New Roman"/>
          <w:b/>
          <w:sz w:val="22"/>
          <w:szCs w:val="22"/>
        </w:rPr>
        <w:t>4.3</w:t>
      </w:r>
      <w:r w:rsidRPr="00912A5D">
        <w:rPr>
          <w:rFonts w:ascii="Times New Roman" w:hAnsi="Times New Roman"/>
          <w:b/>
          <w:sz w:val="22"/>
          <w:szCs w:val="22"/>
        </w:rPr>
        <w:tab/>
        <w:t>Vasta-aiheet</w:t>
      </w:r>
    </w:p>
    <w:p w14:paraId="586FC5B4" w14:textId="77777777" w:rsidR="00311DC5" w:rsidRPr="00912A5D" w:rsidRDefault="00311DC5" w:rsidP="00F71263">
      <w:pPr>
        <w:pStyle w:val="EndnoteText"/>
        <w:keepNext/>
        <w:widowControl w:val="0"/>
        <w:tabs>
          <w:tab w:val="clear" w:pos="567"/>
        </w:tabs>
        <w:rPr>
          <w:color w:val="000000"/>
          <w:szCs w:val="22"/>
          <w:lang w:val="fi-FI"/>
        </w:rPr>
      </w:pPr>
    </w:p>
    <w:p w14:paraId="586FC5B5"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Yliherkkyys vaikuttavalle aineelle tai </w:t>
      </w:r>
      <w:r w:rsidRPr="00987B46">
        <w:rPr>
          <w:noProof/>
          <w:szCs w:val="24"/>
          <w:lang w:val="fi-FI"/>
        </w:rPr>
        <w:t xml:space="preserve">kohdassa 6.1 mainituille </w:t>
      </w:r>
      <w:r w:rsidRPr="00912A5D">
        <w:rPr>
          <w:color w:val="000000"/>
          <w:szCs w:val="22"/>
          <w:lang w:val="fi-FI"/>
        </w:rPr>
        <w:t>apuaineille.</w:t>
      </w:r>
    </w:p>
    <w:p w14:paraId="586FC5B6" w14:textId="77777777" w:rsidR="00311DC5" w:rsidRPr="00912A5D" w:rsidRDefault="00311DC5" w:rsidP="00311DC5">
      <w:pPr>
        <w:pStyle w:val="EndnoteText"/>
        <w:widowControl w:val="0"/>
        <w:tabs>
          <w:tab w:val="clear" w:pos="567"/>
        </w:tabs>
        <w:rPr>
          <w:color w:val="000000"/>
          <w:szCs w:val="22"/>
          <w:lang w:val="fi-FI"/>
        </w:rPr>
      </w:pPr>
    </w:p>
    <w:p w14:paraId="586FC5B7" w14:textId="77777777" w:rsidR="00311DC5" w:rsidRPr="00912A5D" w:rsidRDefault="00311DC5"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lastRenderedPageBreak/>
        <w:t>4.4</w:t>
      </w:r>
      <w:r w:rsidRPr="00912A5D">
        <w:rPr>
          <w:rFonts w:ascii="Times New Roman" w:hAnsi="Times New Roman"/>
          <w:b/>
          <w:sz w:val="22"/>
          <w:szCs w:val="22"/>
        </w:rPr>
        <w:tab/>
        <w:t>Varoitukset ja käyttöön liittyvät varotoimet</w:t>
      </w:r>
    </w:p>
    <w:p w14:paraId="586FC5B8" w14:textId="77777777" w:rsidR="00311DC5" w:rsidRPr="00912A5D" w:rsidRDefault="00311DC5" w:rsidP="00F71263">
      <w:pPr>
        <w:pStyle w:val="EndnoteText"/>
        <w:keepNext/>
        <w:widowControl w:val="0"/>
        <w:tabs>
          <w:tab w:val="clear" w:pos="567"/>
        </w:tabs>
        <w:rPr>
          <w:color w:val="000000"/>
          <w:szCs w:val="22"/>
          <w:lang w:val="fi-FI"/>
        </w:rPr>
      </w:pPr>
    </w:p>
    <w:p w14:paraId="586FC5B9" w14:textId="77777777" w:rsidR="00311DC5" w:rsidRDefault="00311DC5" w:rsidP="00311DC5">
      <w:pPr>
        <w:pStyle w:val="EndnoteText"/>
        <w:widowControl w:val="0"/>
        <w:tabs>
          <w:tab w:val="clear" w:pos="567"/>
        </w:tabs>
        <w:rPr>
          <w:lang w:val="fi-FI"/>
        </w:rPr>
      </w:pPr>
      <w:r w:rsidRPr="00912A5D">
        <w:rPr>
          <w:color w:val="000000"/>
          <w:szCs w:val="22"/>
          <w:lang w:val="fi-FI"/>
        </w:rPr>
        <w:t>Yhteisvaikutuksia voi esiintyä annettaessa Gliveciä yhdessä muiden lääkkeiden kanssa.</w:t>
      </w:r>
      <w:r>
        <w:rPr>
          <w:lang w:val="fi-FI"/>
        </w:rPr>
        <w:t xml:space="preserve"> Varovaisuutta on noudatettava, kun Glivec-valmisteen kanssa käytetään samanaikaisesti proteaasin estäjiä, atsoliryhmään kuuluvia sienilääkkeitä, tiettyjä makrolidiantibiootteja (ks. kohta 4.5), CYP3A4-substraatteja, joilla on pieni terapeuttinen leveys (esim. siklosporiini, pimotsidi, takrolimuusi, sirolimuusi, ergotamiini, diergotamiini, fentanyyli, alfentaniili, terfenadiini, bortetsomibi, dosetakseli, kinidiini), tai varfariinia ja muita kumariinijohdoksia (ks. kohta 4.5).</w:t>
      </w:r>
    </w:p>
    <w:p w14:paraId="586FC5BA" w14:textId="77777777" w:rsidR="00311DC5" w:rsidRPr="00912A5D" w:rsidRDefault="00311DC5" w:rsidP="00311DC5">
      <w:pPr>
        <w:pStyle w:val="EndnoteText"/>
        <w:widowControl w:val="0"/>
        <w:tabs>
          <w:tab w:val="clear" w:pos="567"/>
        </w:tabs>
        <w:rPr>
          <w:color w:val="000000"/>
          <w:szCs w:val="22"/>
          <w:lang w:val="fi-FI"/>
        </w:rPr>
      </w:pPr>
    </w:p>
    <w:p w14:paraId="586FC5BB"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Imatinibin käyttö samanaikaisesti CYP3A4 indusoivien lääkkeiden (esim. deksametasonin, fenytoiinin, karbamatsepiinin, rifampisiinin, fenobarbitaalin tai mäkikuisman (</w:t>
      </w:r>
      <w:r w:rsidRPr="00912A5D">
        <w:rPr>
          <w:i/>
          <w:color w:val="000000"/>
          <w:szCs w:val="22"/>
          <w:lang w:val="fi-FI"/>
        </w:rPr>
        <w:t>Hypericum perforatum</w:t>
      </w:r>
      <w:r w:rsidRPr="00912A5D">
        <w:rPr>
          <w:color w:val="000000"/>
          <w:szCs w:val="22"/>
          <w:lang w:val="fi-FI"/>
        </w:rPr>
        <w:t>)) kanssa saattaa vähentää merkitsevästi Glivec-altistusta, mahdollisesti lisäten hoidon epäonnistumisen riskiä. Siksi voimakkaiden CYP3A4-indusoijien ja imatinibin yhteiskäyttöä tulee välttää (ks. kohta 4.5).</w:t>
      </w:r>
    </w:p>
    <w:p w14:paraId="586FC5BC" w14:textId="77777777" w:rsidR="00311DC5" w:rsidRPr="00912A5D" w:rsidRDefault="00311DC5" w:rsidP="00311DC5">
      <w:pPr>
        <w:pStyle w:val="EndnoteText"/>
        <w:widowControl w:val="0"/>
        <w:tabs>
          <w:tab w:val="clear" w:pos="567"/>
        </w:tabs>
        <w:rPr>
          <w:color w:val="000000"/>
          <w:szCs w:val="22"/>
          <w:lang w:val="fi-FI"/>
        </w:rPr>
      </w:pPr>
    </w:p>
    <w:p w14:paraId="586FC5BD" w14:textId="77777777" w:rsidR="00311DC5" w:rsidRPr="00987B46" w:rsidRDefault="00311DC5" w:rsidP="00F71263">
      <w:pPr>
        <w:pStyle w:val="EndnoteText"/>
        <w:keepNext/>
        <w:widowControl w:val="0"/>
        <w:tabs>
          <w:tab w:val="clear" w:pos="567"/>
        </w:tabs>
        <w:rPr>
          <w:color w:val="000000"/>
          <w:szCs w:val="22"/>
          <w:u w:val="single"/>
          <w:lang w:val="fi-FI"/>
        </w:rPr>
      </w:pPr>
      <w:r>
        <w:rPr>
          <w:color w:val="000000"/>
          <w:szCs w:val="22"/>
          <w:u w:val="single"/>
          <w:lang w:val="fi-FI"/>
        </w:rPr>
        <w:t>Hypotyreoosi</w:t>
      </w:r>
    </w:p>
    <w:p w14:paraId="586FC5BE"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Potilailla, joiden kilpirauhanen on poistettu ja jotka saavat levotyroksiinikorvaushoitoa, on ilmoitettu kliinistä hypotyreoosia Glivec-hoidon aikana (ks. kohta 4.5). Näiden potilaiden kohdalla </w:t>
      </w:r>
      <w:r>
        <w:rPr>
          <w:color w:val="000000"/>
          <w:szCs w:val="22"/>
          <w:lang w:val="fi-FI"/>
        </w:rPr>
        <w:t>tyreotropiini</w:t>
      </w:r>
      <w:r>
        <w:rPr>
          <w:color w:val="000000"/>
          <w:szCs w:val="22"/>
          <w:lang w:val="fi-FI"/>
        </w:rPr>
        <w:softHyphen/>
        <w:t>arvoja (</w:t>
      </w:r>
      <w:smartTag w:uri="urn:schemas-microsoft-com:office:smarttags" w:element="State">
        <w:r w:rsidRPr="00912A5D">
          <w:rPr>
            <w:color w:val="000000"/>
            <w:szCs w:val="22"/>
            <w:lang w:val="fi-FI"/>
          </w:rPr>
          <w:t>TSH</w:t>
        </w:r>
      </w:smartTag>
      <w:r w:rsidRPr="00912A5D">
        <w:rPr>
          <w:color w:val="000000"/>
          <w:szCs w:val="22"/>
          <w:lang w:val="fi-FI"/>
        </w:rPr>
        <w:t>-arvoja</w:t>
      </w:r>
      <w:r>
        <w:rPr>
          <w:color w:val="000000"/>
          <w:szCs w:val="22"/>
          <w:lang w:val="fi-FI"/>
        </w:rPr>
        <w:t>)</w:t>
      </w:r>
      <w:r w:rsidRPr="00912A5D">
        <w:rPr>
          <w:color w:val="000000"/>
          <w:szCs w:val="22"/>
          <w:lang w:val="fi-FI"/>
        </w:rPr>
        <w:t xml:space="preserve"> on seurattava huolellisesti.</w:t>
      </w:r>
    </w:p>
    <w:p w14:paraId="586FC5BF" w14:textId="77777777" w:rsidR="00311DC5" w:rsidRPr="00912A5D" w:rsidRDefault="00311DC5" w:rsidP="00311DC5">
      <w:pPr>
        <w:pStyle w:val="EndnoteText"/>
        <w:widowControl w:val="0"/>
        <w:tabs>
          <w:tab w:val="clear" w:pos="567"/>
        </w:tabs>
        <w:rPr>
          <w:color w:val="000000"/>
          <w:szCs w:val="22"/>
          <w:lang w:val="fi-FI"/>
        </w:rPr>
      </w:pPr>
    </w:p>
    <w:p w14:paraId="586FC5C0" w14:textId="77777777" w:rsidR="00311DC5" w:rsidRDefault="00311DC5" w:rsidP="00F71263">
      <w:pPr>
        <w:pStyle w:val="EndnoteText"/>
        <w:keepNext/>
        <w:widowControl w:val="0"/>
        <w:tabs>
          <w:tab w:val="clear" w:pos="567"/>
        </w:tabs>
        <w:rPr>
          <w:color w:val="000000"/>
          <w:szCs w:val="22"/>
          <w:u w:val="single"/>
          <w:lang w:val="fi-FI"/>
        </w:rPr>
      </w:pPr>
      <w:r>
        <w:rPr>
          <w:color w:val="000000"/>
          <w:szCs w:val="22"/>
          <w:u w:val="single"/>
          <w:lang w:val="fi-FI"/>
        </w:rPr>
        <w:t>Maksatoksisuus</w:t>
      </w:r>
    </w:p>
    <w:p w14:paraId="586FC5C1"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Glivec metaboloituu pääosin maksassa ja vain 13 % erittyy munuaisten kautta. Potilailla, joilla on maksan vajaatoiminta (lievä, kohtalainen tai vaikea), perifeeristä verenkuvaa ja maksaentsyymejä on seurattava huolellisesti (ks. kohdat 4.2, 4.8 ja 5.2). On huomioitava, että GIST-potilailla saattaa olla maksan metastaaseja, mikä voi johtaa maksan vajaatoimintaan.</w:t>
      </w:r>
    </w:p>
    <w:p w14:paraId="586FC5C2" w14:textId="77777777" w:rsidR="00311DC5" w:rsidRPr="00912A5D" w:rsidRDefault="00311DC5" w:rsidP="00311DC5">
      <w:pPr>
        <w:pStyle w:val="EndnoteText"/>
        <w:widowControl w:val="0"/>
        <w:tabs>
          <w:tab w:val="clear" w:pos="567"/>
        </w:tabs>
        <w:rPr>
          <w:color w:val="000000"/>
          <w:szCs w:val="22"/>
          <w:lang w:val="fi-FI"/>
        </w:rPr>
      </w:pPr>
    </w:p>
    <w:p w14:paraId="586FC5C3"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Imatinibin käytön yhteydessä on raportoitu maksavauriotapauksia mukaan lukien maksan vajaatoiminta ja maksanekroosi. Kun imatinibi yhdistettiin suuriannoksisiin kemoterapiahoitoihin, havaittiin vakavien maksavaikutusten lisääntymistä. Maksan toimintaa tulee seurata huolellisesti, jos imatinibi yhdistetään kemoterapiahoitoihin, joiden tiedetään voivan aiheuttaa maksan toimintahäiriöitä (ks. kohta 4.5 ja 4.8).</w:t>
      </w:r>
    </w:p>
    <w:p w14:paraId="586FC5C4" w14:textId="77777777" w:rsidR="00311DC5" w:rsidRPr="00912A5D" w:rsidRDefault="00311DC5" w:rsidP="00311DC5">
      <w:pPr>
        <w:pStyle w:val="EndnoteText"/>
        <w:widowControl w:val="0"/>
        <w:tabs>
          <w:tab w:val="clear" w:pos="567"/>
        </w:tabs>
        <w:rPr>
          <w:color w:val="000000"/>
          <w:szCs w:val="22"/>
          <w:lang w:val="fi-FI"/>
        </w:rPr>
      </w:pPr>
    </w:p>
    <w:p w14:paraId="586FC5C5" w14:textId="77777777" w:rsidR="00311DC5" w:rsidRDefault="00311DC5" w:rsidP="00F71263">
      <w:pPr>
        <w:pStyle w:val="EndnoteText"/>
        <w:keepNext/>
        <w:widowControl w:val="0"/>
        <w:tabs>
          <w:tab w:val="clear" w:pos="567"/>
        </w:tabs>
        <w:rPr>
          <w:color w:val="000000"/>
          <w:szCs w:val="22"/>
          <w:u w:val="single"/>
          <w:lang w:val="fi-FI"/>
        </w:rPr>
      </w:pPr>
      <w:r>
        <w:rPr>
          <w:color w:val="000000"/>
          <w:szCs w:val="22"/>
          <w:u w:val="single"/>
          <w:lang w:val="fi-FI"/>
        </w:rPr>
        <w:t>Nesteretentio</w:t>
      </w:r>
    </w:p>
    <w:p w14:paraId="586FC5C6"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Vaikeita nestekertymiä (pleuraeffuusio, ödeema, keuhkoödeema, askites, pinnallinen ödeema) on ilmoitettu esiintyneen noin 2,5 %:lla Gliveciä saaneista vasta diagnosoiduista </w:t>
      </w:r>
      <w:smartTag w:uri="urn:schemas-microsoft-com:office:smarttags" w:element="State">
        <w:r w:rsidRPr="00912A5D">
          <w:rPr>
            <w:color w:val="000000"/>
            <w:szCs w:val="22"/>
            <w:lang w:val="fi-FI"/>
          </w:rPr>
          <w:t>KML</w:t>
        </w:r>
      </w:smartTag>
      <w:r w:rsidRPr="00912A5D">
        <w:rPr>
          <w:color w:val="000000"/>
          <w:szCs w:val="22"/>
          <w:lang w:val="fi-FI"/>
        </w:rPr>
        <w:t xml:space="preserve">-potilaista. Siksi potilaiden säännöllistä punnitsemista suositellaan voimakkaasti. Odottamattoman nopean painonnousun syy on selvitettävä tarkasti ja tarvittaessa on ryhdyttävä asianmukaisiin tuki- ja hoitotoimiin. Kliinisissä tutkimuksissa näitä tapahtumia havaittiin useammin </w:t>
      </w:r>
      <w:r>
        <w:rPr>
          <w:color w:val="000000"/>
          <w:szCs w:val="22"/>
          <w:lang w:val="fi-FI"/>
        </w:rPr>
        <w:t>iäkkäillä henkilöillä</w:t>
      </w:r>
      <w:r w:rsidRPr="00912A5D">
        <w:rPr>
          <w:color w:val="000000"/>
          <w:szCs w:val="22"/>
          <w:lang w:val="fi-FI"/>
        </w:rPr>
        <w:t xml:space="preserve"> ja potilailla joilla oli aiemmin ollut sydänsairauksia. Siksi varovaisuutta on noudatettava potilaiden kohdalla, joilla on sydämen toimintahäiriö.</w:t>
      </w:r>
    </w:p>
    <w:p w14:paraId="586FC5C7" w14:textId="77777777" w:rsidR="00311DC5" w:rsidRPr="00912A5D" w:rsidRDefault="00311DC5" w:rsidP="00311DC5">
      <w:pPr>
        <w:pStyle w:val="EndnoteText"/>
        <w:widowControl w:val="0"/>
        <w:tabs>
          <w:tab w:val="clear" w:pos="567"/>
        </w:tabs>
        <w:rPr>
          <w:color w:val="000000"/>
          <w:szCs w:val="22"/>
          <w:lang w:val="fi-FI"/>
        </w:rPr>
      </w:pPr>
    </w:p>
    <w:p w14:paraId="586FC5C8" w14:textId="77777777" w:rsidR="00311DC5" w:rsidRDefault="00311DC5" w:rsidP="00F71263">
      <w:pPr>
        <w:pStyle w:val="EndnoteText"/>
        <w:keepNext/>
        <w:widowControl w:val="0"/>
        <w:tabs>
          <w:tab w:val="clear" w:pos="567"/>
        </w:tabs>
        <w:rPr>
          <w:color w:val="000000"/>
          <w:szCs w:val="22"/>
          <w:u w:val="single"/>
          <w:lang w:val="fi-FI"/>
        </w:rPr>
      </w:pPr>
      <w:r>
        <w:rPr>
          <w:color w:val="000000"/>
          <w:szCs w:val="22"/>
          <w:u w:val="single"/>
          <w:lang w:val="fi-FI"/>
        </w:rPr>
        <w:t>Potilaat, joilla on sydänsairaus</w:t>
      </w:r>
    </w:p>
    <w:p w14:paraId="586FC5C9" w14:textId="77777777" w:rsidR="00311DC5" w:rsidRPr="00912A5D" w:rsidRDefault="00311DC5" w:rsidP="00311DC5">
      <w:pPr>
        <w:pStyle w:val="EndnoteText"/>
        <w:widowControl w:val="0"/>
        <w:tabs>
          <w:tab w:val="clear" w:pos="567"/>
        </w:tabs>
        <w:rPr>
          <w:color w:val="000000"/>
          <w:szCs w:val="22"/>
          <w:lang w:val="fi-FI"/>
        </w:rPr>
      </w:pPr>
      <w:r w:rsidRPr="009425C2">
        <w:rPr>
          <w:color w:val="000000"/>
          <w:szCs w:val="22"/>
          <w:lang w:val="fi-FI"/>
        </w:rPr>
        <w:t xml:space="preserve">Jos potilaalla on jokin sydänsairaus, sydämen vajaatoiminnan riskitekijöitä tai </w:t>
      </w:r>
      <w:r w:rsidRPr="00191264">
        <w:rPr>
          <w:color w:val="000000"/>
          <w:szCs w:val="22"/>
          <w:lang w:val="fi-FI"/>
        </w:rPr>
        <w:t>jos hänellä on aiemmin ollut munuaisten vajaatoiminta</w:t>
      </w:r>
      <w:r w:rsidRPr="00C8174C">
        <w:rPr>
          <w:color w:val="000000"/>
          <w:szCs w:val="22"/>
          <w:lang w:val="fi-FI"/>
        </w:rPr>
        <w:t xml:space="preserve">, häntä tulee seurata huolellisesti. Kaikki potilaat, joille kehittyy sydämen </w:t>
      </w:r>
      <w:r w:rsidRPr="00E97BAE">
        <w:rPr>
          <w:color w:val="000000"/>
          <w:szCs w:val="22"/>
          <w:lang w:val="fi-FI"/>
        </w:rPr>
        <w:t>tai munuaisten vajaatoimintaan viittaavia merkkejä tai oireita, tulee arvioida ja hoitaa.</w:t>
      </w:r>
    </w:p>
    <w:p w14:paraId="586FC5CA" w14:textId="77777777" w:rsidR="00311DC5" w:rsidRPr="00912A5D" w:rsidRDefault="00311DC5" w:rsidP="00311DC5">
      <w:pPr>
        <w:pStyle w:val="EndnoteText"/>
        <w:widowControl w:val="0"/>
        <w:tabs>
          <w:tab w:val="clear" w:pos="567"/>
        </w:tabs>
        <w:rPr>
          <w:color w:val="000000"/>
          <w:szCs w:val="22"/>
          <w:lang w:val="fi-FI"/>
        </w:rPr>
      </w:pPr>
    </w:p>
    <w:p w14:paraId="586FC5CB" w14:textId="77777777" w:rsidR="00311DC5" w:rsidRDefault="00311DC5" w:rsidP="00311DC5">
      <w:pPr>
        <w:pStyle w:val="Text"/>
        <w:spacing w:before="0"/>
        <w:jc w:val="left"/>
        <w:rPr>
          <w:snapToGrid w:val="0"/>
          <w:color w:val="000000"/>
          <w:sz w:val="22"/>
          <w:szCs w:val="22"/>
          <w:lang w:val="fi-FI" w:eastAsia="de-DE"/>
        </w:rPr>
      </w:pPr>
      <w:r w:rsidRPr="00912A5D">
        <w:rPr>
          <w:color w:val="000000"/>
          <w:sz w:val="22"/>
          <w:szCs w:val="22"/>
          <w:lang w:val="fi-FI"/>
        </w:rPr>
        <w:t>Potilailla, joi</w:t>
      </w:r>
      <w:r>
        <w:rPr>
          <w:color w:val="000000"/>
          <w:sz w:val="22"/>
          <w:szCs w:val="22"/>
          <w:lang w:val="fi-FI"/>
        </w:rPr>
        <w:t>lla on</w:t>
      </w:r>
      <w:r w:rsidRPr="00912A5D">
        <w:rPr>
          <w:color w:val="000000"/>
          <w:sz w:val="22"/>
          <w:szCs w:val="22"/>
          <w:lang w:val="fi-FI"/>
        </w:rPr>
        <w:t xml:space="preserve"> hypereosinofiilinen oireyhtymä</w:t>
      </w:r>
      <w:r>
        <w:rPr>
          <w:color w:val="000000"/>
          <w:sz w:val="22"/>
          <w:szCs w:val="22"/>
          <w:lang w:val="fi-FI"/>
        </w:rPr>
        <w:t xml:space="preserve"> (HES), jossa esiintyy HES-solujen piilevää infiltraatiota sydänlihakseen</w:t>
      </w:r>
      <w:r w:rsidRPr="00912A5D">
        <w:rPr>
          <w:color w:val="000000"/>
          <w:sz w:val="22"/>
          <w:szCs w:val="22"/>
          <w:lang w:val="fi-FI"/>
        </w:rPr>
        <w:t xml:space="preserve">, </w:t>
      </w:r>
      <w:r>
        <w:rPr>
          <w:color w:val="000000"/>
          <w:sz w:val="22"/>
          <w:szCs w:val="22"/>
          <w:lang w:val="fi-FI"/>
        </w:rPr>
        <w:t xml:space="preserve">on </w:t>
      </w:r>
      <w:r w:rsidRPr="00912A5D">
        <w:rPr>
          <w:color w:val="000000"/>
          <w:sz w:val="22"/>
          <w:szCs w:val="22"/>
          <w:lang w:val="fi-FI"/>
        </w:rPr>
        <w:t xml:space="preserve">imatinibihoidon aloittamisen </w:t>
      </w:r>
      <w:r>
        <w:rPr>
          <w:color w:val="000000"/>
          <w:sz w:val="22"/>
          <w:szCs w:val="22"/>
          <w:lang w:val="fi-FI"/>
        </w:rPr>
        <w:t xml:space="preserve">jälkeiseen HES-solujen degranulaatioon </w:t>
      </w:r>
      <w:r w:rsidRPr="00912A5D">
        <w:rPr>
          <w:color w:val="000000"/>
          <w:sz w:val="22"/>
          <w:szCs w:val="22"/>
          <w:lang w:val="fi-FI"/>
        </w:rPr>
        <w:t>liittynyt yksittäistapauksina kardiogeenista sokkia ja vasemman kammion toimintahäiriöitä. Tapaukset ovat olleet ohimeneviä, kun potilaille on annettu systeemisiä steroideja, verenkiertoa on tuettu ja imatinibihoito on väliaikaisesti keskeytetty. Imatinibihoidon yhteydessä on toisinaan ilmoitettu sydämeen kohdistuvia haittatapahtumia, joten imatinibihoidon hyötyjä ja riskejä tulee punnita huolellisesti ennen hoidon aloittamista, jos potilaalla on hypereosinofiilinen oireyhtymä/krooninen eosinofiilinen leukemia.</w:t>
      </w:r>
    </w:p>
    <w:p w14:paraId="586FC5CC" w14:textId="77777777" w:rsidR="00311DC5" w:rsidRDefault="00311DC5" w:rsidP="00311DC5">
      <w:pPr>
        <w:pStyle w:val="Text"/>
        <w:spacing w:before="0"/>
        <w:jc w:val="left"/>
        <w:rPr>
          <w:snapToGrid w:val="0"/>
          <w:color w:val="000000"/>
          <w:sz w:val="22"/>
          <w:szCs w:val="22"/>
          <w:lang w:val="fi-FI" w:eastAsia="de-DE"/>
        </w:rPr>
      </w:pPr>
    </w:p>
    <w:p w14:paraId="586FC5CD" w14:textId="77777777" w:rsidR="00311DC5" w:rsidRPr="00912A5D" w:rsidRDefault="00311DC5" w:rsidP="00311DC5">
      <w:pPr>
        <w:pStyle w:val="Text"/>
        <w:spacing w:before="0"/>
        <w:jc w:val="left"/>
        <w:rPr>
          <w:color w:val="000000"/>
          <w:sz w:val="22"/>
          <w:szCs w:val="22"/>
          <w:lang w:val="fi-FI"/>
        </w:rPr>
      </w:pPr>
      <w:r w:rsidRPr="00912A5D">
        <w:rPr>
          <w:color w:val="000000"/>
          <w:sz w:val="22"/>
          <w:szCs w:val="22"/>
          <w:lang w:val="fi-FI"/>
        </w:rPr>
        <w:t xml:space="preserve">Myelodysplastisen oireyhtymän ja myeloproliferatiivisten sairauksien </w:t>
      </w:r>
      <w:r w:rsidRPr="00912A5D">
        <w:rPr>
          <w:snapToGrid w:val="0"/>
          <w:color w:val="000000"/>
          <w:sz w:val="22"/>
          <w:szCs w:val="22"/>
          <w:lang w:val="fi-FI" w:eastAsia="de-DE"/>
        </w:rPr>
        <w:t>ja PDGFR-geenin uudelleenjärjestäytymisen yhteydessä voi esiintyä korkeita eosinofiiliarvoja.</w:t>
      </w:r>
      <w:r w:rsidRPr="00912A5D">
        <w:rPr>
          <w:color w:val="000000"/>
          <w:sz w:val="22"/>
          <w:szCs w:val="22"/>
          <w:lang w:val="fi-FI"/>
        </w:rPr>
        <w:t xml:space="preserve"> Potilaille, joilla on </w:t>
      </w:r>
      <w:r w:rsidRPr="00912A5D">
        <w:rPr>
          <w:color w:val="000000"/>
          <w:sz w:val="22"/>
          <w:szCs w:val="22"/>
          <w:lang w:val="fi-FI"/>
        </w:rPr>
        <w:lastRenderedPageBreak/>
        <w:t>hypereosinofiilinen oireyhtymä/krooninen eosinofiilinen leukemia, ja potilaille, joilla on myelodysplastinen oireyhtymä/myeloproliferatiivinen sairaus ja korkeat eosinofiiliarvot, tulee harkita kardiologin tutkimusta, sydämen ultraäänitutkimusta ja seerumin troponiinin määritystä ennen imatinibihoidon aloittamista. Jos tutkimustuloksissa on poikkeavuuksia, kardiologin on ehkä syytä seurata potilaan tilaa, ja systeemisten steroidien antamista estohoitona (1</w:t>
      </w:r>
      <w:r w:rsidRPr="00912A5D">
        <w:rPr>
          <w:color w:val="000000"/>
          <w:sz w:val="22"/>
          <w:szCs w:val="22"/>
          <w:lang w:val="fi-FI"/>
        </w:rPr>
        <w:noBreakHyphen/>
        <w:t>2 mg/kg) samanaikaisesti imatinibin kanssa ensimmäisten 1–2 viikon ajan tulee harkita.</w:t>
      </w:r>
    </w:p>
    <w:p w14:paraId="586FC5CE" w14:textId="77777777" w:rsidR="00311DC5" w:rsidRPr="00912A5D" w:rsidRDefault="00311DC5" w:rsidP="00311DC5">
      <w:pPr>
        <w:pStyle w:val="EndnoteText"/>
        <w:widowControl w:val="0"/>
        <w:tabs>
          <w:tab w:val="clear" w:pos="567"/>
        </w:tabs>
        <w:rPr>
          <w:color w:val="000000"/>
          <w:szCs w:val="22"/>
          <w:lang w:val="fi-FI"/>
        </w:rPr>
      </w:pPr>
    </w:p>
    <w:p w14:paraId="586FC5CF" w14:textId="77777777" w:rsidR="00311DC5" w:rsidRDefault="00311DC5" w:rsidP="00F71263">
      <w:pPr>
        <w:pStyle w:val="EndnoteText"/>
        <w:keepNext/>
        <w:widowControl w:val="0"/>
        <w:tabs>
          <w:tab w:val="clear" w:pos="567"/>
        </w:tabs>
        <w:rPr>
          <w:color w:val="000000"/>
          <w:szCs w:val="22"/>
          <w:u w:val="single"/>
          <w:lang w:val="fi-FI"/>
        </w:rPr>
      </w:pPr>
      <w:r>
        <w:rPr>
          <w:color w:val="000000"/>
          <w:szCs w:val="22"/>
          <w:u w:val="single"/>
          <w:lang w:val="fi-FI"/>
        </w:rPr>
        <w:t>Ruuansulatuskanavan verenvuoto</w:t>
      </w:r>
    </w:p>
    <w:p w14:paraId="586FC5D0" w14:textId="77777777" w:rsidR="00311DC5" w:rsidRDefault="00311DC5" w:rsidP="00311DC5">
      <w:pPr>
        <w:pStyle w:val="EndnoteText"/>
        <w:widowControl w:val="0"/>
        <w:tabs>
          <w:tab w:val="clear" w:pos="567"/>
        </w:tabs>
        <w:rPr>
          <w:color w:val="000000"/>
          <w:szCs w:val="22"/>
          <w:lang w:val="fi-FI"/>
        </w:rPr>
      </w:pPr>
      <w:r w:rsidRPr="00912A5D">
        <w:rPr>
          <w:color w:val="000000"/>
          <w:szCs w:val="22"/>
          <w:lang w:val="fi-FI"/>
        </w:rPr>
        <w:t>GIST-tutkimuksessa</w:t>
      </w:r>
      <w:r w:rsidRPr="00E15938">
        <w:rPr>
          <w:szCs w:val="22"/>
          <w:lang w:val="fi-FI"/>
        </w:rPr>
        <w:t>, kun potilaiden kasvainta ei voida leikata ja/tai kun kasvain on metastasoitunut</w:t>
      </w:r>
      <w:r>
        <w:rPr>
          <w:szCs w:val="22"/>
          <w:lang w:val="fi-FI"/>
        </w:rPr>
        <w:t>,</w:t>
      </w:r>
      <w:r w:rsidRPr="00912A5D">
        <w:rPr>
          <w:color w:val="000000"/>
          <w:szCs w:val="22"/>
          <w:lang w:val="fi-FI"/>
        </w:rPr>
        <w:t xml:space="preserve"> raportoitiin sekä ruuansulatuskanavan verenvuotoa että verenvuotoja kasvaimien alueella (ks. kohta 4.8). Käytettävissä olevan tiedon perusteella ei ole tunnistettu altistavia tekijöitä (kuten kasvaimen koko, sijainti tai häiriö hyytymistekijöissä), jotka lisäisivät GIST-potilaan riskiä saada kummankaan tyyppinen verenvuoto. Koska lisääntynyt verisuonitus ja taipumus verenvuotoon kuuluu osana GIST-tautiin, on verenvuodot pyrittävä tavanomaisia tutkimus- ja hoitomenetelmiä käyttäen havaitsemaan ja hoitamaan kaikilla potilailla.</w:t>
      </w:r>
    </w:p>
    <w:p w14:paraId="586FC5D1" w14:textId="77777777" w:rsidR="001505D2" w:rsidRDefault="001505D2" w:rsidP="00311DC5">
      <w:pPr>
        <w:pStyle w:val="EndnoteText"/>
        <w:widowControl w:val="0"/>
        <w:tabs>
          <w:tab w:val="clear" w:pos="567"/>
        </w:tabs>
        <w:rPr>
          <w:color w:val="000000"/>
          <w:szCs w:val="22"/>
          <w:lang w:val="fi-FI"/>
        </w:rPr>
      </w:pPr>
    </w:p>
    <w:p w14:paraId="586FC5D2" w14:textId="77777777" w:rsidR="001505D2" w:rsidRDefault="001505D2" w:rsidP="001505D2">
      <w:pPr>
        <w:pStyle w:val="EndnoteText"/>
        <w:widowControl w:val="0"/>
        <w:tabs>
          <w:tab w:val="clear" w:pos="567"/>
        </w:tabs>
        <w:rPr>
          <w:color w:val="000000"/>
          <w:szCs w:val="22"/>
          <w:lang w:val="fi-FI"/>
        </w:rPr>
      </w:pPr>
      <w:r>
        <w:rPr>
          <w:color w:val="000000"/>
          <w:szCs w:val="22"/>
          <w:lang w:val="fi-FI"/>
        </w:rPr>
        <w:t>Markkinoille tulon jälkeisessä käytössä KML-, ALL- sekä muilla potilailla on raportoitu lisäksi mahalaukun antraalista</w:t>
      </w:r>
      <w:r w:rsidRPr="00D61C3C">
        <w:rPr>
          <w:color w:val="000000"/>
          <w:szCs w:val="22"/>
          <w:lang w:val="fi-FI"/>
        </w:rPr>
        <w:t xml:space="preserve"> vaskulaari</w:t>
      </w:r>
      <w:r>
        <w:rPr>
          <w:color w:val="000000"/>
          <w:szCs w:val="22"/>
          <w:lang w:val="fi-FI"/>
        </w:rPr>
        <w:t>sta</w:t>
      </w:r>
      <w:r w:rsidRPr="00D61C3C">
        <w:rPr>
          <w:color w:val="000000"/>
          <w:szCs w:val="22"/>
          <w:lang w:val="fi-FI"/>
        </w:rPr>
        <w:t xml:space="preserve"> ektasia</w:t>
      </w:r>
      <w:r>
        <w:rPr>
          <w:color w:val="000000"/>
          <w:szCs w:val="22"/>
          <w:lang w:val="fi-FI"/>
        </w:rPr>
        <w:t xml:space="preserve">a, joka on ruuansulatuskanavan verenvuodon harvinainen </w:t>
      </w:r>
      <w:r w:rsidRPr="000F7ACB">
        <w:rPr>
          <w:color w:val="000000"/>
          <w:szCs w:val="22"/>
          <w:lang w:val="fi-FI"/>
        </w:rPr>
        <w:t xml:space="preserve">aiheuttaja </w:t>
      </w:r>
      <w:r>
        <w:rPr>
          <w:color w:val="000000"/>
          <w:szCs w:val="22"/>
          <w:lang w:val="fi-FI"/>
        </w:rPr>
        <w:t>(ks. kohta 4.8). Tarvittaessa voidaan harkita Glivec-hoidon keskeyttämistä.</w:t>
      </w:r>
    </w:p>
    <w:p w14:paraId="586FC5D3" w14:textId="77777777" w:rsidR="00311DC5" w:rsidRDefault="00311DC5" w:rsidP="00311DC5">
      <w:pPr>
        <w:pStyle w:val="EndnoteText"/>
        <w:widowControl w:val="0"/>
        <w:tabs>
          <w:tab w:val="clear" w:pos="567"/>
        </w:tabs>
        <w:rPr>
          <w:color w:val="000000"/>
          <w:szCs w:val="22"/>
          <w:lang w:val="fi-FI"/>
        </w:rPr>
      </w:pPr>
    </w:p>
    <w:p w14:paraId="586FC5D4" w14:textId="77777777" w:rsidR="00311DC5" w:rsidRPr="005A54FA" w:rsidRDefault="00311DC5" w:rsidP="00F71263">
      <w:pPr>
        <w:pStyle w:val="EndnoteText"/>
        <w:keepNext/>
        <w:widowControl w:val="0"/>
        <w:tabs>
          <w:tab w:val="clear" w:pos="567"/>
        </w:tabs>
        <w:rPr>
          <w:color w:val="000000"/>
          <w:szCs w:val="22"/>
          <w:u w:val="single"/>
          <w:lang w:val="fi-FI"/>
        </w:rPr>
      </w:pPr>
      <w:r>
        <w:rPr>
          <w:color w:val="000000"/>
          <w:szCs w:val="22"/>
          <w:u w:val="single"/>
          <w:lang w:val="fi-FI"/>
        </w:rPr>
        <w:t>Tuumorilyysisyndrooma</w:t>
      </w:r>
    </w:p>
    <w:p w14:paraId="586FC5D5" w14:textId="77777777" w:rsidR="00311DC5" w:rsidRDefault="00311DC5" w:rsidP="00311DC5">
      <w:pPr>
        <w:pStyle w:val="EndnoteText"/>
        <w:widowControl w:val="0"/>
        <w:tabs>
          <w:tab w:val="clear" w:pos="567"/>
        </w:tabs>
        <w:rPr>
          <w:color w:val="000000"/>
          <w:szCs w:val="22"/>
          <w:lang w:val="fi-FI"/>
        </w:rPr>
      </w:pPr>
      <w:r>
        <w:rPr>
          <w:color w:val="000000"/>
          <w:szCs w:val="22"/>
          <w:lang w:val="fi-FI"/>
        </w:rPr>
        <w:t>Kliinisesti merkittävän nestehukan korjaaminen ja korkeiden virtsahappotasojen alentaminen on suositeltavaa ennen Glivec-hoidon aloittamista mahdollisen tuumorilyysisyndrooman (TLS) ilmenemisen vuoksi (ks. kohta 4.8).</w:t>
      </w:r>
    </w:p>
    <w:p w14:paraId="586FC5D6" w14:textId="77777777" w:rsidR="0049753D" w:rsidRPr="00912A5D" w:rsidRDefault="0049753D" w:rsidP="00311DC5">
      <w:pPr>
        <w:pStyle w:val="EndnoteText"/>
        <w:widowControl w:val="0"/>
        <w:tabs>
          <w:tab w:val="clear" w:pos="567"/>
        </w:tabs>
        <w:rPr>
          <w:color w:val="000000"/>
          <w:szCs w:val="22"/>
          <w:lang w:val="fi-FI"/>
        </w:rPr>
      </w:pPr>
    </w:p>
    <w:p w14:paraId="586FC5D7" w14:textId="77777777" w:rsidR="0049753D" w:rsidRPr="009F60C1" w:rsidRDefault="0049753D" w:rsidP="00F820AB">
      <w:pPr>
        <w:pStyle w:val="EndnoteText"/>
        <w:keepNext/>
        <w:widowControl w:val="0"/>
        <w:rPr>
          <w:color w:val="000000"/>
          <w:szCs w:val="22"/>
          <w:u w:val="single"/>
          <w:lang w:val="fi-FI"/>
        </w:rPr>
      </w:pPr>
      <w:r w:rsidRPr="009F60C1">
        <w:rPr>
          <w:color w:val="000000"/>
          <w:szCs w:val="22"/>
          <w:u w:val="single"/>
          <w:lang w:val="fi-FI"/>
        </w:rPr>
        <w:t>Hepatiitti B:n uudelleen aktivoituminen</w:t>
      </w:r>
    </w:p>
    <w:p w14:paraId="586FC5D8" w14:textId="77777777" w:rsidR="0049753D" w:rsidRPr="007B7FAA" w:rsidRDefault="0049753D" w:rsidP="0049753D">
      <w:pPr>
        <w:pStyle w:val="EndnoteText"/>
        <w:widowControl w:val="0"/>
        <w:rPr>
          <w:color w:val="000000"/>
          <w:szCs w:val="22"/>
          <w:lang w:val="fi-FI"/>
        </w:rPr>
      </w:pPr>
      <w:r w:rsidRPr="007B7FAA">
        <w:rPr>
          <w:color w:val="000000"/>
          <w:szCs w:val="22"/>
          <w:lang w:val="fi-FI"/>
        </w:rPr>
        <w:t>Hepatiitti B:n uudelleen aktivoitumista on tapahtunut kyseisen viruksen pysyvillä kantajilla sen jälkeen, kun potilas on saanut BCR-ABL-tyrosiinikinaasin estäjiä. Tämä aiheutti joissakin tapauksissa maksan vajaatoimintaa tai fulminanttia hepatiittia, joka johti maksansiirtoon tai kuolemaan.</w:t>
      </w:r>
    </w:p>
    <w:p w14:paraId="586FC5D9" w14:textId="77777777" w:rsidR="003663BA" w:rsidRDefault="003663BA" w:rsidP="0049753D">
      <w:pPr>
        <w:pStyle w:val="EndnoteText"/>
        <w:widowControl w:val="0"/>
        <w:tabs>
          <w:tab w:val="clear" w:pos="567"/>
        </w:tabs>
        <w:rPr>
          <w:color w:val="000000"/>
          <w:szCs w:val="22"/>
          <w:lang w:val="fi-FI"/>
        </w:rPr>
      </w:pPr>
    </w:p>
    <w:p w14:paraId="586FC5DA" w14:textId="77777777" w:rsidR="0049753D" w:rsidRPr="0049753D" w:rsidRDefault="0049753D" w:rsidP="0049753D">
      <w:pPr>
        <w:pStyle w:val="EndnoteText"/>
        <w:widowControl w:val="0"/>
        <w:tabs>
          <w:tab w:val="clear" w:pos="567"/>
        </w:tabs>
        <w:rPr>
          <w:color w:val="000000"/>
          <w:szCs w:val="22"/>
          <w:lang w:val="fi-FI"/>
        </w:rPr>
      </w:pPr>
      <w:r w:rsidRPr="007B7FAA">
        <w:rPr>
          <w:color w:val="000000"/>
          <w:szCs w:val="22"/>
          <w:lang w:val="fi-FI"/>
        </w:rPr>
        <w:t xml:space="preserve">Potilaat on testattava hepatiitti B -viruksen varalta ennen </w:t>
      </w:r>
      <w:r>
        <w:rPr>
          <w:color w:val="000000"/>
          <w:szCs w:val="22"/>
          <w:lang w:val="fi-FI"/>
        </w:rPr>
        <w:t>Glivec</w:t>
      </w:r>
      <w:r w:rsidRPr="007B7FAA">
        <w:rPr>
          <w:color w:val="000000"/>
          <w:szCs w:val="22"/>
          <w:lang w:val="fi-FI"/>
        </w:rPr>
        <w:t xml:space="preserve"> -hoidon aloittamista. Maksasairauksien ja hepatiitti B:n hoitoon perehtyneitä asiantuntijoita on kuultava ennen hoidon aloittamista, jos potilaan hepatiitti B -serologia on positiivinen (mukaan lukien potilaat, joilla sairaus on aktiivinen) ja jos potilas saa positiivisen hepatiitti B -testituloksen hoidon aikana. Hepatiitti B -viruksen kantajia, jotka tarvitsevat </w:t>
      </w:r>
      <w:r>
        <w:rPr>
          <w:color w:val="000000"/>
          <w:szCs w:val="22"/>
          <w:lang w:val="fi-FI"/>
        </w:rPr>
        <w:t>Glivec</w:t>
      </w:r>
      <w:r w:rsidRPr="007B7FAA">
        <w:rPr>
          <w:color w:val="000000"/>
          <w:szCs w:val="22"/>
          <w:lang w:val="fi-FI"/>
        </w:rPr>
        <w:t xml:space="preserve"> -hoitoa, on seurattava tarkasti</w:t>
      </w:r>
      <w:r>
        <w:rPr>
          <w:color w:val="000000"/>
          <w:szCs w:val="22"/>
          <w:lang w:val="fi-FI"/>
        </w:rPr>
        <w:t xml:space="preserve"> </w:t>
      </w:r>
      <w:r w:rsidRPr="007B7FAA">
        <w:rPr>
          <w:color w:val="000000"/>
          <w:szCs w:val="22"/>
          <w:lang w:val="fi-FI"/>
        </w:rPr>
        <w:t>aktiivisen hepatiitti B -virusinfektion oireiden varalta koko hoidon ajan ja useita kuukausia hoidon jälkeen (ks. kohta</w:t>
      </w:r>
      <w:r w:rsidR="003663BA">
        <w:rPr>
          <w:color w:val="000000"/>
          <w:szCs w:val="22"/>
          <w:lang w:val="fi-FI"/>
        </w:rPr>
        <w:t> </w:t>
      </w:r>
      <w:r w:rsidRPr="007B7FAA">
        <w:rPr>
          <w:color w:val="000000"/>
          <w:szCs w:val="22"/>
          <w:lang w:val="fi-FI"/>
        </w:rPr>
        <w:t>4.8).</w:t>
      </w:r>
    </w:p>
    <w:p w14:paraId="586FC5DB" w14:textId="77777777" w:rsidR="007C3CAC" w:rsidRDefault="007C3CAC" w:rsidP="007C3CAC">
      <w:pPr>
        <w:pStyle w:val="EndnoteText"/>
        <w:widowControl w:val="0"/>
        <w:tabs>
          <w:tab w:val="clear" w:pos="567"/>
        </w:tabs>
        <w:rPr>
          <w:color w:val="000000"/>
          <w:szCs w:val="22"/>
          <w:u w:val="single"/>
          <w:lang w:val="fi-FI"/>
        </w:rPr>
      </w:pPr>
    </w:p>
    <w:p w14:paraId="586FC5DC" w14:textId="77777777" w:rsidR="007C3CAC" w:rsidRPr="00CD0F10" w:rsidRDefault="007C3CAC" w:rsidP="00374F8A">
      <w:pPr>
        <w:pStyle w:val="EndnoteText"/>
        <w:keepNext/>
        <w:widowControl w:val="0"/>
        <w:tabs>
          <w:tab w:val="clear" w:pos="567"/>
        </w:tabs>
        <w:rPr>
          <w:color w:val="000000"/>
          <w:szCs w:val="22"/>
          <w:u w:val="single"/>
          <w:lang w:val="fi-FI"/>
        </w:rPr>
      </w:pPr>
      <w:r w:rsidRPr="00CD0F10">
        <w:rPr>
          <w:color w:val="000000"/>
          <w:szCs w:val="22"/>
          <w:u w:val="single"/>
          <w:lang w:val="fi-FI"/>
        </w:rPr>
        <w:t>Fototoksisuus</w:t>
      </w:r>
    </w:p>
    <w:p w14:paraId="586FC5DD" w14:textId="77777777" w:rsidR="007C3CAC" w:rsidRPr="005021D1" w:rsidRDefault="007C3CAC" w:rsidP="007C3CAC">
      <w:pPr>
        <w:pStyle w:val="EndnoteText"/>
        <w:widowControl w:val="0"/>
        <w:tabs>
          <w:tab w:val="clear" w:pos="567"/>
        </w:tabs>
        <w:rPr>
          <w:color w:val="000000"/>
          <w:szCs w:val="22"/>
          <w:lang w:val="fi-FI"/>
        </w:rPr>
      </w:pPr>
      <w:r>
        <w:rPr>
          <w:color w:val="000000"/>
          <w:szCs w:val="22"/>
          <w:lang w:val="fi-FI"/>
        </w:rPr>
        <w:t>Suoraa auringonvaloa on vältettävä tai altistumisen on oltava mahdollisimman vähäistä, sillä imatinibihoitoon liittyy fototoksisuusriski. Potilaita on ohjattava käyttämään suojautumiskeinoja kuten suojaavaa vaatetusta ja aurinkosuojaa, jossa on korkea suojakerroin (SPF).</w:t>
      </w:r>
    </w:p>
    <w:p w14:paraId="586FC5DE" w14:textId="77777777" w:rsidR="00311DC5" w:rsidRDefault="00311DC5" w:rsidP="00311DC5">
      <w:pPr>
        <w:pStyle w:val="EndnoteText"/>
        <w:widowControl w:val="0"/>
        <w:tabs>
          <w:tab w:val="clear" w:pos="567"/>
        </w:tabs>
        <w:rPr>
          <w:color w:val="000000"/>
          <w:szCs w:val="22"/>
          <w:lang w:val="fi-FI"/>
        </w:rPr>
      </w:pPr>
    </w:p>
    <w:p w14:paraId="586FC5DF" w14:textId="77777777" w:rsidR="002B0CBF" w:rsidRPr="00C54CAD" w:rsidRDefault="002B0CBF" w:rsidP="002B0CBF">
      <w:pPr>
        <w:pStyle w:val="EndnoteText"/>
        <w:keepNext/>
        <w:widowControl w:val="0"/>
        <w:tabs>
          <w:tab w:val="clear" w:pos="567"/>
        </w:tabs>
        <w:rPr>
          <w:snapToGrid w:val="0"/>
          <w:color w:val="000000"/>
          <w:szCs w:val="22"/>
          <w:u w:val="single"/>
          <w:lang w:val="fi-FI"/>
        </w:rPr>
      </w:pPr>
      <w:r w:rsidRPr="00C54CAD">
        <w:rPr>
          <w:snapToGrid w:val="0"/>
          <w:color w:val="000000"/>
          <w:szCs w:val="22"/>
          <w:u w:val="single"/>
          <w:lang w:val="fi-FI"/>
        </w:rPr>
        <w:t>Tromboottinen mikroangiopatia</w:t>
      </w:r>
    </w:p>
    <w:p w14:paraId="586FC5E0" w14:textId="77777777" w:rsidR="002B0CBF" w:rsidRPr="00C54CAD" w:rsidRDefault="002B0CBF" w:rsidP="002B0CBF">
      <w:pPr>
        <w:pStyle w:val="EndnoteText"/>
        <w:widowControl w:val="0"/>
        <w:tabs>
          <w:tab w:val="clear" w:pos="567"/>
        </w:tabs>
        <w:rPr>
          <w:strike/>
          <w:color w:val="000000"/>
          <w:szCs w:val="22"/>
          <w:lang w:val="fi-FI"/>
        </w:rPr>
      </w:pPr>
      <w:r w:rsidRPr="00C54CAD">
        <w:rPr>
          <w:color w:val="000000"/>
          <w:szCs w:val="22"/>
          <w:lang w:val="fi-FI"/>
        </w:rPr>
        <w:t xml:space="preserve">BCR-ABL-tyrosiinikinaasin estäjien käyttöön on liittynyt tromboottista mikroangiopatiaa, myös yksittäisiä tapauskertomuksia Glivec-hoidon yhteydessä (ks. kohta 4.8). Jos Glivec-hoitoa saavalla potilaalla havaitaan tromboottiseen mikroangiopatiaan liittyviä laboratorio- tai kliinisiä löydöksiä, hoito on </w:t>
      </w:r>
      <w:r w:rsidR="00C11C5B">
        <w:rPr>
          <w:color w:val="000000"/>
          <w:szCs w:val="22"/>
          <w:lang w:val="fi-FI"/>
        </w:rPr>
        <w:t>keskeytettävä</w:t>
      </w:r>
      <w:r w:rsidRPr="00C54CAD">
        <w:rPr>
          <w:color w:val="000000"/>
          <w:szCs w:val="22"/>
          <w:lang w:val="fi-FI"/>
        </w:rPr>
        <w:t xml:space="preserve"> ja tromboottisesta mikroangiopatiasta on tehtävä perusteellinen arvio, johon sisältyy ADAMTS13-aktiivisuuden ja ADAMTS13-vasta-aineiden määritys. Jos ADAMTS13-vasta-aineet ovat koholla ja ADAMTS13-aktiivisuus on samanaikaisesti alentunut, Glivec-hoitoa ei pidä aloittaa uudelleen.</w:t>
      </w:r>
    </w:p>
    <w:p w14:paraId="586FC5E1" w14:textId="77777777" w:rsidR="002B0CBF" w:rsidRPr="00912A5D" w:rsidRDefault="002B0CBF" w:rsidP="00311DC5">
      <w:pPr>
        <w:pStyle w:val="EndnoteText"/>
        <w:widowControl w:val="0"/>
        <w:tabs>
          <w:tab w:val="clear" w:pos="567"/>
        </w:tabs>
        <w:rPr>
          <w:color w:val="000000"/>
          <w:szCs w:val="22"/>
          <w:lang w:val="fi-FI"/>
        </w:rPr>
      </w:pPr>
    </w:p>
    <w:p w14:paraId="586FC5E2" w14:textId="77777777" w:rsidR="00311DC5" w:rsidRPr="00912A5D" w:rsidRDefault="00311DC5" w:rsidP="001C676D">
      <w:pPr>
        <w:pStyle w:val="EndnoteText"/>
        <w:keepNext/>
        <w:widowControl w:val="0"/>
        <w:tabs>
          <w:tab w:val="clear" w:pos="567"/>
        </w:tabs>
        <w:rPr>
          <w:color w:val="000000"/>
          <w:szCs w:val="22"/>
          <w:lang w:val="fi-FI"/>
        </w:rPr>
      </w:pPr>
      <w:r w:rsidRPr="00912A5D">
        <w:rPr>
          <w:color w:val="000000"/>
          <w:szCs w:val="22"/>
          <w:u w:val="single"/>
          <w:lang w:val="fi-FI"/>
        </w:rPr>
        <w:t>Laboratoriokokeet</w:t>
      </w:r>
    </w:p>
    <w:p w14:paraId="586FC5E3"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Täydellinen verenkuva on määritettävä säännöllisesti Glivec-hoidon aikana. Kroonista myelooista leukemiaa sairastavien potilaiden Glivec-hoitoon on liittynyt neutropeniaa tai trombosytopeniaa. Näiden sytopenioiden esiintyminen liittyy todennäköisesti kuitenkin hoidettavan taudin vaiheeseen, ja ne olivat tavallisempia kroonisen myelooisen leukemian akseleraatiovaihetta tai blastikriisiä sairastavilla kuin kroonista vaihetta sairastavilla potilailla. Glivec-hoito voidaan keskeyttää tai annosta </w:t>
      </w:r>
      <w:r w:rsidRPr="00912A5D">
        <w:rPr>
          <w:color w:val="000000"/>
          <w:szCs w:val="22"/>
          <w:lang w:val="fi-FI"/>
        </w:rPr>
        <w:lastRenderedPageBreak/>
        <w:t>pienentää kohdan 4.2 suositusten mukaan.</w:t>
      </w:r>
    </w:p>
    <w:p w14:paraId="586FC5E4" w14:textId="77777777" w:rsidR="00311DC5" w:rsidRPr="00912A5D" w:rsidRDefault="00311DC5" w:rsidP="00311DC5">
      <w:pPr>
        <w:pStyle w:val="EndnoteText"/>
        <w:widowControl w:val="0"/>
        <w:tabs>
          <w:tab w:val="clear" w:pos="567"/>
        </w:tabs>
        <w:rPr>
          <w:color w:val="000000"/>
          <w:szCs w:val="22"/>
          <w:lang w:val="fi-FI"/>
        </w:rPr>
      </w:pPr>
    </w:p>
    <w:p w14:paraId="586FC5E5"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Glivec-hoitoa saavien potilaiden maksan toimintaa (transaminaasit, bilirubiini, alkalinen fosfataasi) pitää seurata säännöllisesti.</w:t>
      </w:r>
    </w:p>
    <w:p w14:paraId="586FC5E6" w14:textId="77777777" w:rsidR="00311DC5" w:rsidRPr="00912A5D" w:rsidRDefault="00311DC5" w:rsidP="00311DC5">
      <w:pPr>
        <w:pStyle w:val="EndnoteText"/>
        <w:widowControl w:val="0"/>
        <w:tabs>
          <w:tab w:val="clear" w:pos="567"/>
        </w:tabs>
        <w:rPr>
          <w:color w:val="000000"/>
          <w:szCs w:val="22"/>
          <w:lang w:val="fi-FI"/>
        </w:rPr>
      </w:pPr>
    </w:p>
    <w:p w14:paraId="586FC5E7" w14:textId="77777777" w:rsidR="00311DC5" w:rsidRDefault="00311DC5" w:rsidP="00311DC5">
      <w:pPr>
        <w:pStyle w:val="EndnoteText"/>
        <w:widowControl w:val="0"/>
        <w:tabs>
          <w:tab w:val="clear" w:pos="567"/>
        </w:tabs>
        <w:rPr>
          <w:color w:val="000000"/>
          <w:szCs w:val="22"/>
          <w:lang w:val="fi-FI"/>
        </w:rPr>
      </w:pPr>
      <w:r w:rsidRPr="00912A5D">
        <w:rPr>
          <w:color w:val="000000"/>
          <w:szCs w:val="22"/>
          <w:lang w:val="fi-FI"/>
        </w:rPr>
        <w:t>Potilailla, joiden munuaistoiminta on heikentynyt, plasman imatinibialtistus vaikuttaa olevan suurempi kuin potilailla, joiden munuaistoiminta on normaali. Tämä johtuu todennäköisesti siitä, että imatinibia sitovan happaman alfa-1-glykoproteiinin (AGP) pitoisuus munuaisten vajaatoimintapotilaiden plasmassa on kohonnut. Munuaisten vajaatoimintapotilaille tulee antaa pienin mahdollinen aloitusannos. Vaikeaa munuaisten vajaatoimintaa sairastavia potilaita on hoidettava varoen. Annosta voidaan pienentää, jos siedettävyysongelmia ilmenee (ks. kohdat 4.2 ja 5.2).</w:t>
      </w:r>
    </w:p>
    <w:p w14:paraId="586FC5E8" w14:textId="77777777" w:rsidR="00C22B0C" w:rsidRDefault="00C22B0C" w:rsidP="00C22B0C">
      <w:pPr>
        <w:pStyle w:val="EndnoteText"/>
        <w:widowControl w:val="0"/>
        <w:tabs>
          <w:tab w:val="clear" w:pos="567"/>
        </w:tabs>
        <w:rPr>
          <w:color w:val="000000"/>
          <w:szCs w:val="22"/>
          <w:lang w:val="fi-FI"/>
        </w:rPr>
      </w:pPr>
    </w:p>
    <w:p w14:paraId="586FC5E9" w14:textId="77777777" w:rsidR="00C22B0C" w:rsidRDefault="00C22B0C" w:rsidP="00C22B0C">
      <w:pPr>
        <w:pStyle w:val="EndnoteText"/>
        <w:widowControl w:val="0"/>
        <w:tabs>
          <w:tab w:val="clear" w:pos="567"/>
        </w:tabs>
        <w:rPr>
          <w:color w:val="000000"/>
          <w:szCs w:val="22"/>
          <w:lang w:val="fi-FI"/>
        </w:rPr>
      </w:pPr>
      <w:r>
        <w:rPr>
          <w:color w:val="000000"/>
          <w:szCs w:val="22"/>
          <w:lang w:val="fi-FI"/>
        </w:rPr>
        <w:t>Pitkäkestoiseen imatinibihoitoon voi liittyä kliinisesti merkitsevää munuaisten toiminnan heikkenemistä. Tämän vuoksi munuaisten toiminta tulee arvioida ennen imatinibihoidon aloitusta ja sitä tulee seurata tarkasti hoidon aikana, kiinnittäen erityistä huomiota potilaisiin, joilla on munuaisten vajaatoiminnan riskitekijöitä. Jos munuaisten vajaatoimintaa havaitaan, tulee aloittaa tarkoituksenmukainen hoito tavanomaisten hoitokäytäntöjen mukaisesti.</w:t>
      </w:r>
    </w:p>
    <w:p w14:paraId="586FC5EA" w14:textId="77777777" w:rsidR="00311DC5" w:rsidRDefault="00311DC5" w:rsidP="00311DC5">
      <w:pPr>
        <w:pStyle w:val="EndnoteText"/>
        <w:widowControl w:val="0"/>
        <w:tabs>
          <w:tab w:val="clear" w:pos="567"/>
        </w:tabs>
        <w:rPr>
          <w:color w:val="000000"/>
          <w:szCs w:val="22"/>
          <w:lang w:val="fi-FI"/>
        </w:rPr>
      </w:pPr>
    </w:p>
    <w:p w14:paraId="586FC5EB" w14:textId="77777777" w:rsidR="00311DC5" w:rsidRDefault="00311DC5" w:rsidP="00F71263">
      <w:pPr>
        <w:pStyle w:val="EndnoteText"/>
        <w:keepNext/>
        <w:widowControl w:val="0"/>
        <w:tabs>
          <w:tab w:val="clear" w:pos="567"/>
        </w:tabs>
        <w:rPr>
          <w:color w:val="000000"/>
          <w:szCs w:val="22"/>
          <w:lang w:val="fi-FI"/>
        </w:rPr>
      </w:pPr>
      <w:r>
        <w:rPr>
          <w:color w:val="000000"/>
          <w:szCs w:val="22"/>
          <w:u w:val="single"/>
          <w:lang w:val="fi-FI"/>
        </w:rPr>
        <w:t>Pediatriset potilaat</w:t>
      </w:r>
    </w:p>
    <w:p w14:paraId="586FC5EC" w14:textId="77777777" w:rsidR="00311DC5" w:rsidRPr="006D384B" w:rsidRDefault="00311DC5" w:rsidP="00311DC5">
      <w:pPr>
        <w:pStyle w:val="EndnoteText"/>
        <w:widowControl w:val="0"/>
        <w:tabs>
          <w:tab w:val="clear" w:pos="567"/>
        </w:tabs>
        <w:rPr>
          <w:color w:val="000000"/>
          <w:szCs w:val="22"/>
          <w:lang w:val="fi-FI"/>
        </w:rPr>
      </w:pPr>
      <w:r>
        <w:rPr>
          <w:color w:val="000000"/>
          <w:szCs w:val="22"/>
          <w:lang w:val="fi-FI"/>
        </w:rPr>
        <w:t xml:space="preserve">Kasvun hidastumista on ilmoitettu imatinibia saaneilla lapsilla ja nuorilla ennen murrosikää. </w:t>
      </w:r>
      <w:r w:rsidR="005C6E7D" w:rsidRPr="005C6E7D">
        <w:rPr>
          <w:color w:val="000000"/>
          <w:szCs w:val="22"/>
          <w:lang w:val="fi-FI"/>
        </w:rPr>
        <w:t xml:space="preserve">Pediatrisilla KML-potilailla tehdyssä havainnoivassa tutkimuksessa raportoitiin </w:t>
      </w:r>
      <w:r w:rsidR="00A9439E">
        <w:rPr>
          <w:color w:val="000000"/>
          <w:szCs w:val="22"/>
          <w:lang w:val="fi-FI"/>
        </w:rPr>
        <w:t>tilastollisesti</w:t>
      </w:r>
      <w:r w:rsidR="00605B38">
        <w:rPr>
          <w:color w:val="000000"/>
          <w:szCs w:val="22"/>
          <w:lang w:val="fi-FI"/>
        </w:rPr>
        <w:t xml:space="preserve"> merkitsevää</w:t>
      </w:r>
      <w:r w:rsidR="00605B38" w:rsidRPr="005C6E7D">
        <w:rPr>
          <w:color w:val="000000"/>
          <w:szCs w:val="22"/>
          <w:lang w:val="fi-FI"/>
        </w:rPr>
        <w:t xml:space="preserve"> </w:t>
      </w:r>
      <w:r w:rsidR="00A9439E">
        <w:rPr>
          <w:color w:val="000000"/>
          <w:szCs w:val="22"/>
          <w:lang w:val="fi-FI"/>
        </w:rPr>
        <w:t>(mutta kliiniseltä merkitykseltä</w:t>
      </w:r>
      <w:r w:rsidR="00431475">
        <w:rPr>
          <w:color w:val="000000"/>
          <w:szCs w:val="22"/>
          <w:lang w:val="fi-FI"/>
        </w:rPr>
        <w:t>än</w:t>
      </w:r>
      <w:r w:rsidR="00A9439E">
        <w:rPr>
          <w:color w:val="000000"/>
          <w:szCs w:val="22"/>
          <w:lang w:val="fi-FI"/>
        </w:rPr>
        <w:t xml:space="preserve"> epävarmaa) </w:t>
      </w:r>
      <w:r w:rsidR="005C6E7D" w:rsidRPr="005C6E7D">
        <w:rPr>
          <w:color w:val="000000"/>
          <w:szCs w:val="22"/>
          <w:lang w:val="fi-FI"/>
        </w:rPr>
        <w:t>pituuden keskiarvon keskihajontapisteiden laskua 12 ja 24</w:t>
      </w:r>
      <w:r w:rsidR="00CF089C">
        <w:rPr>
          <w:color w:val="000000"/>
          <w:szCs w:val="22"/>
          <w:lang w:val="fi-FI"/>
        </w:rPr>
        <w:t> </w:t>
      </w:r>
      <w:r w:rsidR="005C6E7D" w:rsidRPr="005C6E7D">
        <w:rPr>
          <w:color w:val="000000"/>
          <w:szCs w:val="22"/>
          <w:lang w:val="fi-FI"/>
        </w:rPr>
        <w:t xml:space="preserve">kuukauden hoidon jälkeen kahdessa pienessä alaryhmässä murrosiän vaiheesta ja sukupuolesta riippumatta. </w:t>
      </w:r>
      <w:r w:rsidR="00A2130A">
        <w:rPr>
          <w:color w:val="000000"/>
          <w:szCs w:val="22"/>
          <w:lang w:val="fi-FI"/>
        </w:rPr>
        <w:t>I</w:t>
      </w:r>
      <w:r>
        <w:rPr>
          <w:color w:val="000000"/>
          <w:szCs w:val="22"/>
          <w:lang w:val="fi-FI"/>
        </w:rPr>
        <w:t>matinibihoitoa saavien lasten kasvun tarkkaa seurantaa suositellaan (ks. kohta 4.8).</w:t>
      </w:r>
    </w:p>
    <w:p w14:paraId="586FC5ED" w14:textId="77777777" w:rsidR="00311DC5" w:rsidRPr="00912A5D" w:rsidRDefault="00311DC5" w:rsidP="00311DC5">
      <w:pPr>
        <w:pStyle w:val="EndnoteText"/>
        <w:widowControl w:val="0"/>
        <w:tabs>
          <w:tab w:val="clear" w:pos="567"/>
        </w:tabs>
        <w:rPr>
          <w:color w:val="000000"/>
          <w:szCs w:val="22"/>
          <w:lang w:val="fi-FI"/>
        </w:rPr>
      </w:pPr>
    </w:p>
    <w:p w14:paraId="586FC5EE" w14:textId="77777777" w:rsidR="00311DC5" w:rsidRPr="00912A5D" w:rsidRDefault="00311DC5" w:rsidP="00F71263">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4.5</w:t>
      </w:r>
      <w:r w:rsidRPr="00912A5D">
        <w:rPr>
          <w:rFonts w:ascii="Times New Roman" w:hAnsi="Times New Roman"/>
          <w:b/>
          <w:sz w:val="22"/>
          <w:szCs w:val="22"/>
        </w:rPr>
        <w:tab/>
        <w:t>Yhteisvaikutukset muiden lääkevalmisteiden kanssa sekä muut yhteisvaikutukset</w:t>
      </w:r>
    </w:p>
    <w:p w14:paraId="586FC5EF" w14:textId="77777777" w:rsidR="00311DC5" w:rsidRPr="00912A5D" w:rsidRDefault="00311DC5" w:rsidP="00F71263">
      <w:pPr>
        <w:pStyle w:val="EndnoteText"/>
        <w:keepNext/>
        <w:widowControl w:val="0"/>
        <w:tabs>
          <w:tab w:val="clear" w:pos="567"/>
        </w:tabs>
        <w:rPr>
          <w:color w:val="000000"/>
          <w:szCs w:val="22"/>
          <w:lang w:val="fi-FI"/>
        </w:rPr>
      </w:pPr>
    </w:p>
    <w:p w14:paraId="586FC5F0" w14:textId="77777777" w:rsidR="00311DC5" w:rsidRPr="00912A5D" w:rsidRDefault="00311DC5" w:rsidP="00F71263">
      <w:pPr>
        <w:pStyle w:val="Text"/>
        <w:keepNext/>
        <w:widowControl w:val="0"/>
        <w:spacing w:before="0"/>
        <w:jc w:val="left"/>
        <w:rPr>
          <w:color w:val="000000"/>
          <w:sz w:val="22"/>
          <w:szCs w:val="22"/>
          <w:lang w:val="fi-FI"/>
        </w:rPr>
      </w:pPr>
      <w:r w:rsidRPr="00912A5D">
        <w:rPr>
          <w:color w:val="000000"/>
          <w:sz w:val="22"/>
          <w:szCs w:val="22"/>
          <w:u w:val="single"/>
          <w:lang w:val="fi-FI"/>
        </w:rPr>
        <w:t xml:space="preserve">Vaikuttavat aineet, jotka voivat </w:t>
      </w:r>
      <w:r w:rsidRPr="00912A5D">
        <w:rPr>
          <w:b/>
          <w:color w:val="000000"/>
          <w:sz w:val="22"/>
          <w:szCs w:val="22"/>
          <w:u w:val="single"/>
          <w:lang w:val="fi-FI"/>
        </w:rPr>
        <w:t>suurentaa</w:t>
      </w:r>
      <w:r w:rsidRPr="00912A5D">
        <w:rPr>
          <w:color w:val="000000"/>
          <w:sz w:val="22"/>
          <w:szCs w:val="22"/>
          <w:u w:val="single"/>
          <w:lang w:val="fi-FI"/>
        </w:rPr>
        <w:t xml:space="preserve"> imatinibin plasmapitoisuuksia</w:t>
      </w:r>
      <w:r w:rsidRPr="00912A5D">
        <w:rPr>
          <w:color w:val="000000"/>
          <w:sz w:val="22"/>
          <w:szCs w:val="22"/>
          <w:lang w:val="fi-FI"/>
        </w:rPr>
        <w:t>:</w:t>
      </w:r>
    </w:p>
    <w:p w14:paraId="586FC5F1"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 xml:space="preserve">Sytokromi P450 isoentsyymi CYP3A4:n toimintaa estävät lääkkeet (esim. </w:t>
      </w:r>
      <w:r>
        <w:rPr>
          <w:color w:val="000000"/>
          <w:sz w:val="22"/>
          <w:szCs w:val="22"/>
          <w:lang w:val="fi-FI"/>
        </w:rPr>
        <w:t xml:space="preserve">proteaasin estäjät, kuten indinaviiri, lopinaviiri/ritonaviiri, ritonaviiri, sakinaviiri, telapreviiri, nelfinaviiri, bosepreviiri; atsoliryhmään kuuluvat sienilääkkeet, mukaan lukien </w:t>
      </w:r>
      <w:r w:rsidRPr="00912A5D">
        <w:rPr>
          <w:color w:val="000000"/>
          <w:sz w:val="22"/>
          <w:szCs w:val="22"/>
          <w:lang w:val="fi-FI"/>
        </w:rPr>
        <w:t xml:space="preserve">ketokonatsoli, itrakonatsoli, </w:t>
      </w:r>
      <w:r>
        <w:rPr>
          <w:color w:val="000000"/>
          <w:sz w:val="22"/>
          <w:szCs w:val="22"/>
          <w:lang w:val="fi-FI"/>
        </w:rPr>
        <w:t xml:space="preserve">posakonatsoli, vorikonatsoli; tietyt makrolidiryhmän antibiootit, kuten </w:t>
      </w:r>
      <w:r w:rsidRPr="00912A5D">
        <w:rPr>
          <w:color w:val="000000"/>
          <w:sz w:val="22"/>
          <w:szCs w:val="22"/>
          <w:lang w:val="fi-FI"/>
        </w:rPr>
        <w:t>erytromysiini, klaritromysiini</w:t>
      </w:r>
      <w:r>
        <w:rPr>
          <w:color w:val="000000"/>
          <w:sz w:val="22"/>
          <w:szCs w:val="22"/>
          <w:lang w:val="fi-FI"/>
        </w:rPr>
        <w:t xml:space="preserve"> ja telitromysiini</w:t>
      </w:r>
      <w:r w:rsidRPr="00912A5D">
        <w:rPr>
          <w:color w:val="000000"/>
          <w:sz w:val="22"/>
          <w:szCs w:val="22"/>
          <w:lang w:val="fi-FI"/>
        </w:rPr>
        <w:t>) saattavat heikentää imatinibin metaboliaa ja suurentaa imatinibipitoisuuksia. Imatinibialtistus voimistui merkitsevästi (imatinibin C</w:t>
      </w:r>
      <w:r w:rsidRPr="00912A5D">
        <w:rPr>
          <w:color w:val="000000"/>
          <w:sz w:val="22"/>
          <w:szCs w:val="22"/>
          <w:vertAlign w:val="subscript"/>
          <w:lang w:val="fi-FI"/>
        </w:rPr>
        <w:t>max</w:t>
      </w:r>
      <w:r w:rsidRPr="00912A5D">
        <w:rPr>
          <w:color w:val="000000"/>
          <w:sz w:val="22"/>
          <w:szCs w:val="22"/>
          <w:lang w:val="fi-FI"/>
        </w:rPr>
        <w:t>-keskiarvo suureni 26 % ja AUC-keskiarvo 40 %) terveillä koehenkilöillä, kun sitä annettiin samanaikaisesti ketokonatsolin (CYP3A4-estäjä) kerta-annoksen kanssa. Varovaisuus on tarpeen annettaessa Gliveciä samanaikaisesti CYP3A4-estäjäryhmään kuuluvien lääkkeiden kanssa.</w:t>
      </w:r>
    </w:p>
    <w:p w14:paraId="586FC5F2" w14:textId="77777777" w:rsidR="00311DC5" w:rsidRPr="00912A5D" w:rsidRDefault="00311DC5" w:rsidP="00311DC5">
      <w:pPr>
        <w:pStyle w:val="Text"/>
        <w:widowControl w:val="0"/>
        <w:spacing w:before="0"/>
        <w:jc w:val="left"/>
        <w:rPr>
          <w:color w:val="000000"/>
          <w:sz w:val="22"/>
          <w:szCs w:val="22"/>
          <w:lang w:val="fi-FI"/>
        </w:rPr>
      </w:pPr>
    </w:p>
    <w:p w14:paraId="586FC5F3" w14:textId="77777777" w:rsidR="00311DC5" w:rsidRPr="00912A5D" w:rsidRDefault="00311DC5" w:rsidP="00F71263">
      <w:pPr>
        <w:pStyle w:val="Text"/>
        <w:keepNext/>
        <w:widowControl w:val="0"/>
        <w:spacing w:before="0"/>
        <w:jc w:val="left"/>
        <w:rPr>
          <w:color w:val="000000"/>
          <w:sz w:val="22"/>
          <w:szCs w:val="22"/>
          <w:lang w:val="fi-FI"/>
        </w:rPr>
      </w:pPr>
      <w:r w:rsidRPr="00912A5D">
        <w:rPr>
          <w:color w:val="000000"/>
          <w:sz w:val="22"/>
          <w:szCs w:val="22"/>
          <w:u w:val="single"/>
          <w:lang w:val="fi-FI"/>
        </w:rPr>
        <w:t xml:space="preserve">Vaikuttavat aineet, jotka voivat </w:t>
      </w:r>
      <w:r w:rsidRPr="00912A5D">
        <w:rPr>
          <w:b/>
          <w:color w:val="000000"/>
          <w:sz w:val="22"/>
          <w:szCs w:val="22"/>
          <w:u w:val="single"/>
          <w:lang w:val="fi-FI"/>
        </w:rPr>
        <w:t>pienentää</w:t>
      </w:r>
      <w:r w:rsidRPr="00912A5D">
        <w:rPr>
          <w:color w:val="000000"/>
          <w:sz w:val="22"/>
          <w:szCs w:val="22"/>
          <w:u w:val="single"/>
          <w:lang w:val="fi-FI"/>
        </w:rPr>
        <w:t xml:space="preserve"> imatinibin plasmapitoisuuksia</w:t>
      </w:r>
      <w:r w:rsidRPr="00912A5D">
        <w:rPr>
          <w:color w:val="000000"/>
          <w:sz w:val="22"/>
          <w:szCs w:val="22"/>
          <w:lang w:val="fi-FI"/>
        </w:rPr>
        <w:t>:</w:t>
      </w:r>
    </w:p>
    <w:p w14:paraId="586FC5F4"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CYP3A4:n toimintaa indusoivat aineet (esim. deksametasoni, fenytoiini, karbamatsepiini, rifampisiini, fenobarbitaali, fosfenytoiini, primidoni tai mäkikuisma (</w:t>
      </w:r>
      <w:r w:rsidRPr="00912A5D">
        <w:rPr>
          <w:i/>
          <w:color w:val="000000"/>
          <w:sz w:val="22"/>
          <w:szCs w:val="22"/>
          <w:lang w:val="fi-FI"/>
        </w:rPr>
        <w:t>Hypericum perforatum</w:t>
      </w:r>
      <w:r w:rsidRPr="00912A5D">
        <w:rPr>
          <w:color w:val="000000"/>
          <w:sz w:val="22"/>
          <w:szCs w:val="22"/>
          <w:lang w:val="fi-FI"/>
        </w:rPr>
        <w:t>)) saatta</w:t>
      </w:r>
      <w:r>
        <w:rPr>
          <w:color w:val="000000"/>
          <w:sz w:val="22"/>
          <w:szCs w:val="22"/>
          <w:lang w:val="fi-FI"/>
        </w:rPr>
        <w:t>v</w:t>
      </w:r>
      <w:r w:rsidRPr="00912A5D">
        <w:rPr>
          <w:color w:val="000000"/>
          <w:sz w:val="22"/>
          <w:szCs w:val="22"/>
          <w:lang w:val="fi-FI"/>
        </w:rPr>
        <w:t>a</w:t>
      </w:r>
      <w:r>
        <w:rPr>
          <w:color w:val="000000"/>
          <w:sz w:val="22"/>
          <w:szCs w:val="22"/>
          <w:lang w:val="fi-FI"/>
        </w:rPr>
        <w:t>t</w:t>
      </w:r>
      <w:r w:rsidRPr="00912A5D">
        <w:rPr>
          <w:color w:val="000000"/>
          <w:sz w:val="22"/>
          <w:szCs w:val="22"/>
          <w:lang w:val="fi-FI"/>
        </w:rPr>
        <w:t xml:space="preserve"> vähentää merkitsevästi Glivec-altistusta, mahdollisesti lisäten hoidon epäonnistumisen riskiä. Esihoito useilla rifampisiiniannoksilla (600 mg), joita seurasi 400 mg:n kerta-annos Gliveciä, pienensi C</w:t>
      </w:r>
      <w:r w:rsidRPr="00912A5D">
        <w:rPr>
          <w:color w:val="000000"/>
          <w:sz w:val="22"/>
          <w:szCs w:val="22"/>
          <w:vertAlign w:val="subscript"/>
          <w:lang w:val="fi-FI"/>
        </w:rPr>
        <w:t>max</w:t>
      </w:r>
      <w:r w:rsidRPr="00912A5D">
        <w:rPr>
          <w:color w:val="000000"/>
          <w:sz w:val="22"/>
          <w:szCs w:val="22"/>
          <w:lang w:val="fi-FI"/>
        </w:rPr>
        <w:t>-arvoa vähintään 54 % ja AUC</w:t>
      </w:r>
      <w:r w:rsidRPr="00912A5D">
        <w:rPr>
          <w:color w:val="000000"/>
          <w:sz w:val="22"/>
          <w:szCs w:val="22"/>
          <w:vertAlign w:val="subscript"/>
          <w:lang w:val="fi-FI"/>
        </w:rPr>
        <w:t>(0-∞)</w:t>
      </w:r>
      <w:r w:rsidRPr="00912A5D">
        <w:rPr>
          <w:color w:val="000000"/>
          <w:sz w:val="22"/>
          <w:szCs w:val="22"/>
          <w:lang w:val="fi-FI"/>
        </w:rPr>
        <w:t xml:space="preserve">-arvoa vähintään 74 %:lla vastaaviin ilman rifampisiinihoitoa saatuihin arvoihin verrattuna. Samanlaisia tuloksia saatiin myös potilailla, jotka saivat Glivec-hoitoa pahanlaatuisten glioomien hoitoon ja käyttivät samanaikaisesti entsyymejä indusoivia epilepsialääkkeitä kuten karbamatsepiinia, okskarbatsepiinia ja fenytoiinia. Imatinibin </w:t>
      </w:r>
      <w:r w:rsidRPr="00912A5D">
        <w:rPr>
          <w:snapToGrid w:val="0"/>
          <w:color w:val="000000"/>
          <w:sz w:val="22"/>
          <w:szCs w:val="22"/>
          <w:lang w:val="fi-FI"/>
        </w:rPr>
        <w:t>AUC-arvo plasmassa pieneni 73 % verrattuna potilaisiin, jotka eivät käyttäneet entsyymejä indusoivia epilepsialääkkeitä.</w:t>
      </w:r>
      <w:r w:rsidRPr="00912A5D">
        <w:rPr>
          <w:color w:val="000000"/>
          <w:sz w:val="22"/>
          <w:szCs w:val="22"/>
          <w:lang w:val="fi-FI"/>
        </w:rPr>
        <w:t xml:space="preserve"> Imatinibin yhteiskäyttöä rifampisiinin tai voimakkaiden CYP3A4-indusoijien kanssa tulee välttää.</w:t>
      </w:r>
    </w:p>
    <w:p w14:paraId="586FC5F5" w14:textId="77777777" w:rsidR="00311DC5" w:rsidRPr="00912A5D" w:rsidRDefault="00311DC5" w:rsidP="00311DC5">
      <w:pPr>
        <w:pStyle w:val="Text"/>
        <w:widowControl w:val="0"/>
        <w:spacing w:before="0"/>
        <w:jc w:val="left"/>
        <w:rPr>
          <w:color w:val="000000"/>
          <w:sz w:val="22"/>
          <w:szCs w:val="22"/>
          <w:lang w:val="fi-FI"/>
        </w:rPr>
      </w:pPr>
    </w:p>
    <w:p w14:paraId="586FC5F6" w14:textId="77777777" w:rsidR="00311DC5" w:rsidRPr="00912A5D" w:rsidRDefault="00311DC5" w:rsidP="00F71263">
      <w:pPr>
        <w:pStyle w:val="Text"/>
        <w:keepNext/>
        <w:widowControl w:val="0"/>
        <w:spacing w:before="0"/>
        <w:jc w:val="left"/>
        <w:rPr>
          <w:b/>
          <w:color w:val="000000"/>
          <w:sz w:val="22"/>
          <w:szCs w:val="22"/>
          <w:lang w:val="fi-FI"/>
        </w:rPr>
      </w:pPr>
      <w:r w:rsidRPr="00912A5D">
        <w:rPr>
          <w:b/>
          <w:color w:val="000000"/>
          <w:sz w:val="22"/>
          <w:szCs w:val="22"/>
          <w:lang w:val="fi-FI"/>
        </w:rPr>
        <w:t>Vaikuttavat aineet, joiden plasmapitoisuus voi muuttua Glivecin vaikutuksesta</w:t>
      </w:r>
    </w:p>
    <w:p w14:paraId="586FC5F7"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Imatinibi suurentaa simvastatiinin (CYP3A4-substraatti) C</w:t>
      </w:r>
      <w:r w:rsidRPr="00912A5D">
        <w:rPr>
          <w:color w:val="000000"/>
          <w:sz w:val="22"/>
          <w:szCs w:val="22"/>
          <w:vertAlign w:val="subscript"/>
          <w:lang w:val="fi-FI"/>
        </w:rPr>
        <w:t>max</w:t>
      </w:r>
      <w:r w:rsidRPr="00912A5D">
        <w:rPr>
          <w:color w:val="000000"/>
          <w:sz w:val="22"/>
          <w:szCs w:val="22"/>
          <w:lang w:val="fi-FI"/>
        </w:rPr>
        <w:t>-keskiarvot kaksinkertaisiksi ja AUC-keskiarvot 3,5-kertaisiksi, mikä osoittaa imatinibin estävän CYP3A4:ää. Siksi suositellaan noudattamaan varovaisuutta käytettäessä Gliveciä samanaikaisesti kapean terapeuttisen leveyden omaavien CYP3A4-substraattien (esim. syklosporiini</w:t>
      </w:r>
      <w:r>
        <w:rPr>
          <w:color w:val="000000"/>
          <w:sz w:val="22"/>
          <w:szCs w:val="22"/>
          <w:lang w:val="fi-FI"/>
        </w:rPr>
        <w:t>,</w:t>
      </w:r>
      <w:r w:rsidRPr="00912A5D">
        <w:rPr>
          <w:color w:val="000000"/>
          <w:sz w:val="22"/>
          <w:szCs w:val="22"/>
          <w:lang w:val="fi-FI"/>
        </w:rPr>
        <w:t xml:space="preserve"> pimotsidi</w:t>
      </w:r>
      <w:r>
        <w:rPr>
          <w:color w:val="000000"/>
          <w:sz w:val="22"/>
          <w:szCs w:val="22"/>
          <w:lang w:val="fi-FI"/>
        </w:rPr>
        <w:t xml:space="preserve">, takrolimuusi, sirolimuusi, </w:t>
      </w:r>
      <w:r>
        <w:rPr>
          <w:color w:val="000000"/>
          <w:sz w:val="22"/>
          <w:szCs w:val="22"/>
          <w:lang w:val="fi-FI"/>
        </w:rPr>
        <w:lastRenderedPageBreak/>
        <w:t>ergotamiini, diergotamiini, fentanyyli, alfentaniili, terfenadiini, bortetsomibi, dosetakseli ja kinidiini</w:t>
      </w:r>
      <w:r w:rsidRPr="00912A5D">
        <w:rPr>
          <w:color w:val="000000"/>
          <w:sz w:val="22"/>
          <w:szCs w:val="22"/>
          <w:lang w:val="fi-FI"/>
        </w:rPr>
        <w:t xml:space="preserve">) kanssa. Glivec saattaa suurentaa muiden CYP3A4:n metaboloimien lääkkeiden plasmapitoisuuksia (esim. triatsolibentsodiatsepiinien, dihydropyridiini kalsiumkanavan salpaajien, tiettyjen </w:t>
      </w:r>
      <w:smartTag w:uri="urn:schemas-microsoft-com:office:smarttags" w:element="State">
        <w:r w:rsidRPr="00912A5D">
          <w:rPr>
            <w:color w:val="000000"/>
            <w:sz w:val="22"/>
            <w:szCs w:val="22"/>
            <w:lang w:val="fi-FI"/>
          </w:rPr>
          <w:t>HMG</w:t>
        </w:r>
      </w:smartTag>
      <w:r w:rsidRPr="00912A5D">
        <w:rPr>
          <w:color w:val="000000"/>
          <w:sz w:val="22"/>
          <w:szCs w:val="22"/>
          <w:lang w:val="fi-FI"/>
        </w:rPr>
        <w:t>-CoA reduktaasin estäjien, eli statiinien; jne.).</w:t>
      </w:r>
    </w:p>
    <w:p w14:paraId="586FC5F8" w14:textId="77777777" w:rsidR="00311DC5" w:rsidRPr="00912A5D" w:rsidRDefault="00311DC5" w:rsidP="00311DC5">
      <w:pPr>
        <w:pStyle w:val="Text"/>
        <w:widowControl w:val="0"/>
        <w:spacing w:before="0"/>
        <w:jc w:val="left"/>
        <w:rPr>
          <w:color w:val="000000"/>
          <w:sz w:val="22"/>
          <w:szCs w:val="22"/>
          <w:lang w:val="fi-FI"/>
        </w:rPr>
      </w:pPr>
    </w:p>
    <w:p w14:paraId="586FC5F9"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 xml:space="preserve">Koska </w:t>
      </w:r>
      <w:r>
        <w:rPr>
          <w:color w:val="000000"/>
          <w:sz w:val="22"/>
          <w:szCs w:val="22"/>
          <w:lang w:val="fi-FI"/>
        </w:rPr>
        <w:t>imatinibin käyttöön liittyy tunnetusti lisääntynyt riski verenvuodoille (esim. hemorragia)</w:t>
      </w:r>
      <w:r w:rsidRPr="00912A5D">
        <w:rPr>
          <w:color w:val="000000"/>
          <w:sz w:val="22"/>
          <w:szCs w:val="22"/>
          <w:lang w:val="fi-FI"/>
        </w:rPr>
        <w:t>, antikoagulanttihoitoa tarvitseville potilaille pitää käyttää pienimolekyylipainoista tai tavanomaista hepariinia</w:t>
      </w:r>
      <w:r>
        <w:rPr>
          <w:color w:val="000000"/>
          <w:sz w:val="22"/>
          <w:szCs w:val="22"/>
          <w:lang w:val="fi-FI"/>
        </w:rPr>
        <w:t xml:space="preserve"> kumariinijohdannaisten (esim. varfariinin) sijaan</w:t>
      </w:r>
      <w:r w:rsidRPr="00912A5D">
        <w:rPr>
          <w:color w:val="000000"/>
          <w:sz w:val="22"/>
          <w:szCs w:val="22"/>
          <w:lang w:val="fi-FI"/>
        </w:rPr>
        <w:t>.</w:t>
      </w:r>
    </w:p>
    <w:p w14:paraId="586FC5FA" w14:textId="77777777" w:rsidR="00311DC5" w:rsidRPr="00912A5D" w:rsidRDefault="00311DC5" w:rsidP="00311DC5">
      <w:pPr>
        <w:pStyle w:val="Text"/>
        <w:widowControl w:val="0"/>
        <w:spacing w:before="0"/>
        <w:jc w:val="left"/>
        <w:rPr>
          <w:color w:val="000000"/>
          <w:sz w:val="22"/>
          <w:szCs w:val="22"/>
          <w:lang w:val="fi-FI"/>
        </w:rPr>
      </w:pPr>
    </w:p>
    <w:p w14:paraId="586FC5FB" w14:textId="77777777" w:rsidR="00311DC5" w:rsidRPr="00912A5D" w:rsidRDefault="00311DC5" w:rsidP="00311DC5">
      <w:pPr>
        <w:pStyle w:val="Text"/>
        <w:widowControl w:val="0"/>
        <w:spacing w:before="0"/>
        <w:jc w:val="left"/>
        <w:rPr>
          <w:color w:val="000000"/>
          <w:sz w:val="22"/>
          <w:szCs w:val="22"/>
          <w:lang w:val="fi-FI"/>
        </w:rPr>
      </w:pPr>
      <w:r w:rsidRPr="00912A5D">
        <w:rPr>
          <w:i/>
          <w:color w:val="000000"/>
          <w:sz w:val="22"/>
          <w:szCs w:val="22"/>
          <w:lang w:val="fi-FI"/>
        </w:rPr>
        <w:t>In vitro</w:t>
      </w:r>
      <w:r w:rsidRPr="00912A5D">
        <w:rPr>
          <w:color w:val="000000"/>
          <w:sz w:val="22"/>
          <w:szCs w:val="22"/>
          <w:lang w:val="fi-FI"/>
        </w:rPr>
        <w:t xml:space="preserve"> Glivec estää sytokromi P450 isoentsyymi CYP2D6:n toimintaa pitoisuuksina, jotka ovat samanlaisia kuin CYP3A4:n toimintaan vaikuttavat pitoisuudet. Imatinibi annoksella 400 mg kahdesti vuorokaudessa esti CYP2D6-välitteiseen metoprololin metaboliaa, metoprololin C</w:t>
      </w:r>
      <w:r w:rsidRPr="00912A5D">
        <w:rPr>
          <w:color w:val="000000"/>
          <w:sz w:val="22"/>
          <w:szCs w:val="22"/>
          <w:vertAlign w:val="subscript"/>
          <w:lang w:val="fi-FI"/>
        </w:rPr>
        <w:t>max</w:t>
      </w:r>
      <w:r w:rsidRPr="00912A5D">
        <w:rPr>
          <w:color w:val="000000"/>
          <w:sz w:val="22"/>
          <w:szCs w:val="22"/>
          <w:lang w:val="fi-FI"/>
        </w:rPr>
        <w:t xml:space="preserve"> ja AUC-arvo kohosivat noin 23 % (90 % luottamusväli [1,16</w:t>
      </w:r>
      <w:r w:rsidRPr="00912A5D">
        <w:rPr>
          <w:color w:val="000000"/>
          <w:sz w:val="22"/>
          <w:szCs w:val="22"/>
          <w:lang w:val="fi-FI"/>
        </w:rPr>
        <w:noBreakHyphen/>
        <w:t>1,30]). Annoksen muuttaminen ei ole tarpeen kun imatinibia annetaan samanaikaisesti CYP2D6-substraattien kanssa. Varovaisuutta on kuitenkin noudatettava imatinibin ja kapean terapeuttisen leveyden omaavien CYP2D6-substraattien, kuten metoprololin yhteydessä. Metoprololia saavien potilaiden seurantaa tulee harkita.</w:t>
      </w:r>
    </w:p>
    <w:p w14:paraId="586FC5FC" w14:textId="77777777" w:rsidR="00311DC5" w:rsidRPr="00912A5D" w:rsidRDefault="00311DC5" w:rsidP="00311DC5">
      <w:pPr>
        <w:pStyle w:val="Text"/>
        <w:widowControl w:val="0"/>
        <w:spacing w:before="0"/>
        <w:jc w:val="left"/>
        <w:rPr>
          <w:color w:val="000000"/>
          <w:sz w:val="22"/>
          <w:szCs w:val="22"/>
          <w:lang w:val="fi-FI"/>
        </w:rPr>
      </w:pPr>
    </w:p>
    <w:p w14:paraId="586FC5FD" w14:textId="77777777" w:rsidR="00311DC5" w:rsidRPr="008367FE" w:rsidRDefault="00311DC5" w:rsidP="00311DC5">
      <w:pPr>
        <w:pStyle w:val="Text"/>
        <w:widowControl w:val="0"/>
        <w:spacing w:before="0"/>
        <w:jc w:val="left"/>
        <w:rPr>
          <w:color w:val="000000"/>
          <w:sz w:val="22"/>
          <w:szCs w:val="22"/>
          <w:lang w:val="fi-FI"/>
        </w:rPr>
      </w:pPr>
      <w:r w:rsidRPr="00912A5D">
        <w:rPr>
          <w:i/>
          <w:color w:val="000000"/>
          <w:sz w:val="22"/>
          <w:szCs w:val="22"/>
          <w:lang w:val="fi-FI"/>
        </w:rPr>
        <w:t>In vitro</w:t>
      </w:r>
      <w:r w:rsidRPr="00912A5D">
        <w:rPr>
          <w:color w:val="000000"/>
          <w:sz w:val="22"/>
          <w:szCs w:val="22"/>
          <w:lang w:val="fi-FI"/>
        </w:rPr>
        <w:t>, Glivec estää parasetamolin O-glukuronidaatiota Ki-arvo</w:t>
      </w:r>
      <w:r>
        <w:rPr>
          <w:color w:val="000000"/>
          <w:sz w:val="22"/>
          <w:szCs w:val="22"/>
          <w:lang w:val="fi-FI"/>
        </w:rPr>
        <w:t>lla</w:t>
      </w:r>
      <w:r w:rsidRPr="00912A5D">
        <w:rPr>
          <w:color w:val="000000"/>
          <w:sz w:val="22"/>
          <w:szCs w:val="22"/>
          <w:lang w:val="fi-FI"/>
        </w:rPr>
        <w:t xml:space="preserve"> 58,5 µmol/l.</w:t>
      </w:r>
      <w:r>
        <w:rPr>
          <w:color w:val="000000"/>
          <w:sz w:val="22"/>
          <w:szCs w:val="22"/>
          <w:lang w:val="fi-FI"/>
        </w:rPr>
        <w:t xml:space="preserve"> Tätä estoa ei ole havaittu </w:t>
      </w:r>
      <w:r w:rsidRPr="008367FE">
        <w:rPr>
          <w:i/>
          <w:color w:val="000000"/>
          <w:sz w:val="22"/>
          <w:szCs w:val="22"/>
          <w:lang w:val="fi-FI"/>
        </w:rPr>
        <w:t>in vivo</w:t>
      </w:r>
      <w:r>
        <w:rPr>
          <w:color w:val="000000"/>
          <w:sz w:val="22"/>
          <w:szCs w:val="22"/>
          <w:lang w:val="fi-FI"/>
        </w:rPr>
        <w:t xml:space="preserve"> 400 mg Glivec- ja 1000 mg parasetamoliannoksen jälkeen. Suurempia Glivec- ja parasetamoliannoksia ei ole tutkittu.</w:t>
      </w:r>
    </w:p>
    <w:p w14:paraId="586FC5FE" w14:textId="77777777" w:rsidR="00311DC5" w:rsidRPr="00912A5D" w:rsidRDefault="00311DC5" w:rsidP="00311DC5">
      <w:pPr>
        <w:pStyle w:val="Text"/>
        <w:widowControl w:val="0"/>
        <w:spacing w:before="0"/>
        <w:jc w:val="left"/>
        <w:rPr>
          <w:color w:val="000000"/>
          <w:sz w:val="22"/>
          <w:szCs w:val="22"/>
          <w:lang w:val="fi-FI"/>
        </w:rPr>
      </w:pPr>
    </w:p>
    <w:p w14:paraId="586FC5FF"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 xml:space="preserve">Siksi tulee noudattaa varovaisuutta, kun </w:t>
      </w:r>
      <w:r>
        <w:rPr>
          <w:color w:val="000000"/>
          <w:sz w:val="22"/>
          <w:szCs w:val="22"/>
          <w:lang w:val="fi-FI"/>
        </w:rPr>
        <w:t xml:space="preserve">suuria annoksia </w:t>
      </w:r>
      <w:r w:rsidRPr="00912A5D">
        <w:rPr>
          <w:color w:val="000000"/>
          <w:sz w:val="22"/>
          <w:szCs w:val="22"/>
          <w:lang w:val="fi-FI"/>
        </w:rPr>
        <w:t>Gliveciä ja parasetamolia annetaan samanaikaisesti.</w:t>
      </w:r>
    </w:p>
    <w:p w14:paraId="586FC600" w14:textId="77777777" w:rsidR="00311DC5" w:rsidRPr="00912A5D" w:rsidRDefault="00311DC5" w:rsidP="00311DC5">
      <w:pPr>
        <w:pStyle w:val="Text"/>
        <w:widowControl w:val="0"/>
        <w:spacing w:before="0"/>
        <w:jc w:val="left"/>
        <w:rPr>
          <w:color w:val="000000"/>
          <w:sz w:val="22"/>
          <w:szCs w:val="22"/>
          <w:lang w:val="fi-FI"/>
        </w:rPr>
      </w:pPr>
    </w:p>
    <w:p w14:paraId="586FC601" w14:textId="77777777" w:rsidR="00311DC5" w:rsidRPr="00912A5D" w:rsidRDefault="00311DC5" w:rsidP="00311DC5">
      <w:pPr>
        <w:rPr>
          <w:rFonts w:ascii="Times New Roman" w:hAnsi="Times New Roman"/>
          <w:sz w:val="22"/>
          <w:szCs w:val="22"/>
        </w:rPr>
      </w:pPr>
      <w:r w:rsidRPr="00912A5D">
        <w:rPr>
          <w:rFonts w:ascii="Times New Roman" w:hAnsi="Times New Roman"/>
          <w:sz w:val="22"/>
          <w:szCs w:val="22"/>
        </w:rPr>
        <w:t>Jos potilaan kilpirauhanen on poistettu ja häntä hoidetaan levotyroksiinilla, samanaikainen Glivec-hoito saattaa pienentää plasman levotyroksiinipitoisuuksia (ks. kohta 4.4). Varovaisuutta on siis syytä noudattaa. Tämän yhteisvaikutuksen syntymekanismia ei kuitenkaan vielä tunneta.</w:t>
      </w:r>
    </w:p>
    <w:p w14:paraId="586FC602" w14:textId="77777777" w:rsidR="00311DC5" w:rsidRPr="00912A5D" w:rsidRDefault="00311DC5" w:rsidP="00311DC5">
      <w:pPr>
        <w:pStyle w:val="Text"/>
        <w:widowControl w:val="0"/>
        <w:spacing w:before="0"/>
        <w:jc w:val="left"/>
        <w:rPr>
          <w:color w:val="000000"/>
          <w:sz w:val="22"/>
          <w:szCs w:val="22"/>
          <w:lang w:val="fi-FI"/>
        </w:rPr>
      </w:pPr>
    </w:p>
    <w:p w14:paraId="586FC603" w14:textId="77777777" w:rsidR="00311DC5" w:rsidRPr="00912A5D" w:rsidRDefault="00311DC5" w:rsidP="00311DC5">
      <w:pPr>
        <w:pStyle w:val="Text"/>
        <w:widowControl w:val="0"/>
        <w:spacing w:before="0"/>
        <w:jc w:val="left"/>
        <w:rPr>
          <w:color w:val="000000"/>
          <w:szCs w:val="22"/>
          <w:lang w:val="fi-FI"/>
        </w:rPr>
      </w:pPr>
      <w:r w:rsidRPr="00912A5D">
        <w:rPr>
          <w:color w:val="000000"/>
          <w:sz w:val="22"/>
          <w:szCs w:val="22"/>
          <w:lang w:val="fi-FI"/>
        </w:rPr>
        <w:t xml:space="preserve">Glivecin käytöstä samanaikaisesti kemoterapian kanssa potilailla, joilla on Ph+ </w:t>
      </w:r>
      <w:smartTag w:uri="urn:schemas-microsoft-com:office:smarttags" w:element="State">
        <w:r w:rsidRPr="00912A5D">
          <w:rPr>
            <w:color w:val="000000"/>
            <w:sz w:val="22"/>
            <w:szCs w:val="22"/>
            <w:lang w:val="fi-FI"/>
          </w:rPr>
          <w:t>ALL</w:t>
        </w:r>
      </w:smartTag>
      <w:r w:rsidRPr="00912A5D">
        <w:rPr>
          <w:color w:val="000000"/>
          <w:sz w:val="22"/>
          <w:szCs w:val="22"/>
          <w:lang w:val="fi-FI"/>
        </w:rPr>
        <w:t>, on kliinistä kokemusta (ks. kohta 5.1), mutta imatinibin ja kemoterapiahoitojen välisiä yhteisvaikutuksia ei tunneta täysin. Imatinibiin liittyvät haittatapahtumat (maksatoksisuus, myelosuppressio tai muut) saattavat lisääntyä, ja on ilmoitettu, että valmisteen samanaikaiseen käyttöön L-asparaginaasin kanssa saattaa liittyä maksatoksisuuden lisääntymistä (ks. kohta 4.8). Tästä syystä Glivecin käyttö yhdistelmähoidossa vaatii erityistä varovaisuutta.</w:t>
      </w:r>
    </w:p>
    <w:p w14:paraId="586FC604" w14:textId="77777777" w:rsidR="00311DC5" w:rsidRPr="00912A5D" w:rsidRDefault="00311DC5" w:rsidP="00311DC5">
      <w:pPr>
        <w:pStyle w:val="EndnoteText"/>
        <w:widowControl w:val="0"/>
        <w:tabs>
          <w:tab w:val="clear" w:pos="567"/>
        </w:tabs>
        <w:rPr>
          <w:color w:val="000000"/>
          <w:szCs w:val="22"/>
          <w:lang w:val="fi-FI"/>
        </w:rPr>
      </w:pPr>
    </w:p>
    <w:p w14:paraId="586FC605" w14:textId="77777777" w:rsidR="00311DC5" w:rsidRPr="00912A5D" w:rsidRDefault="00311DC5" w:rsidP="00F71263">
      <w:pPr>
        <w:keepNext/>
        <w:widowControl w:val="0"/>
        <w:suppressAutoHyphens/>
        <w:ind w:left="570" w:hanging="570"/>
        <w:rPr>
          <w:rFonts w:ascii="Times New Roman" w:hAnsi="Times New Roman"/>
          <w:b/>
          <w:sz w:val="22"/>
          <w:szCs w:val="22"/>
        </w:rPr>
      </w:pPr>
      <w:r w:rsidRPr="00912A5D">
        <w:rPr>
          <w:rFonts w:ascii="Times New Roman" w:hAnsi="Times New Roman"/>
          <w:b/>
          <w:sz w:val="22"/>
          <w:szCs w:val="22"/>
        </w:rPr>
        <w:t>4.6</w:t>
      </w:r>
      <w:r w:rsidRPr="00912A5D">
        <w:rPr>
          <w:rFonts w:ascii="Times New Roman" w:hAnsi="Times New Roman"/>
          <w:b/>
          <w:sz w:val="22"/>
          <w:szCs w:val="22"/>
        </w:rPr>
        <w:tab/>
      </w:r>
      <w:r>
        <w:rPr>
          <w:rFonts w:ascii="Times New Roman" w:hAnsi="Times New Roman"/>
          <w:b/>
          <w:sz w:val="22"/>
          <w:szCs w:val="22"/>
        </w:rPr>
        <w:t>Hedelmällisyys, r</w:t>
      </w:r>
      <w:r w:rsidRPr="00912A5D">
        <w:rPr>
          <w:rFonts w:ascii="Times New Roman" w:hAnsi="Times New Roman"/>
          <w:b/>
          <w:sz w:val="22"/>
          <w:szCs w:val="22"/>
        </w:rPr>
        <w:t>askaus ja imetys</w:t>
      </w:r>
    </w:p>
    <w:p w14:paraId="586FC606" w14:textId="77777777" w:rsidR="00311DC5" w:rsidRPr="00912A5D" w:rsidRDefault="00311DC5" w:rsidP="00F71263">
      <w:pPr>
        <w:pStyle w:val="EndnoteText"/>
        <w:keepNext/>
        <w:widowControl w:val="0"/>
        <w:tabs>
          <w:tab w:val="clear" w:pos="567"/>
        </w:tabs>
        <w:rPr>
          <w:color w:val="000000"/>
          <w:szCs w:val="22"/>
          <w:lang w:val="fi-FI"/>
        </w:rPr>
      </w:pPr>
    </w:p>
    <w:p w14:paraId="586FC607" w14:textId="77777777" w:rsidR="00311DC5" w:rsidRPr="00C67279" w:rsidRDefault="00311DC5" w:rsidP="00F71263">
      <w:pPr>
        <w:pStyle w:val="EndnoteText"/>
        <w:keepNext/>
        <w:widowControl w:val="0"/>
        <w:tabs>
          <w:tab w:val="clear" w:pos="567"/>
        </w:tabs>
        <w:rPr>
          <w:color w:val="000000"/>
          <w:szCs w:val="22"/>
          <w:lang w:val="fi-FI"/>
        </w:rPr>
      </w:pPr>
      <w:r>
        <w:rPr>
          <w:color w:val="000000"/>
          <w:szCs w:val="22"/>
          <w:u w:val="single"/>
          <w:lang w:val="fi-FI"/>
        </w:rPr>
        <w:t>Hedelmällisessä iässä olevat naiset</w:t>
      </w:r>
    </w:p>
    <w:p w14:paraId="586FC608" w14:textId="77777777" w:rsidR="00311DC5" w:rsidRDefault="00311DC5" w:rsidP="00311DC5">
      <w:pPr>
        <w:pStyle w:val="EndnoteText"/>
        <w:widowControl w:val="0"/>
        <w:tabs>
          <w:tab w:val="clear" w:pos="567"/>
        </w:tabs>
        <w:rPr>
          <w:color w:val="000000"/>
          <w:szCs w:val="22"/>
          <w:lang w:val="fi-FI"/>
        </w:rPr>
      </w:pPr>
      <w:r w:rsidRPr="00912A5D">
        <w:rPr>
          <w:color w:val="000000"/>
          <w:szCs w:val="22"/>
          <w:lang w:val="fi-FI"/>
        </w:rPr>
        <w:t>Hedelmällisessä iässä olevia naisia on kehotettava käyttämään tehokasta ehkäisyä hoidon aikana</w:t>
      </w:r>
      <w:r w:rsidR="00DD08DE" w:rsidRPr="00DD08DE">
        <w:rPr>
          <w:color w:val="000000"/>
          <w:szCs w:val="22"/>
          <w:lang w:val="fi-FI"/>
        </w:rPr>
        <w:t xml:space="preserve"> </w:t>
      </w:r>
      <w:r w:rsidR="00DD08DE">
        <w:rPr>
          <w:color w:val="000000"/>
          <w:szCs w:val="22"/>
          <w:lang w:val="fi-FI"/>
        </w:rPr>
        <w:t>ja vähintään 15 päivän ajan Glivec-hoidon lopettamisen jälkeen</w:t>
      </w:r>
      <w:r w:rsidRPr="00912A5D">
        <w:rPr>
          <w:color w:val="000000"/>
          <w:szCs w:val="22"/>
          <w:lang w:val="fi-FI"/>
        </w:rPr>
        <w:t>.</w:t>
      </w:r>
    </w:p>
    <w:p w14:paraId="586FC609" w14:textId="77777777" w:rsidR="00311DC5" w:rsidRPr="00912A5D" w:rsidRDefault="00311DC5" w:rsidP="00311DC5">
      <w:pPr>
        <w:pStyle w:val="EndnoteText"/>
        <w:widowControl w:val="0"/>
        <w:tabs>
          <w:tab w:val="clear" w:pos="567"/>
        </w:tabs>
        <w:rPr>
          <w:color w:val="000000"/>
          <w:szCs w:val="22"/>
          <w:lang w:val="fi-FI"/>
        </w:rPr>
      </w:pPr>
    </w:p>
    <w:p w14:paraId="586FC60A" w14:textId="77777777" w:rsidR="00311DC5" w:rsidRPr="00912A5D" w:rsidRDefault="00311DC5" w:rsidP="00F71263">
      <w:pPr>
        <w:pStyle w:val="EndnoteText"/>
        <w:keepNext/>
        <w:widowControl w:val="0"/>
        <w:tabs>
          <w:tab w:val="clear" w:pos="567"/>
        </w:tabs>
        <w:rPr>
          <w:color w:val="000000"/>
          <w:szCs w:val="22"/>
          <w:u w:val="single"/>
          <w:lang w:val="fi-FI"/>
        </w:rPr>
      </w:pPr>
      <w:r w:rsidRPr="00912A5D">
        <w:rPr>
          <w:color w:val="000000"/>
          <w:szCs w:val="22"/>
          <w:u w:val="single"/>
          <w:lang w:val="fi-FI"/>
        </w:rPr>
        <w:t>Raskaus</w:t>
      </w:r>
    </w:p>
    <w:p w14:paraId="586FC60B" w14:textId="77777777" w:rsidR="00311DC5" w:rsidRDefault="00311DC5" w:rsidP="00311DC5">
      <w:pPr>
        <w:pStyle w:val="EndnoteText"/>
        <w:widowControl w:val="0"/>
        <w:tabs>
          <w:tab w:val="clear" w:pos="567"/>
        </w:tabs>
        <w:rPr>
          <w:color w:val="000000"/>
          <w:szCs w:val="22"/>
          <w:lang w:val="fi-FI"/>
        </w:rPr>
      </w:pPr>
      <w:r>
        <w:rPr>
          <w:szCs w:val="22"/>
          <w:lang w:val="fi-FI"/>
        </w:rPr>
        <w:t xml:space="preserve">On vain vähän </w:t>
      </w:r>
      <w:r w:rsidRPr="00912A5D">
        <w:rPr>
          <w:color w:val="000000"/>
          <w:szCs w:val="22"/>
          <w:lang w:val="fi-FI"/>
        </w:rPr>
        <w:t xml:space="preserve">tietoja imatinibin käytöstä raskaana oleville naisille. </w:t>
      </w:r>
      <w:r w:rsidR="002E4FEF" w:rsidRPr="004E6CF8">
        <w:rPr>
          <w:color w:val="000000"/>
          <w:szCs w:val="22"/>
          <w:lang w:val="fi-FI"/>
        </w:rPr>
        <w:t xml:space="preserve">Markkinoilletulon jälkeen Glivec-hoitoa saaneilla naisilla on </w:t>
      </w:r>
      <w:r w:rsidR="002E4FEF">
        <w:rPr>
          <w:color w:val="000000"/>
          <w:szCs w:val="22"/>
          <w:lang w:val="fi-FI"/>
        </w:rPr>
        <w:t xml:space="preserve">raportoitu </w:t>
      </w:r>
      <w:r w:rsidR="002E4FEF" w:rsidRPr="004E6CF8">
        <w:rPr>
          <w:color w:val="000000"/>
          <w:szCs w:val="22"/>
          <w:lang w:val="fi-FI"/>
        </w:rPr>
        <w:t>keskenmenoja ja lapsilla synnynnäisiä epämuodostumia.</w:t>
      </w:r>
      <w:r w:rsidR="002E4FEF">
        <w:rPr>
          <w:color w:val="000000"/>
          <w:szCs w:val="22"/>
          <w:lang w:val="fi-FI"/>
        </w:rPr>
        <w:t xml:space="preserve"> </w:t>
      </w:r>
      <w:r w:rsidRPr="00912A5D">
        <w:rPr>
          <w:color w:val="000000"/>
          <w:szCs w:val="22"/>
          <w:lang w:val="fi-FI"/>
        </w:rPr>
        <w:t>Eläinkoke</w:t>
      </w:r>
      <w:r>
        <w:rPr>
          <w:color w:val="000000"/>
          <w:szCs w:val="22"/>
          <w:lang w:val="fi-FI"/>
        </w:rPr>
        <w:t>issa</w:t>
      </w:r>
      <w:r w:rsidRPr="00912A5D">
        <w:rPr>
          <w:color w:val="000000"/>
          <w:szCs w:val="22"/>
          <w:lang w:val="fi-FI"/>
        </w:rPr>
        <w:t xml:space="preserve"> </w:t>
      </w:r>
      <w:r>
        <w:rPr>
          <w:color w:val="000000"/>
          <w:szCs w:val="22"/>
          <w:lang w:val="fi-FI"/>
        </w:rPr>
        <w:t xml:space="preserve">on </w:t>
      </w:r>
      <w:r w:rsidRPr="00912A5D">
        <w:rPr>
          <w:color w:val="000000"/>
          <w:szCs w:val="22"/>
          <w:lang w:val="fi-FI"/>
        </w:rPr>
        <w:t xml:space="preserve">kuitenkin </w:t>
      </w:r>
      <w:r>
        <w:rPr>
          <w:color w:val="000000"/>
          <w:szCs w:val="22"/>
          <w:lang w:val="fi-FI"/>
        </w:rPr>
        <w:t>havaittu</w:t>
      </w:r>
      <w:r w:rsidRPr="00912A5D">
        <w:rPr>
          <w:color w:val="000000"/>
          <w:szCs w:val="22"/>
          <w:lang w:val="fi-FI"/>
        </w:rPr>
        <w:t xml:space="preserve"> </w:t>
      </w:r>
      <w:r>
        <w:rPr>
          <w:color w:val="000000"/>
          <w:szCs w:val="22"/>
          <w:lang w:val="fi-FI"/>
        </w:rPr>
        <w:t>lisääntymis</w:t>
      </w:r>
      <w:r w:rsidRPr="00912A5D">
        <w:rPr>
          <w:color w:val="000000"/>
          <w:szCs w:val="22"/>
          <w:lang w:val="fi-FI"/>
        </w:rPr>
        <w:t>toksisuutta (ks. kohta 5.3)</w:t>
      </w:r>
      <w:r>
        <w:rPr>
          <w:color w:val="000000"/>
          <w:szCs w:val="22"/>
          <w:lang w:val="fi-FI"/>
        </w:rPr>
        <w:t>,</w:t>
      </w:r>
      <w:r w:rsidRPr="00912A5D">
        <w:rPr>
          <w:color w:val="000000"/>
          <w:szCs w:val="22"/>
          <w:lang w:val="fi-FI"/>
        </w:rPr>
        <w:t xml:space="preserve"> eikä mahdollista riskiä sikiölle tunneta. Gliveciä ei pi</w:t>
      </w:r>
      <w:r>
        <w:rPr>
          <w:color w:val="000000"/>
          <w:szCs w:val="22"/>
          <w:lang w:val="fi-FI"/>
        </w:rPr>
        <w:t>dä</w:t>
      </w:r>
      <w:r w:rsidRPr="00912A5D">
        <w:rPr>
          <w:color w:val="000000"/>
          <w:szCs w:val="22"/>
          <w:lang w:val="fi-FI"/>
        </w:rPr>
        <w:t xml:space="preserve"> käyttää raskauden aikana, </w:t>
      </w:r>
      <w:r>
        <w:rPr>
          <w:color w:val="000000"/>
          <w:szCs w:val="22"/>
          <w:lang w:val="fi-FI"/>
        </w:rPr>
        <w:t>ellei</w:t>
      </w:r>
      <w:r w:rsidRPr="00912A5D">
        <w:rPr>
          <w:color w:val="000000"/>
          <w:szCs w:val="22"/>
          <w:lang w:val="fi-FI"/>
        </w:rPr>
        <w:t xml:space="preserve"> käyttö ole selvästi välttämätöntä. Jos sitä käytetään raskauden aikana, potilaalle on kerrottava sikiöön mahdollisesti kohdistuvasta riskistä.</w:t>
      </w:r>
    </w:p>
    <w:p w14:paraId="586FC60C" w14:textId="77777777" w:rsidR="00311DC5" w:rsidRPr="00912A5D" w:rsidRDefault="00311DC5" w:rsidP="00311DC5">
      <w:pPr>
        <w:pStyle w:val="EndnoteText"/>
        <w:widowControl w:val="0"/>
        <w:tabs>
          <w:tab w:val="clear" w:pos="567"/>
        </w:tabs>
        <w:rPr>
          <w:color w:val="000000"/>
          <w:szCs w:val="22"/>
          <w:lang w:val="fi-FI"/>
        </w:rPr>
      </w:pPr>
    </w:p>
    <w:p w14:paraId="586FC60D" w14:textId="77777777" w:rsidR="00311DC5" w:rsidRPr="00912A5D" w:rsidRDefault="00311DC5" w:rsidP="00F71263">
      <w:pPr>
        <w:pStyle w:val="EndnoteText"/>
        <w:keepNext/>
        <w:widowControl w:val="0"/>
        <w:tabs>
          <w:tab w:val="clear" w:pos="567"/>
        </w:tabs>
        <w:rPr>
          <w:color w:val="000000"/>
          <w:szCs w:val="22"/>
          <w:lang w:val="fi-FI"/>
        </w:rPr>
      </w:pPr>
      <w:r w:rsidRPr="00912A5D">
        <w:rPr>
          <w:color w:val="000000"/>
          <w:szCs w:val="22"/>
          <w:u w:val="single"/>
          <w:lang w:val="fi-FI"/>
        </w:rPr>
        <w:t>Imetys</w:t>
      </w:r>
    </w:p>
    <w:p w14:paraId="586FC60E" w14:textId="1A5B04D2" w:rsidR="00311DC5" w:rsidRDefault="00311DC5" w:rsidP="00311DC5">
      <w:pPr>
        <w:pStyle w:val="EndnoteText"/>
        <w:widowControl w:val="0"/>
        <w:tabs>
          <w:tab w:val="clear" w:pos="567"/>
        </w:tabs>
        <w:rPr>
          <w:color w:val="000000"/>
          <w:szCs w:val="22"/>
          <w:lang w:val="fi-FI"/>
        </w:rPr>
      </w:pPr>
      <w:r w:rsidRPr="00F2758D">
        <w:rPr>
          <w:color w:val="000000"/>
          <w:szCs w:val="22"/>
          <w:lang w:val="fi-FI"/>
        </w:rPr>
        <w:t>Imatinibin jakaantumisesta äidinmaitoon on rajallis</w:t>
      </w:r>
      <w:r w:rsidR="00DD08DE">
        <w:rPr>
          <w:color w:val="000000"/>
          <w:szCs w:val="22"/>
          <w:lang w:val="fi-FI"/>
        </w:rPr>
        <w:t>es</w:t>
      </w:r>
      <w:r w:rsidRPr="00F2758D">
        <w:rPr>
          <w:color w:val="000000"/>
          <w:szCs w:val="22"/>
          <w:lang w:val="fi-FI"/>
        </w:rPr>
        <w:t>t</w:t>
      </w:r>
      <w:r w:rsidR="00DD08DE">
        <w:rPr>
          <w:color w:val="000000"/>
          <w:szCs w:val="22"/>
          <w:lang w:val="fi-FI"/>
        </w:rPr>
        <w:t>i</w:t>
      </w:r>
      <w:r w:rsidRPr="00F2758D">
        <w:rPr>
          <w:color w:val="000000"/>
          <w:szCs w:val="22"/>
          <w:lang w:val="fi-FI"/>
        </w:rPr>
        <w:t xml:space="preserve"> tietoja. Kahde</w:t>
      </w:r>
      <w:r w:rsidR="00DD08DE">
        <w:rPr>
          <w:color w:val="000000"/>
          <w:szCs w:val="22"/>
          <w:lang w:val="fi-FI"/>
        </w:rPr>
        <w:t>ssa</w:t>
      </w:r>
      <w:r w:rsidRPr="00F2758D">
        <w:rPr>
          <w:color w:val="000000"/>
          <w:szCs w:val="22"/>
          <w:lang w:val="fi-FI"/>
        </w:rPr>
        <w:t xml:space="preserve"> imettävi</w:t>
      </w:r>
      <w:r w:rsidR="00DD08DE">
        <w:rPr>
          <w:color w:val="000000"/>
          <w:szCs w:val="22"/>
          <w:lang w:val="fi-FI"/>
        </w:rPr>
        <w:t>llä</w:t>
      </w:r>
      <w:r w:rsidRPr="00F2758D">
        <w:rPr>
          <w:color w:val="000000"/>
          <w:szCs w:val="22"/>
          <w:lang w:val="fi-FI"/>
        </w:rPr>
        <w:t xml:space="preserve"> nais</w:t>
      </w:r>
      <w:r w:rsidR="00DD08DE">
        <w:rPr>
          <w:color w:val="000000"/>
          <w:szCs w:val="22"/>
          <w:lang w:val="fi-FI"/>
        </w:rPr>
        <w:t>illa tehdyssä</w:t>
      </w:r>
      <w:r w:rsidRPr="00F2758D">
        <w:rPr>
          <w:color w:val="000000"/>
          <w:szCs w:val="22"/>
          <w:lang w:val="fi-FI"/>
        </w:rPr>
        <w:t xml:space="preserve"> tutkimuksessa paljastui, että sekä imatinibi että sen aktiivi metaboliitti voi</w:t>
      </w:r>
      <w:r w:rsidR="00DD08DE">
        <w:rPr>
          <w:color w:val="000000"/>
          <w:szCs w:val="22"/>
          <w:lang w:val="fi-FI"/>
        </w:rPr>
        <w:t>vat</w:t>
      </w:r>
      <w:r w:rsidRPr="00F2758D">
        <w:rPr>
          <w:color w:val="000000"/>
          <w:szCs w:val="22"/>
          <w:lang w:val="fi-FI"/>
        </w:rPr>
        <w:t xml:space="preserve"> jakaantua äidinmaitoon. Maidon plasmasuhde, jota tutkittiin yhdellä potilalla, oli imatinibille määritettynä 0,5 ja sen</w:t>
      </w:r>
      <w:r>
        <w:rPr>
          <w:color w:val="000000"/>
          <w:szCs w:val="22"/>
          <w:lang w:val="fi-FI"/>
        </w:rPr>
        <w:t xml:space="preserve"> metaboliitille määritettynä 0,9, joka viittaa metaboliitin suurempaan jakaantumiseen maitoon. Ottaen huomioon imatinibin ja sen metaboliitin</w:t>
      </w:r>
      <w:r w:rsidRPr="009D02C0">
        <w:rPr>
          <w:color w:val="000000"/>
          <w:szCs w:val="22"/>
          <w:lang w:val="fi-FI"/>
        </w:rPr>
        <w:t xml:space="preserve"> </w:t>
      </w:r>
      <w:r>
        <w:rPr>
          <w:color w:val="000000"/>
          <w:szCs w:val="22"/>
          <w:lang w:val="fi-FI"/>
        </w:rPr>
        <w:t>yhdistetty pitoisuus sekä imeväisten suurin mahdollinen päivittäinen maitomäärä, kokonaisaltistu</w:t>
      </w:r>
      <w:r w:rsidR="00DD08DE">
        <w:rPr>
          <w:color w:val="000000"/>
          <w:szCs w:val="22"/>
          <w:lang w:val="fi-FI"/>
        </w:rPr>
        <w:t>k</w:t>
      </w:r>
      <w:r>
        <w:rPr>
          <w:color w:val="000000"/>
          <w:szCs w:val="22"/>
          <w:lang w:val="fi-FI"/>
        </w:rPr>
        <w:t>s</w:t>
      </w:r>
      <w:r w:rsidR="00DD08DE">
        <w:rPr>
          <w:color w:val="000000"/>
          <w:szCs w:val="22"/>
          <w:lang w:val="fi-FI"/>
        </w:rPr>
        <w:t>en</w:t>
      </w:r>
      <w:r>
        <w:rPr>
          <w:color w:val="000000"/>
          <w:szCs w:val="22"/>
          <w:lang w:val="fi-FI"/>
        </w:rPr>
        <w:t xml:space="preserve"> oletetaan olevan matala (~10 % terapeuttisesta annoksesta). Koska matala-annoksise</w:t>
      </w:r>
      <w:r w:rsidR="00DD08DE">
        <w:rPr>
          <w:color w:val="000000"/>
          <w:szCs w:val="22"/>
          <w:lang w:val="fi-FI"/>
        </w:rPr>
        <w:t>n</w:t>
      </w:r>
      <w:r>
        <w:rPr>
          <w:color w:val="000000"/>
          <w:szCs w:val="22"/>
          <w:lang w:val="fi-FI"/>
        </w:rPr>
        <w:t xml:space="preserve"> imatinibialtistukse</w:t>
      </w:r>
      <w:r w:rsidR="00DD08DE">
        <w:rPr>
          <w:color w:val="000000"/>
          <w:szCs w:val="22"/>
          <w:lang w:val="fi-FI"/>
        </w:rPr>
        <w:t>n</w:t>
      </w:r>
      <w:r>
        <w:rPr>
          <w:color w:val="000000"/>
          <w:szCs w:val="22"/>
          <w:lang w:val="fi-FI"/>
        </w:rPr>
        <w:t xml:space="preserve"> </w:t>
      </w:r>
      <w:r w:rsidR="00DD08DE">
        <w:rPr>
          <w:color w:val="000000"/>
          <w:szCs w:val="22"/>
          <w:lang w:val="fi-FI"/>
        </w:rPr>
        <w:t xml:space="preserve">vaikutukset </w:t>
      </w:r>
      <w:r>
        <w:rPr>
          <w:color w:val="000000"/>
          <w:szCs w:val="22"/>
          <w:lang w:val="fi-FI"/>
        </w:rPr>
        <w:t xml:space="preserve">imeväiselle ovat </w:t>
      </w:r>
      <w:r w:rsidR="00DD08DE">
        <w:rPr>
          <w:color w:val="000000"/>
          <w:szCs w:val="22"/>
          <w:lang w:val="fi-FI"/>
        </w:rPr>
        <w:t xml:space="preserve">kuitenkin </w:t>
      </w:r>
      <w:r>
        <w:rPr>
          <w:color w:val="000000"/>
          <w:szCs w:val="22"/>
          <w:lang w:val="fi-FI"/>
        </w:rPr>
        <w:t>tuntemattomia, naisten ei tule imettää</w:t>
      </w:r>
      <w:r w:rsidR="0069752A" w:rsidRPr="0069752A">
        <w:rPr>
          <w:color w:val="000000"/>
          <w:szCs w:val="22"/>
          <w:lang w:val="fi-FI"/>
        </w:rPr>
        <w:t xml:space="preserve"> </w:t>
      </w:r>
      <w:r w:rsidR="0069752A">
        <w:rPr>
          <w:color w:val="000000"/>
          <w:szCs w:val="22"/>
          <w:lang w:val="fi-FI"/>
        </w:rPr>
        <w:t>hoidon aikana</w:t>
      </w:r>
      <w:r w:rsidR="00B074B6">
        <w:rPr>
          <w:color w:val="000000"/>
          <w:szCs w:val="22"/>
          <w:lang w:val="fi-FI"/>
        </w:rPr>
        <w:t>,</w:t>
      </w:r>
      <w:r w:rsidR="0069752A">
        <w:rPr>
          <w:color w:val="000000"/>
          <w:szCs w:val="22"/>
          <w:lang w:val="fi-FI"/>
        </w:rPr>
        <w:t xml:space="preserve"> eikä vähintään 15 päivään Glivec-hoidon </w:t>
      </w:r>
      <w:r w:rsidR="0069752A">
        <w:rPr>
          <w:color w:val="000000"/>
          <w:szCs w:val="22"/>
          <w:lang w:val="fi-FI"/>
        </w:rPr>
        <w:lastRenderedPageBreak/>
        <w:t>lopettamisen jälkeen</w:t>
      </w:r>
      <w:r>
        <w:rPr>
          <w:color w:val="000000"/>
          <w:szCs w:val="22"/>
          <w:lang w:val="fi-FI"/>
        </w:rPr>
        <w:t>.</w:t>
      </w:r>
    </w:p>
    <w:p w14:paraId="586FC60F" w14:textId="77777777" w:rsidR="00311DC5" w:rsidRDefault="00311DC5" w:rsidP="00311DC5">
      <w:pPr>
        <w:pStyle w:val="EndnoteText"/>
        <w:widowControl w:val="0"/>
        <w:tabs>
          <w:tab w:val="clear" w:pos="567"/>
        </w:tabs>
        <w:rPr>
          <w:color w:val="000000"/>
          <w:szCs w:val="22"/>
          <w:lang w:val="fi-FI"/>
        </w:rPr>
      </w:pPr>
    </w:p>
    <w:p w14:paraId="586FC610" w14:textId="77777777" w:rsidR="00311DC5" w:rsidRDefault="00311DC5" w:rsidP="00F71263">
      <w:pPr>
        <w:pStyle w:val="EndnoteText"/>
        <w:keepNext/>
        <w:widowControl w:val="0"/>
        <w:tabs>
          <w:tab w:val="clear" w:pos="567"/>
        </w:tabs>
        <w:rPr>
          <w:color w:val="000000"/>
          <w:szCs w:val="22"/>
          <w:u w:val="single"/>
          <w:lang w:val="fi-FI"/>
        </w:rPr>
      </w:pPr>
      <w:r>
        <w:rPr>
          <w:color w:val="000000"/>
          <w:szCs w:val="22"/>
          <w:u w:val="single"/>
          <w:lang w:val="fi-FI"/>
        </w:rPr>
        <w:t>Hedelmällisyys</w:t>
      </w:r>
    </w:p>
    <w:p w14:paraId="586FC611" w14:textId="77777777" w:rsidR="00311DC5" w:rsidRPr="00C9152F" w:rsidRDefault="00311DC5" w:rsidP="00311DC5">
      <w:pPr>
        <w:pStyle w:val="EndnoteText"/>
        <w:widowControl w:val="0"/>
        <w:tabs>
          <w:tab w:val="clear" w:pos="567"/>
        </w:tabs>
        <w:rPr>
          <w:szCs w:val="22"/>
          <w:lang w:val="fi-FI"/>
        </w:rPr>
      </w:pPr>
      <w:r w:rsidRPr="00C9152F">
        <w:rPr>
          <w:szCs w:val="22"/>
          <w:lang w:val="fi-FI"/>
        </w:rPr>
        <w:t>Prekliinisissä tutkimuksissa lääke ei vaikuttanut uros- eikä naarasrottien hedelmällisyyteen</w:t>
      </w:r>
      <w:r w:rsidR="0069752A">
        <w:rPr>
          <w:szCs w:val="22"/>
          <w:lang w:val="fi-FI"/>
        </w:rPr>
        <w:t>, vaikka vaikutuksia reproduktiivisiin parametreihin havaittiin</w:t>
      </w:r>
      <w:r w:rsidRPr="00C9152F">
        <w:rPr>
          <w:szCs w:val="22"/>
          <w:lang w:val="fi-FI"/>
        </w:rPr>
        <w:t xml:space="preserve"> (ks. kohta 5.3). Glivec-lääkitystä saavilla potilailla ei ole suoritettu tutkimuksia, ja tutkimuksia lääkkeen mahdollisista vaikutuksista hedelmällisyyteen ja gametogeneesiin ei ole tehty. Jos potilas on huolissaan Glivec-hoidon vaikutuksesta hedelmällisyyteensä, hänen tulee keskustella asiasta lääkärin kanssa.</w:t>
      </w:r>
    </w:p>
    <w:p w14:paraId="586FC612" w14:textId="77777777" w:rsidR="00311DC5" w:rsidRPr="00912A5D" w:rsidRDefault="00311DC5" w:rsidP="00311DC5">
      <w:pPr>
        <w:pStyle w:val="EndnoteText"/>
        <w:widowControl w:val="0"/>
        <w:tabs>
          <w:tab w:val="clear" w:pos="567"/>
        </w:tabs>
        <w:rPr>
          <w:color w:val="000000"/>
          <w:szCs w:val="22"/>
          <w:lang w:val="fi-FI"/>
        </w:rPr>
      </w:pPr>
    </w:p>
    <w:p w14:paraId="586FC613" w14:textId="77777777" w:rsidR="00311DC5" w:rsidRPr="00912A5D" w:rsidRDefault="00311DC5" w:rsidP="00331A48">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4.7</w:t>
      </w:r>
      <w:r w:rsidRPr="00912A5D">
        <w:rPr>
          <w:rFonts w:ascii="Times New Roman" w:hAnsi="Times New Roman"/>
          <w:b/>
          <w:sz w:val="22"/>
          <w:szCs w:val="22"/>
        </w:rPr>
        <w:tab/>
        <w:t>Vaikutus ajokykyyn ja koneiden käyttökykyyn</w:t>
      </w:r>
    </w:p>
    <w:p w14:paraId="586FC614" w14:textId="77777777" w:rsidR="00311DC5" w:rsidRPr="00912A5D" w:rsidRDefault="00311DC5" w:rsidP="00331A48">
      <w:pPr>
        <w:pStyle w:val="EndnoteText"/>
        <w:keepNext/>
        <w:widowControl w:val="0"/>
        <w:tabs>
          <w:tab w:val="clear" w:pos="567"/>
        </w:tabs>
        <w:rPr>
          <w:color w:val="000000"/>
          <w:szCs w:val="22"/>
          <w:lang w:val="fi-FI"/>
        </w:rPr>
      </w:pPr>
    </w:p>
    <w:p w14:paraId="586FC615"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Potilaille pitää kertoa, että he saattavat kokea haittavaikutuksia kuten huimausta</w:t>
      </w:r>
      <w:r>
        <w:rPr>
          <w:color w:val="000000"/>
          <w:szCs w:val="22"/>
          <w:lang w:val="fi-FI"/>
        </w:rPr>
        <w:t>,</w:t>
      </w:r>
      <w:r w:rsidRPr="00912A5D">
        <w:rPr>
          <w:color w:val="000000"/>
          <w:szCs w:val="22"/>
          <w:lang w:val="fi-FI"/>
        </w:rPr>
        <w:t xml:space="preserve"> näön hämärtymistä </w:t>
      </w:r>
      <w:r>
        <w:rPr>
          <w:color w:val="000000"/>
          <w:szCs w:val="22"/>
          <w:lang w:val="fi-FI"/>
        </w:rPr>
        <w:t xml:space="preserve">tai uneliaisuutta </w:t>
      </w:r>
      <w:r w:rsidRPr="00912A5D">
        <w:rPr>
          <w:color w:val="000000"/>
          <w:szCs w:val="22"/>
          <w:lang w:val="fi-FI"/>
        </w:rPr>
        <w:t>imatinibi-hoidon aikana. Sen vuoksi autolla ajettaessa ja koneita käytettäessä on noudatettava varovaisuutta.</w:t>
      </w:r>
    </w:p>
    <w:p w14:paraId="586FC616" w14:textId="77777777" w:rsidR="00311DC5" w:rsidRPr="00912A5D" w:rsidRDefault="00311DC5" w:rsidP="00311DC5">
      <w:pPr>
        <w:pStyle w:val="EndnoteText"/>
        <w:widowControl w:val="0"/>
        <w:tabs>
          <w:tab w:val="clear" w:pos="567"/>
        </w:tabs>
        <w:rPr>
          <w:color w:val="000000"/>
          <w:szCs w:val="22"/>
          <w:lang w:val="fi-FI"/>
        </w:rPr>
      </w:pPr>
    </w:p>
    <w:p w14:paraId="586FC617" w14:textId="77777777" w:rsidR="00311DC5" w:rsidRPr="00912A5D" w:rsidRDefault="00311DC5" w:rsidP="00331A48">
      <w:pPr>
        <w:keepNext/>
        <w:widowControl w:val="0"/>
        <w:suppressAutoHyphens/>
        <w:ind w:left="567" w:hanging="567"/>
        <w:rPr>
          <w:rFonts w:ascii="Times New Roman" w:hAnsi="Times New Roman"/>
          <w:b/>
          <w:sz w:val="22"/>
          <w:szCs w:val="22"/>
        </w:rPr>
      </w:pPr>
      <w:r w:rsidRPr="00912A5D">
        <w:rPr>
          <w:rFonts w:ascii="Times New Roman" w:hAnsi="Times New Roman"/>
          <w:b/>
          <w:sz w:val="22"/>
          <w:szCs w:val="22"/>
        </w:rPr>
        <w:t>4.8</w:t>
      </w:r>
      <w:r w:rsidRPr="00912A5D">
        <w:rPr>
          <w:rFonts w:ascii="Times New Roman" w:hAnsi="Times New Roman"/>
          <w:b/>
          <w:sz w:val="22"/>
          <w:szCs w:val="22"/>
        </w:rPr>
        <w:tab/>
        <w:t>Haittavaikutukset</w:t>
      </w:r>
    </w:p>
    <w:p w14:paraId="586FC618" w14:textId="77777777" w:rsidR="00311DC5" w:rsidRPr="00912A5D" w:rsidRDefault="00311DC5" w:rsidP="00331A48">
      <w:pPr>
        <w:keepNext/>
        <w:widowControl w:val="0"/>
        <w:rPr>
          <w:rFonts w:ascii="Times New Roman" w:hAnsi="Times New Roman"/>
          <w:sz w:val="22"/>
          <w:szCs w:val="22"/>
        </w:rPr>
      </w:pPr>
    </w:p>
    <w:p w14:paraId="586FC619"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Potilailla, joilla on pitkälle edennyt syöpäsairaus, voi olla useita muita sairauksia, jotka vaikeuttavat haittavaikutusten syysuhteiden arviointia erilaisten oireiden vuoksi, jotka liittyvät perussairauteen, perussairauden etenemiseen ja monien lääkkeiden yhteiskäyttöön.</w:t>
      </w:r>
    </w:p>
    <w:p w14:paraId="586FC61A" w14:textId="77777777" w:rsidR="00311DC5" w:rsidRPr="00912A5D" w:rsidRDefault="00311DC5" w:rsidP="00311DC5">
      <w:pPr>
        <w:pStyle w:val="Text"/>
        <w:widowControl w:val="0"/>
        <w:spacing w:before="0"/>
        <w:jc w:val="left"/>
        <w:rPr>
          <w:color w:val="000000"/>
          <w:sz w:val="22"/>
          <w:szCs w:val="22"/>
          <w:lang w:val="fi-FI"/>
        </w:rPr>
      </w:pPr>
    </w:p>
    <w:p w14:paraId="586FC61B"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 xml:space="preserve">Kliinisissä </w:t>
      </w:r>
      <w:smartTag w:uri="urn:schemas-microsoft-com:office:smarttags" w:element="State">
        <w:r w:rsidRPr="00912A5D">
          <w:rPr>
            <w:color w:val="000000"/>
            <w:sz w:val="22"/>
            <w:szCs w:val="22"/>
            <w:lang w:val="fi-FI"/>
          </w:rPr>
          <w:t>KML</w:t>
        </w:r>
      </w:smartTag>
      <w:r w:rsidRPr="00912A5D">
        <w:rPr>
          <w:color w:val="000000"/>
          <w:sz w:val="22"/>
          <w:szCs w:val="22"/>
          <w:lang w:val="fi-FI"/>
        </w:rPr>
        <w:t>-tutkimuksissa lääkkeen käytön lopettaminen lääkkeisiin liittyvien haittavaikutusten vuoksi havaittiin 2,4 %:lla juuri diagnosoiduista potilaista, 4 %:lla taudin myöhäisen kroonisen vaiheen potilaista interferonihoidon epäonnistuttua, 4 %:lla akseleraatiovaiheen potilaista interferonihoidon epäonnistuttua ja 5 %:lla blastikriisipotilaista interferonihoidon epäonnistuttua. GIST-tutkimuksessa lääkkeen käyttö lopetettiin lääkkeeseen liittyvien haittavaikutusten vuoksi 4 %:lla potilaista.</w:t>
      </w:r>
    </w:p>
    <w:p w14:paraId="586FC61C" w14:textId="77777777" w:rsidR="00311DC5" w:rsidRPr="00912A5D" w:rsidRDefault="00311DC5" w:rsidP="00311DC5">
      <w:pPr>
        <w:pStyle w:val="Text"/>
        <w:widowControl w:val="0"/>
        <w:spacing w:before="0"/>
        <w:jc w:val="left"/>
        <w:rPr>
          <w:color w:val="000000"/>
          <w:sz w:val="22"/>
          <w:szCs w:val="22"/>
          <w:lang w:val="fi-FI"/>
        </w:rPr>
      </w:pPr>
    </w:p>
    <w:p w14:paraId="586FC61D"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Kahta poikkeusta lukuun</w:t>
      </w:r>
      <w:r>
        <w:rPr>
          <w:color w:val="000000"/>
          <w:sz w:val="22"/>
          <w:szCs w:val="22"/>
          <w:lang w:val="fi-FI"/>
        </w:rPr>
        <w:t xml:space="preserve"> </w:t>
      </w:r>
      <w:r w:rsidRPr="00912A5D">
        <w:rPr>
          <w:color w:val="000000"/>
          <w:sz w:val="22"/>
          <w:szCs w:val="22"/>
          <w:lang w:val="fi-FI"/>
        </w:rPr>
        <w:t xml:space="preserve">ottamatta haittavaikutukset olivat samanlaisia kaikissa käyttöaiheissa. </w:t>
      </w:r>
      <w:smartTag w:uri="urn:schemas-microsoft-com:office:smarttags" w:element="State">
        <w:r w:rsidRPr="00912A5D">
          <w:rPr>
            <w:color w:val="000000"/>
            <w:sz w:val="22"/>
            <w:szCs w:val="22"/>
            <w:lang w:val="fi-FI"/>
          </w:rPr>
          <w:t>KML</w:t>
        </w:r>
      </w:smartTag>
      <w:r w:rsidRPr="00912A5D">
        <w:rPr>
          <w:color w:val="000000"/>
          <w:sz w:val="22"/>
          <w:szCs w:val="22"/>
          <w:lang w:val="fi-FI"/>
        </w:rPr>
        <w:t>-potilailla havaittiin enemmän myelosuppressiota kuin GIST-potilailla, mikä johtuu todennäköisesti perustaudista. GIST-tutkimuksessa</w:t>
      </w:r>
      <w:r w:rsidRPr="00821CC4">
        <w:rPr>
          <w:sz w:val="22"/>
          <w:szCs w:val="22"/>
          <w:lang w:val="fi-FI"/>
        </w:rPr>
        <w:t xml:space="preserve">, kun </w:t>
      </w:r>
      <w:r>
        <w:rPr>
          <w:sz w:val="22"/>
          <w:szCs w:val="22"/>
          <w:lang w:val="fi-FI"/>
        </w:rPr>
        <w:t xml:space="preserve">potilaiden </w:t>
      </w:r>
      <w:r w:rsidRPr="00821CC4">
        <w:rPr>
          <w:sz w:val="22"/>
          <w:szCs w:val="22"/>
          <w:lang w:val="fi-FI"/>
        </w:rPr>
        <w:t>kasvainta ei voida leikata ja/tai kun kasvain on metastasoitunut</w:t>
      </w:r>
      <w:r w:rsidRPr="00912A5D">
        <w:rPr>
          <w:color w:val="000000"/>
          <w:sz w:val="22"/>
          <w:szCs w:val="22"/>
          <w:lang w:val="fi-FI"/>
        </w:rPr>
        <w:t xml:space="preserve"> 7 potilaalla (5 %) oli 3/4 asteen (</w:t>
      </w:r>
      <w:smartTag w:uri="urn:schemas-microsoft-com:office:smarttags" w:element="State">
        <w:r w:rsidRPr="00912A5D">
          <w:rPr>
            <w:color w:val="000000"/>
            <w:sz w:val="22"/>
            <w:szCs w:val="22"/>
            <w:lang w:val="fi-FI"/>
          </w:rPr>
          <w:t>CTC</w:t>
        </w:r>
      </w:smartTag>
      <w:r w:rsidRPr="00912A5D">
        <w:rPr>
          <w:color w:val="000000"/>
          <w:sz w:val="22"/>
          <w:szCs w:val="22"/>
          <w:lang w:val="fi-FI"/>
        </w:rPr>
        <w:t>, Common Toxicity Criteria) verenvuoto: ruuansulatuskanavan verenvuoto (3 potilasta); verenvuotoja kasvaimien alueella (3 potilasta) tai molemmat (1 potilas). Ruuansulatuskanavan verenvuodot saattavat olla lähtöisin ruuansulatuskanavan alueella sijaitsevista kasvaimista (ks. kohta 4.4). Ruuansulatuskanavan ja kasvaimen verenvuodot voivat olla vakavia ja joskus kuolemaan johtavia. Yleisimpiä (≥ 10 %) lääkkeisiin liittyviä haittavaikutuksia molemmissa potilasryhmissä olivat lievä pahoinvointi, oksentelu, ripuli, vatsakipu, väsymys, lihassärky, lihaskouristukset ja ihottuma. Pinnallinen turvotus oli yleinen löydös kaikissa tutkimuksissa, ja sitä kuvattiin lähinnä periorbitaaliseksi turvotukseksi ja alaraajaturvotukseksi. Turvotus oli kuitenkin vain harvoin vaikeaa, ja se voidaan hoitaa diureeteilla, muilla tukitoimilla tai Glivec-annosta pienentämällä.</w:t>
      </w:r>
    </w:p>
    <w:p w14:paraId="586FC61E" w14:textId="77777777" w:rsidR="00311DC5" w:rsidRPr="00912A5D" w:rsidRDefault="00311DC5" w:rsidP="00311DC5">
      <w:pPr>
        <w:pStyle w:val="Text"/>
        <w:widowControl w:val="0"/>
        <w:spacing w:before="0"/>
        <w:jc w:val="left"/>
        <w:rPr>
          <w:color w:val="000000"/>
          <w:sz w:val="22"/>
          <w:szCs w:val="22"/>
          <w:lang w:val="fi-FI"/>
        </w:rPr>
      </w:pPr>
    </w:p>
    <w:p w14:paraId="586FC61F"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 xml:space="preserve">Kun imatinibi yhdistettiin suuriannoksiseen kemoterapiaan Ph+ </w:t>
      </w:r>
      <w:smartTag w:uri="urn:schemas-microsoft-com:office:smarttags" w:element="State">
        <w:r w:rsidRPr="00912A5D">
          <w:rPr>
            <w:color w:val="000000"/>
            <w:sz w:val="22"/>
            <w:szCs w:val="22"/>
            <w:lang w:val="fi-FI"/>
          </w:rPr>
          <w:t>ALL</w:t>
        </w:r>
      </w:smartTag>
      <w:r w:rsidRPr="00912A5D">
        <w:rPr>
          <w:color w:val="000000"/>
          <w:sz w:val="22"/>
          <w:szCs w:val="22"/>
          <w:lang w:val="fi-FI"/>
        </w:rPr>
        <w:t>-potilailla, todettiin ohimenevää maksatoksisuutta, joka ilmeni transaminaasiarvojen nousuna ja hyperbilirubinemiana.</w:t>
      </w:r>
      <w:r>
        <w:rPr>
          <w:color w:val="000000"/>
          <w:sz w:val="22"/>
          <w:szCs w:val="22"/>
          <w:lang w:val="fi-FI"/>
        </w:rPr>
        <w:t xml:space="preserve"> </w:t>
      </w:r>
      <w:r w:rsidRPr="00396314">
        <w:rPr>
          <w:color w:val="000000"/>
          <w:sz w:val="22"/>
          <w:szCs w:val="22"/>
          <w:lang w:val="fi-FI" w:eastAsia="fi-FI"/>
        </w:rPr>
        <w:t>Ottaen huomioon turvallisuustietokannan rajallisuuden, lapsilla tähän mennessä ilmoitetut hait</w:t>
      </w:r>
      <w:r w:rsidRPr="001678D7">
        <w:rPr>
          <w:color w:val="000000"/>
          <w:sz w:val="22"/>
          <w:szCs w:val="22"/>
          <w:lang w:val="fi-FI"/>
        </w:rPr>
        <w:t xml:space="preserve">tatapahtumat vastaavat Ph+ ALL </w:t>
      </w:r>
      <w:r w:rsidRPr="001678D7">
        <w:rPr>
          <w:color w:val="000000"/>
          <w:sz w:val="22"/>
          <w:szCs w:val="22"/>
          <w:lang w:val="fi-FI"/>
        </w:rPr>
        <w:noBreakHyphen/>
      </w:r>
      <w:r w:rsidRPr="00396314">
        <w:rPr>
          <w:color w:val="000000"/>
          <w:sz w:val="22"/>
          <w:szCs w:val="22"/>
          <w:lang w:val="fi-FI" w:eastAsia="fi-FI"/>
        </w:rPr>
        <w:t xml:space="preserve">aikuispotilaiden tunnettua turvallisuusprofiilia. </w:t>
      </w:r>
      <w:r>
        <w:rPr>
          <w:color w:val="000000"/>
          <w:sz w:val="22"/>
          <w:szCs w:val="22"/>
          <w:lang w:val="fi-FI" w:eastAsia="fi-FI"/>
        </w:rPr>
        <w:t>Ph+ ALL -lapsipotilaita koskeva turvallisuustietokanta on hyvin rajallinen, mutta uusia turvallisuusriskejä ei ole tunnistettu.</w:t>
      </w:r>
    </w:p>
    <w:p w14:paraId="586FC620" w14:textId="77777777" w:rsidR="00311DC5" w:rsidRPr="00912A5D" w:rsidRDefault="00311DC5" w:rsidP="00311DC5">
      <w:pPr>
        <w:pStyle w:val="Text"/>
        <w:widowControl w:val="0"/>
        <w:spacing w:before="0"/>
        <w:jc w:val="left"/>
        <w:rPr>
          <w:color w:val="000000"/>
          <w:sz w:val="22"/>
          <w:szCs w:val="22"/>
          <w:lang w:val="fi-FI"/>
        </w:rPr>
      </w:pPr>
    </w:p>
    <w:p w14:paraId="586FC621"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Sekalaisia haittavaikutuksia kuten pleuraeffuusio, askites, keuhkoödeema ja nopea painonnousu, johon voi liittyä pinnallista turvotusta, voidaan kuvata kollektiivisesti ”nestekertymiksi”. Nämä voidaan yleensä hoitaa keskeyttämällä Glivec-hoito väliaikaisesti ja diureeteilla ja muilla asianmukaisilla tukitoimilla. Jotkut näistä haittavaikutuksista saattavat kuitenkin olla vakavia tai hengenvaarallisia, ja useita blastikriisipotilaita, joilla oli todettu pleuraeffuusio, kongestiivinen sydämen vajaatoiminta ja munuaisten vajaatoiminta, on kuollut. Kliinisissä tutkimuksissa ei lapsipotilailla havaittu erityisiä turvallisuuteen liittyviä löydöksiä.</w:t>
      </w:r>
    </w:p>
    <w:p w14:paraId="586FC622" w14:textId="77777777" w:rsidR="00311DC5" w:rsidRPr="00912A5D" w:rsidRDefault="00311DC5" w:rsidP="00311DC5">
      <w:pPr>
        <w:pStyle w:val="Text"/>
        <w:widowControl w:val="0"/>
        <w:spacing w:before="0"/>
        <w:jc w:val="left"/>
        <w:rPr>
          <w:color w:val="000000"/>
          <w:sz w:val="22"/>
          <w:szCs w:val="22"/>
          <w:lang w:val="fi-FI"/>
        </w:rPr>
      </w:pPr>
    </w:p>
    <w:p w14:paraId="586FC623" w14:textId="77777777" w:rsidR="00311DC5" w:rsidRPr="00912A5D" w:rsidRDefault="00311DC5" w:rsidP="00331A48">
      <w:pPr>
        <w:pStyle w:val="Text"/>
        <w:keepNext/>
        <w:widowControl w:val="0"/>
        <w:spacing w:before="0"/>
        <w:jc w:val="left"/>
        <w:rPr>
          <w:b/>
          <w:color w:val="000000"/>
          <w:sz w:val="22"/>
          <w:szCs w:val="22"/>
          <w:lang w:val="fi-FI"/>
        </w:rPr>
      </w:pPr>
      <w:r w:rsidRPr="00912A5D">
        <w:rPr>
          <w:b/>
          <w:color w:val="000000"/>
          <w:sz w:val="22"/>
          <w:szCs w:val="22"/>
          <w:lang w:val="fi-FI"/>
        </w:rPr>
        <w:lastRenderedPageBreak/>
        <w:t>Haittavaikutukset</w:t>
      </w:r>
    </w:p>
    <w:p w14:paraId="586FC624"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 xml:space="preserve">Haittavaikutukset, joita on raportoitu useampia kuin yksittäinen tapaus, on lueteltu alla elinryhmittäin ja esiintymistiheyden mukaan luokiteltuina. Esiintymistiheydet on määritelty seuraavasti: </w:t>
      </w:r>
      <w:r>
        <w:rPr>
          <w:color w:val="000000"/>
          <w:sz w:val="22"/>
          <w:szCs w:val="22"/>
          <w:lang w:val="fi-FI"/>
        </w:rPr>
        <w:t>hyvin</w:t>
      </w:r>
      <w:r w:rsidRPr="00912A5D">
        <w:rPr>
          <w:color w:val="000000"/>
          <w:sz w:val="22"/>
          <w:szCs w:val="22"/>
          <w:lang w:val="fi-FI"/>
        </w:rPr>
        <w:t xml:space="preserve"> yleinen (</w:t>
      </w:r>
      <w:r>
        <w:rPr>
          <w:color w:val="000000"/>
          <w:sz w:val="22"/>
          <w:szCs w:val="22"/>
          <w:lang w:val="fi-FI"/>
        </w:rPr>
        <w:t>≥</w:t>
      </w:r>
      <w:r w:rsidRPr="00912A5D">
        <w:rPr>
          <w:color w:val="000000"/>
          <w:sz w:val="22"/>
          <w:szCs w:val="22"/>
          <w:lang w:val="fi-FI"/>
        </w:rPr>
        <w:t>1/10), yleinen (</w:t>
      </w:r>
      <w:r>
        <w:rPr>
          <w:color w:val="000000"/>
          <w:sz w:val="22"/>
          <w:szCs w:val="22"/>
          <w:lang w:val="fi-FI"/>
        </w:rPr>
        <w:t>≥</w:t>
      </w:r>
      <w:r w:rsidRPr="00912A5D">
        <w:rPr>
          <w:color w:val="000000"/>
          <w:sz w:val="22"/>
          <w:szCs w:val="22"/>
          <w:lang w:val="fi-FI"/>
        </w:rPr>
        <w:t>1/100, </w:t>
      </w:r>
      <w:r>
        <w:rPr>
          <w:color w:val="000000"/>
          <w:sz w:val="22"/>
          <w:szCs w:val="22"/>
          <w:lang w:val="fi-FI"/>
        </w:rPr>
        <w:t>&lt;</w:t>
      </w:r>
      <w:r w:rsidRPr="00912A5D">
        <w:rPr>
          <w:color w:val="000000"/>
          <w:sz w:val="22"/>
          <w:szCs w:val="22"/>
          <w:lang w:val="fi-FI"/>
        </w:rPr>
        <w:t>1/10), melko harvinainen (</w:t>
      </w:r>
      <w:r>
        <w:rPr>
          <w:color w:val="000000"/>
          <w:sz w:val="22"/>
          <w:szCs w:val="22"/>
          <w:lang w:val="fi-FI"/>
        </w:rPr>
        <w:t>≥</w:t>
      </w:r>
      <w:r w:rsidRPr="00912A5D">
        <w:rPr>
          <w:color w:val="000000"/>
          <w:sz w:val="22"/>
          <w:szCs w:val="22"/>
          <w:lang w:val="fi-FI"/>
        </w:rPr>
        <w:t>1/1 000, </w:t>
      </w:r>
      <w:r>
        <w:rPr>
          <w:color w:val="000000"/>
          <w:sz w:val="22"/>
          <w:szCs w:val="22"/>
          <w:lang w:val="fi-FI"/>
        </w:rPr>
        <w:t>&lt;</w:t>
      </w:r>
      <w:r w:rsidRPr="00912A5D">
        <w:rPr>
          <w:color w:val="000000"/>
          <w:sz w:val="22"/>
          <w:szCs w:val="22"/>
          <w:lang w:val="fi-FI"/>
        </w:rPr>
        <w:t>1/100), harvinainen (</w:t>
      </w:r>
      <w:r>
        <w:rPr>
          <w:color w:val="000000"/>
          <w:sz w:val="22"/>
          <w:szCs w:val="22"/>
          <w:lang w:val="fi-FI"/>
        </w:rPr>
        <w:t>≥1/</w:t>
      </w:r>
      <w:r w:rsidRPr="00912A5D">
        <w:rPr>
          <w:color w:val="000000"/>
          <w:sz w:val="22"/>
          <w:szCs w:val="22"/>
          <w:lang w:val="fi-FI"/>
        </w:rPr>
        <w:t>1</w:t>
      </w:r>
      <w:r>
        <w:rPr>
          <w:color w:val="000000"/>
          <w:sz w:val="22"/>
          <w:szCs w:val="22"/>
          <w:lang w:val="fi-FI"/>
        </w:rPr>
        <w:t>0</w:t>
      </w:r>
      <w:r w:rsidRPr="00912A5D">
        <w:rPr>
          <w:color w:val="000000"/>
          <w:sz w:val="22"/>
          <w:szCs w:val="22"/>
          <w:lang w:val="fi-FI"/>
        </w:rPr>
        <w:t> 000</w:t>
      </w:r>
      <w:r>
        <w:rPr>
          <w:color w:val="000000"/>
          <w:sz w:val="22"/>
          <w:szCs w:val="22"/>
          <w:lang w:val="fi-FI"/>
        </w:rPr>
        <w:t>, &lt;</w:t>
      </w:r>
      <w:r w:rsidRPr="00912A5D">
        <w:rPr>
          <w:color w:val="000000"/>
          <w:sz w:val="22"/>
          <w:szCs w:val="22"/>
          <w:lang w:val="fi-FI"/>
        </w:rPr>
        <w:t xml:space="preserve">1/1 000), </w:t>
      </w:r>
      <w:r>
        <w:rPr>
          <w:color w:val="000000"/>
          <w:sz w:val="22"/>
          <w:szCs w:val="22"/>
          <w:lang w:val="fi-FI"/>
        </w:rPr>
        <w:t>hyvin harvinainen (&lt;1/</w:t>
      </w:r>
      <w:r w:rsidRPr="00912A5D">
        <w:rPr>
          <w:color w:val="000000"/>
          <w:sz w:val="22"/>
          <w:szCs w:val="22"/>
          <w:lang w:val="fi-FI"/>
        </w:rPr>
        <w:t>1</w:t>
      </w:r>
      <w:r>
        <w:rPr>
          <w:color w:val="000000"/>
          <w:sz w:val="22"/>
          <w:szCs w:val="22"/>
          <w:lang w:val="fi-FI"/>
        </w:rPr>
        <w:t>0</w:t>
      </w:r>
      <w:r w:rsidRPr="00912A5D">
        <w:rPr>
          <w:color w:val="000000"/>
          <w:sz w:val="22"/>
          <w:szCs w:val="22"/>
          <w:lang w:val="fi-FI"/>
        </w:rPr>
        <w:t> 000</w:t>
      </w:r>
      <w:r>
        <w:rPr>
          <w:color w:val="000000"/>
          <w:sz w:val="22"/>
          <w:szCs w:val="22"/>
          <w:lang w:val="fi-FI"/>
        </w:rPr>
        <w:t xml:space="preserve">), </w:t>
      </w:r>
      <w:r w:rsidRPr="00912A5D">
        <w:rPr>
          <w:noProof/>
          <w:color w:val="000000"/>
          <w:sz w:val="22"/>
          <w:szCs w:val="22"/>
          <w:lang w:val="fi-FI"/>
        </w:rPr>
        <w:t>tuntematon (koska saatavissa oleva tieto ei riitä arviointiin)</w:t>
      </w:r>
      <w:r w:rsidRPr="00912A5D">
        <w:rPr>
          <w:color w:val="000000"/>
          <w:sz w:val="22"/>
          <w:szCs w:val="22"/>
          <w:lang w:val="fi-FI"/>
        </w:rPr>
        <w:t>.</w:t>
      </w:r>
    </w:p>
    <w:p w14:paraId="586FC625" w14:textId="77777777" w:rsidR="00311DC5" w:rsidRPr="00912A5D" w:rsidRDefault="00311DC5" w:rsidP="00311DC5">
      <w:pPr>
        <w:pStyle w:val="Text"/>
        <w:widowControl w:val="0"/>
        <w:spacing w:before="0"/>
        <w:jc w:val="left"/>
        <w:rPr>
          <w:color w:val="000000"/>
          <w:sz w:val="22"/>
          <w:szCs w:val="22"/>
          <w:lang w:val="fi-FI"/>
        </w:rPr>
      </w:pPr>
    </w:p>
    <w:p w14:paraId="586FC626" w14:textId="77777777" w:rsidR="00311DC5" w:rsidRPr="00912A5D" w:rsidRDefault="00311DC5" w:rsidP="00311DC5">
      <w:pPr>
        <w:pStyle w:val="Text"/>
        <w:spacing w:before="0"/>
        <w:jc w:val="left"/>
        <w:rPr>
          <w:color w:val="000000"/>
          <w:sz w:val="22"/>
          <w:szCs w:val="22"/>
          <w:lang w:val="fi-FI"/>
        </w:rPr>
      </w:pPr>
      <w:r w:rsidRPr="00912A5D">
        <w:rPr>
          <w:color w:val="000000"/>
          <w:sz w:val="22"/>
          <w:szCs w:val="22"/>
          <w:lang w:val="fi-FI"/>
        </w:rPr>
        <w:t>Haittavaikutukset on esitetty kussakin yleisyysluokassa haittavaikutuksen esiintymistiheyden mukaan yleisimmistä alkaen.</w:t>
      </w:r>
    </w:p>
    <w:p w14:paraId="586FC627" w14:textId="77777777" w:rsidR="00311DC5" w:rsidRPr="00912A5D" w:rsidRDefault="00311DC5" w:rsidP="00311DC5">
      <w:pPr>
        <w:rPr>
          <w:rFonts w:ascii="Times New Roman" w:hAnsi="Times New Roman"/>
          <w:sz w:val="22"/>
          <w:szCs w:val="24"/>
          <w:lang w:eastAsia="ja-JP"/>
        </w:rPr>
      </w:pPr>
    </w:p>
    <w:p w14:paraId="586FC628" w14:textId="77777777" w:rsidR="00311DC5" w:rsidRPr="00912A5D" w:rsidRDefault="00311DC5" w:rsidP="00311DC5">
      <w:pPr>
        <w:rPr>
          <w:rFonts w:ascii="Times New Roman" w:hAnsi="Times New Roman"/>
          <w:sz w:val="22"/>
        </w:rPr>
      </w:pPr>
      <w:r w:rsidRPr="00912A5D">
        <w:rPr>
          <w:rFonts w:ascii="Times New Roman" w:hAnsi="Times New Roman"/>
          <w:sz w:val="22"/>
          <w:szCs w:val="24"/>
          <w:lang w:eastAsia="ja-JP"/>
        </w:rPr>
        <w:t xml:space="preserve">Taulukossa 1 </w:t>
      </w:r>
      <w:r w:rsidR="001505D2">
        <w:rPr>
          <w:rFonts w:ascii="Times New Roman" w:hAnsi="Times New Roman"/>
          <w:sz w:val="22"/>
          <w:szCs w:val="24"/>
          <w:lang w:eastAsia="ja-JP"/>
        </w:rPr>
        <w:t xml:space="preserve">on </w:t>
      </w:r>
      <w:r w:rsidRPr="00912A5D">
        <w:rPr>
          <w:rFonts w:ascii="Times New Roman" w:hAnsi="Times New Roman"/>
          <w:sz w:val="22"/>
          <w:szCs w:val="24"/>
          <w:lang w:eastAsia="ja-JP"/>
        </w:rPr>
        <w:t>luetel</w:t>
      </w:r>
      <w:r w:rsidR="001505D2">
        <w:rPr>
          <w:rFonts w:ascii="Times New Roman" w:hAnsi="Times New Roman"/>
          <w:sz w:val="22"/>
          <w:szCs w:val="24"/>
          <w:lang w:eastAsia="ja-JP"/>
        </w:rPr>
        <w:t>t</w:t>
      </w:r>
      <w:r w:rsidRPr="00912A5D">
        <w:rPr>
          <w:rFonts w:ascii="Times New Roman" w:hAnsi="Times New Roman"/>
          <w:sz w:val="22"/>
          <w:szCs w:val="24"/>
          <w:lang w:eastAsia="ja-JP"/>
        </w:rPr>
        <w:t>u haittavaikutukset ja niiden esiintymistiheydet.</w:t>
      </w:r>
    </w:p>
    <w:p w14:paraId="586FC629" w14:textId="77777777" w:rsidR="00311DC5" w:rsidRPr="00912A5D" w:rsidRDefault="00311DC5" w:rsidP="00311DC5">
      <w:pPr>
        <w:rPr>
          <w:rFonts w:ascii="Times New Roman" w:hAnsi="Times New Roman"/>
          <w:sz w:val="22"/>
        </w:rPr>
      </w:pPr>
    </w:p>
    <w:p w14:paraId="586FC62A" w14:textId="77777777" w:rsidR="00311DC5" w:rsidRPr="00912A5D" w:rsidRDefault="00311DC5" w:rsidP="00331A48">
      <w:pPr>
        <w:keepNext/>
        <w:tabs>
          <w:tab w:val="left" w:pos="1418"/>
        </w:tabs>
        <w:rPr>
          <w:rFonts w:ascii="Times New Roman" w:hAnsi="Times New Roman"/>
          <w:b/>
          <w:sz w:val="22"/>
        </w:rPr>
      </w:pPr>
      <w:r w:rsidRPr="00912A5D">
        <w:rPr>
          <w:rFonts w:ascii="Times New Roman" w:hAnsi="Times New Roman"/>
          <w:b/>
          <w:sz w:val="22"/>
        </w:rPr>
        <w:t>Taulukko 1</w:t>
      </w:r>
      <w:r w:rsidRPr="00912A5D">
        <w:rPr>
          <w:rFonts w:ascii="Times New Roman" w:hAnsi="Times New Roman"/>
          <w:b/>
          <w:sz w:val="22"/>
        </w:rPr>
        <w:tab/>
      </w:r>
      <w:r w:rsidR="001505D2">
        <w:rPr>
          <w:rFonts w:ascii="Times New Roman" w:hAnsi="Times New Roman"/>
          <w:b/>
          <w:sz w:val="22"/>
        </w:rPr>
        <w:t xml:space="preserve">Taulukoitu yhteenveto </w:t>
      </w:r>
      <w:r w:rsidRPr="00912A5D">
        <w:rPr>
          <w:rFonts w:ascii="Times New Roman" w:hAnsi="Times New Roman"/>
          <w:b/>
          <w:sz w:val="22"/>
        </w:rPr>
        <w:t>haittavaikutuks</w:t>
      </w:r>
      <w:r w:rsidR="001505D2">
        <w:rPr>
          <w:rFonts w:ascii="Times New Roman" w:hAnsi="Times New Roman"/>
          <w:b/>
          <w:sz w:val="22"/>
        </w:rPr>
        <w:t>is</w:t>
      </w:r>
      <w:r w:rsidRPr="00912A5D">
        <w:rPr>
          <w:rFonts w:ascii="Times New Roman" w:hAnsi="Times New Roman"/>
          <w:b/>
          <w:sz w:val="22"/>
        </w:rPr>
        <w:t>t</w:t>
      </w:r>
      <w:r w:rsidR="001505D2">
        <w:rPr>
          <w:rFonts w:ascii="Times New Roman" w:hAnsi="Times New Roman"/>
          <w:b/>
          <w:sz w:val="22"/>
        </w:rPr>
        <w:t>a</w:t>
      </w:r>
    </w:p>
    <w:p w14:paraId="586FC62B" w14:textId="77777777" w:rsidR="00311DC5" w:rsidRPr="00912A5D" w:rsidRDefault="00311DC5" w:rsidP="00331A48">
      <w:pPr>
        <w:pStyle w:val="Text"/>
        <w:keepNext/>
        <w:spacing w:before="0"/>
        <w:rPr>
          <w:color w:val="000000"/>
          <w:sz w:val="22"/>
          <w:szCs w:val="22"/>
          <w:lang w:val="fi-F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311DC5" w:rsidRPr="00912A5D" w14:paraId="586FC62D" w14:textId="77777777" w:rsidTr="008238ED">
        <w:tc>
          <w:tcPr>
            <w:tcW w:w="9322" w:type="dxa"/>
            <w:gridSpan w:val="2"/>
          </w:tcPr>
          <w:p w14:paraId="586FC62C" w14:textId="77777777" w:rsidR="00311DC5" w:rsidRPr="00B611CC" w:rsidRDefault="00311DC5" w:rsidP="00331A48">
            <w:pPr>
              <w:keepNext/>
              <w:widowControl w:val="0"/>
              <w:rPr>
                <w:rFonts w:ascii="Times New Roman" w:hAnsi="Times New Roman"/>
                <w:sz w:val="22"/>
                <w:szCs w:val="22"/>
                <w:lang w:val="pt-PT"/>
              </w:rPr>
            </w:pPr>
            <w:r w:rsidRPr="00B611CC">
              <w:rPr>
                <w:rFonts w:ascii="Times New Roman" w:hAnsi="Times New Roman"/>
                <w:b/>
                <w:sz w:val="22"/>
                <w:szCs w:val="22"/>
              </w:rPr>
              <w:t>Infektiot</w:t>
            </w:r>
          </w:p>
        </w:tc>
      </w:tr>
      <w:tr w:rsidR="00311DC5" w:rsidRPr="00912A5D" w14:paraId="586FC630" w14:textId="77777777" w:rsidTr="00331A48">
        <w:trPr>
          <w:cantSplit/>
        </w:trPr>
        <w:tc>
          <w:tcPr>
            <w:tcW w:w="2235" w:type="dxa"/>
          </w:tcPr>
          <w:p w14:paraId="586FC62E"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2F" w14:textId="77777777" w:rsidR="00311DC5" w:rsidRPr="00912A5D" w:rsidRDefault="00311DC5" w:rsidP="00331A48">
            <w:pPr>
              <w:keepNext/>
              <w:widowControl w:val="0"/>
              <w:rPr>
                <w:rFonts w:ascii="Times New Roman" w:hAnsi="Times New Roman"/>
                <w:sz w:val="22"/>
                <w:szCs w:val="22"/>
                <w:lang w:val="pt-PT"/>
              </w:rPr>
            </w:pPr>
            <w:r w:rsidRPr="00912A5D">
              <w:rPr>
                <w:rFonts w:ascii="Times New Roman" w:hAnsi="Times New Roman"/>
                <w:sz w:val="22"/>
                <w:szCs w:val="22"/>
              </w:rPr>
              <w:t>Herpes zoster, herpes simplex, nasofaryngiitti, keuhkokuume</w:t>
            </w:r>
            <w:r w:rsidRPr="00D96BC6">
              <w:rPr>
                <w:rFonts w:ascii="Times New Roman" w:hAnsi="Times New Roman"/>
                <w:sz w:val="22"/>
                <w:szCs w:val="22"/>
                <w:vertAlign w:val="superscript"/>
              </w:rPr>
              <w:t>1</w:t>
            </w:r>
            <w:r w:rsidRPr="00912A5D">
              <w:rPr>
                <w:rFonts w:ascii="Times New Roman" w:hAnsi="Times New Roman"/>
                <w:sz w:val="22"/>
                <w:szCs w:val="22"/>
              </w:rPr>
              <w:t>, sinuiitti, selluliitti, ylähengitystieinfektiot, influenssa, virtsatieinfektiot, gastroenteriitti, sepsis</w:t>
            </w:r>
          </w:p>
        </w:tc>
      </w:tr>
      <w:tr w:rsidR="00311DC5" w:rsidRPr="00912A5D" w14:paraId="586FC633" w14:textId="77777777" w:rsidTr="008238ED">
        <w:tc>
          <w:tcPr>
            <w:tcW w:w="2235" w:type="dxa"/>
          </w:tcPr>
          <w:p w14:paraId="586FC631"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32"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Sieni-infektio</w:t>
            </w:r>
          </w:p>
        </w:tc>
      </w:tr>
      <w:tr w:rsidR="009707CA" w:rsidRPr="00912A5D" w14:paraId="586FC636" w14:textId="77777777" w:rsidTr="008238ED">
        <w:tc>
          <w:tcPr>
            <w:tcW w:w="2235" w:type="dxa"/>
          </w:tcPr>
          <w:p w14:paraId="586FC634" w14:textId="77777777" w:rsidR="009707CA" w:rsidRPr="00912A5D" w:rsidRDefault="009707CA" w:rsidP="008238ED">
            <w:pPr>
              <w:rPr>
                <w:rFonts w:ascii="Times New Roman" w:hAnsi="Times New Roman"/>
                <w:i/>
                <w:sz w:val="22"/>
                <w:szCs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635" w14:textId="77777777" w:rsidR="009707CA" w:rsidRPr="00912A5D" w:rsidRDefault="009707CA" w:rsidP="008238ED">
            <w:pPr>
              <w:rPr>
                <w:rFonts w:ascii="Times New Roman" w:hAnsi="Times New Roman"/>
                <w:sz w:val="22"/>
                <w:szCs w:val="22"/>
              </w:rPr>
            </w:pPr>
            <w:r w:rsidRPr="00210954">
              <w:rPr>
                <w:rFonts w:ascii="Times New Roman" w:hAnsi="Times New Roman"/>
                <w:sz w:val="22"/>
                <w:szCs w:val="22"/>
              </w:rPr>
              <w:t>Hepatiitti B:n uudelleen aktivoituminen</w:t>
            </w:r>
            <w:r>
              <w:rPr>
                <w:rFonts w:ascii="Times New Roman" w:hAnsi="Times New Roman"/>
                <w:sz w:val="22"/>
                <w:szCs w:val="22"/>
              </w:rPr>
              <w:t>*</w:t>
            </w:r>
          </w:p>
        </w:tc>
      </w:tr>
      <w:tr w:rsidR="00311DC5" w:rsidRPr="00912A5D" w14:paraId="586FC638" w14:textId="77777777" w:rsidTr="008238ED">
        <w:tc>
          <w:tcPr>
            <w:tcW w:w="9322" w:type="dxa"/>
            <w:gridSpan w:val="2"/>
          </w:tcPr>
          <w:p w14:paraId="586FC637" w14:textId="77777777" w:rsidR="00311DC5" w:rsidRPr="00B611CC" w:rsidRDefault="00311DC5" w:rsidP="00331A48">
            <w:pPr>
              <w:keepNext/>
              <w:widowControl w:val="0"/>
              <w:rPr>
                <w:rFonts w:ascii="Times New Roman" w:hAnsi="Times New Roman"/>
                <w:b/>
                <w:sz w:val="22"/>
                <w:szCs w:val="22"/>
              </w:rPr>
            </w:pPr>
            <w:r>
              <w:rPr>
                <w:rFonts w:ascii="Times New Roman" w:hAnsi="Times New Roman"/>
                <w:b/>
                <w:sz w:val="22"/>
                <w:szCs w:val="22"/>
              </w:rPr>
              <w:t>Hyvän- ja pahanlaatuiset kasvaimet (mukaan lukien kystat ja polyypit)</w:t>
            </w:r>
          </w:p>
        </w:tc>
      </w:tr>
      <w:tr w:rsidR="00311DC5" w:rsidRPr="00912A5D" w14:paraId="586FC63B" w14:textId="77777777" w:rsidTr="008238ED">
        <w:tc>
          <w:tcPr>
            <w:tcW w:w="2235" w:type="dxa"/>
          </w:tcPr>
          <w:p w14:paraId="586FC639" w14:textId="77777777" w:rsidR="00311DC5" w:rsidRPr="00912A5D" w:rsidRDefault="00311DC5" w:rsidP="00331A48">
            <w:pPr>
              <w:keepNext/>
              <w:widowControl w:val="0"/>
              <w:rPr>
                <w:rFonts w:ascii="Times New Roman" w:hAnsi="Times New Roman"/>
                <w:i/>
                <w:sz w:val="22"/>
              </w:rPr>
            </w:pPr>
            <w:r w:rsidRPr="00912A5D">
              <w:rPr>
                <w:rFonts w:ascii="Times New Roman" w:hAnsi="Times New Roman"/>
                <w:i/>
                <w:sz w:val="22"/>
              </w:rPr>
              <w:t>Harvinai</w:t>
            </w:r>
            <w:r>
              <w:rPr>
                <w:rFonts w:ascii="Times New Roman" w:hAnsi="Times New Roman"/>
                <w:i/>
                <w:sz w:val="22"/>
              </w:rPr>
              <w:t>n</w:t>
            </w:r>
            <w:r w:rsidRPr="00912A5D">
              <w:rPr>
                <w:rFonts w:ascii="Times New Roman" w:hAnsi="Times New Roman"/>
                <w:i/>
                <w:sz w:val="22"/>
              </w:rPr>
              <w:t>e</w:t>
            </w:r>
            <w:r>
              <w:rPr>
                <w:rFonts w:ascii="Times New Roman" w:hAnsi="Times New Roman"/>
                <w:i/>
                <w:sz w:val="22"/>
              </w:rPr>
              <w:t>n</w:t>
            </w:r>
            <w:r w:rsidRPr="00912A5D">
              <w:rPr>
                <w:rFonts w:ascii="Times New Roman" w:hAnsi="Times New Roman"/>
                <w:i/>
                <w:sz w:val="22"/>
              </w:rPr>
              <w:t>:</w:t>
            </w:r>
          </w:p>
        </w:tc>
        <w:tc>
          <w:tcPr>
            <w:tcW w:w="7087" w:type="dxa"/>
          </w:tcPr>
          <w:p w14:paraId="586FC63A" w14:textId="77777777" w:rsidR="00311DC5" w:rsidRPr="00912A5D" w:rsidRDefault="00311DC5" w:rsidP="00331A48">
            <w:pPr>
              <w:keepNext/>
              <w:widowControl w:val="0"/>
              <w:rPr>
                <w:rFonts w:ascii="Times New Roman" w:hAnsi="Times New Roman"/>
                <w:sz w:val="22"/>
              </w:rPr>
            </w:pPr>
            <w:r>
              <w:rPr>
                <w:rFonts w:ascii="Times New Roman" w:hAnsi="Times New Roman"/>
                <w:sz w:val="22"/>
              </w:rPr>
              <w:t>Tuumorilyys</w:t>
            </w:r>
            <w:r w:rsidRPr="00912A5D">
              <w:rPr>
                <w:rFonts w:ascii="Times New Roman" w:hAnsi="Times New Roman"/>
                <w:sz w:val="22"/>
              </w:rPr>
              <w:t>i</w:t>
            </w:r>
            <w:r>
              <w:rPr>
                <w:rFonts w:ascii="Times New Roman" w:hAnsi="Times New Roman"/>
                <w:sz w:val="22"/>
              </w:rPr>
              <w:t>sy</w:t>
            </w:r>
            <w:r w:rsidRPr="00912A5D">
              <w:rPr>
                <w:rFonts w:ascii="Times New Roman" w:hAnsi="Times New Roman"/>
                <w:sz w:val="22"/>
              </w:rPr>
              <w:t>n</w:t>
            </w:r>
            <w:r>
              <w:rPr>
                <w:rFonts w:ascii="Times New Roman" w:hAnsi="Times New Roman"/>
                <w:sz w:val="22"/>
              </w:rPr>
              <w:t>droom</w:t>
            </w:r>
            <w:r w:rsidRPr="00912A5D">
              <w:rPr>
                <w:rFonts w:ascii="Times New Roman" w:hAnsi="Times New Roman"/>
                <w:sz w:val="22"/>
              </w:rPr>
              <w:t>a</w:t>
            </w:r>
          </w:p>
        </w:tc>
      </w:tr>
      <w:tr w:rsidR="001505D2" w:rsidRPr="00912A5D" w14:paraId="586FC63E" w14:textId="77777777" w:rsidTr="008D434B">
        <w:tc>
          <w:tcPr>
            <w:tcW w:w="2235" w:type="dxa"/>
          </w:tcPr>
          <w:p w14:paraId="586FC63C" w14:textId="77777777" w:rsidR="001505D2" w:rsidRPr="00912A5D" w:rsidRDefault="001505D2" w:rsidP="008D434B">
            <w:pPr>
              <w:rPr>
                <w:rFonts w:ascii="Times New Roman" w:hAnsi="Times New Roman"/>
                <w:i/>
                <w:sz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63D" w14:textId="77777777" w:rsidR="001505D2" w:rsidRDefault="001505D2" w:rsidP="008D434B">
            <w:pPr>
              <w:rPr>
                <w:rFonts w:ascii="Times New Roman" w:hAnsi="Times New Roman"/>
                <w:sz w:val="22"/>
              </w:rPr>
            </w:pPr>
            <w:r w:rsidRPr="00585B7A">
              <w:rPr>
                <w:rFonts w:ascii="Times New Roman" w:hAnsi="Times New Roman"/>
                <w:sz w:val="22"/>
              </w:rPr>
              <w:t>Kasvaimen verenvuoto/kasvaimen nekroosi</w:t>
            </w:r>
            <w:r>
              <w:rPr>
                <w:rFonts w:ascii="Times New Roman" w:hAnsi="Times New Roman"/>
                <w:sz w:val="22"/>
              </w:rPr>
              <w:t>*</w:t>
            </w:r>
          </w:p>
        </w:tc>
      </w:tr>
      <w:tr w:rsidR="001505D2" w:rsidRPr="00912A5D" w14:paraId="586FC640" w14:textId="77777777" w:rsidTr="008D434B">
        <w:tc>
          <w:tcPr>
            <w:tcW w:w="9322" w:type="dxa"/>
            <w:gridSpan w:val="2"/>
          </w:tcPr>
          <w:p w14:paraId="586FC63F" w14:textId="77777777" w:rsidR="001505D2" w:rsidRPr="00B611CC" w:rsidRDefault="001505D2" w:rsidP="00331A48">
            <w:pPr>
              <w:keepNext/>
              <w:widowControl w:val="0"/>
              <w:rPr>
                <w:rFonts w:ascii="Times New Roman" w:hAnsi="Times New Roman"/>
                <w:sz w:val="22"/>
              </w:rPr>
            </w:pPr>
            <w:r w:rsidRPr="00912A5D">
              <w:rPr>
                <w:rFonts w:ascii="Times New Roman" w:hAnsi="Times New Roman"/>
                <w:b/>
                <w:noProof/>
                <w:sz w:val="22"/>
                <w:szCs w:val="22"/>
                <w:lang w:val="pt-PT"/>
              </w:rPr>
              <w:t>Immuunijärjestelmä</w:t>
            </w:r>
          </w:p>
        </w:tc>
      </w:tr>
      <w:tr w:rsidR="001505D2" w:rsidRPr="00912A5D" w14:paraId="586FC643" w14:textId="77777777" w:rsidTr="008D434B">
        <w:tc>
          <w:tcPr>
            <w:tcW w:w="2235" w:type="dxa"/>
          </w:tcPr>
          <w:p w14:paraId="586FC641" w14:textId="77777777" w:rsidR="001505D2" w:rsidRPr="00912A5D" w:rsidRDefault="001505D2" w:rsidP="008D434B">
            <w:pPr>
              <w:rPr>
                <w:rFonts w:ascii="Times New Roman" w:hAnsi="Times New Roman"/>
                <w:i/>
                <w:sz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642" w14:textId="77777777" w:rsidR="001505D2" w:rsidRPr="00912A5D" w:rsidRDefault="001505D2" w:rsidP="008D434B">
            <w:pPr>
              <w:rPr>
                <w:rFonts w:ascii="Times New Roman" w:hAnsi="Times New Roman"/>
                <w:sz w:val="22"/>
              </w:rPr>
            </w:pPr>
            <w:r w:rsidRPr="00510641">
              <w:rPr>
                <w:rFonts w:ascii="Times New Roman" w:hAnsi="Times New Roman"/>
                <w:sz w:val="22"/>
              </w:rPr>
              <w:t>Anafylaktinen sokki</w:t>
            </w:r>
            <w:r>
              <w:rPr>
                <w:rFonts w:ascii="Times New Roman" w:hAnsi="Times New Roman"/>
                <w:sz w:val="22"/>
              </w:rPr>
              <w:t>*</w:t>
            </w:r>
          </w:p>
        </w:tc>
      </w:tr>
      <w:tr w:rsidR="00311DC5" w:rsidRPr="00912A5D" w14:paraId="586FC645" w14:textId="77777777" w:rsidTr="008238ED">
        <w:tc>
          <w:tcPr>
            <w:tcW w:w="9322" w:type="dxa"/>
            <w:gridSpan w:val="2"/>
          </w:tcPr>
          <w:p w14:paraId="586FC644" w14:textId="77777777" w:rsidR="00311DC5" w:rsidRPr="00B611CC" w:rsidRDefault="00311DC5" w:rsidP="00331A48">
            <w:pPr>
              <w:keepNext/>
              <w:widowControl w:val="0"/>
              <w:rPr>
                <w:rFonts w:ascii="Times New Roman" w:hAnsi="Times New Roman"/>
                <w:sz w:val="22"/>
              </w:rPr>
            </w:pPr>
            <w:r w:rsidRPr="00B611CC">
              <w:rPr>
                <w:rFonts w:ascii="Times New Roman" w:hAnsi="Times New Roman"/>
                <w:b/>
                <w:sz w:val="22"/>
                <w:szCs w:val="22"/>
              </w:rPr>
              <w:t>Veri ja imukudos</w:t>
            </w:r>
          </w:p>
        </w:tc>
      </w:tr>
      <w:tr w:rsidR="00311DC5" w:rsidRPr="00912A5D" w14:paraId="586FC648" w14:textId="77777777" w:rsidTr="008238ED">
        <w:tc>
          <w:tcPr>
            <w:tcW w:w="2235" w:type="dxa"/>
          </w:tcPr>
          <w:p w14:paraId="586FC646"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47"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Neutropenia, trombosytopenia, anemia</w:t>
            </w:r>
          </w:p>
        </w:tc>
      </w:tr>
      <w:tr w:rsidR="00311DC5" w:rsidRPr="00912A5D" w14:paraId="586FC64B" w14:textId="77777777" w:rsidTr="008238ED">
        <w:tc>
          <w:tcPr>
            <w:tcW w:w="2235" w:type="dxa"/>
          </w:tcPr>
          <w:p w14:paraId="586FC649"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4A"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Pansytopenia, kuumeinen neutropenia</w:t>
            </w:r>
          </w:p>
        </w:tc>
      </w:tr>
      <w:tr w:rsidR="00311DC5" w:rsidRPr="00912A5D" w14:paraId="586FC64E" w14:textId="77777777" w:rsidTr="008238ED">
        <w:tc>
          <w:tcPr>
            <w:tcW w:w="2235" w:type="dxa"/>
          </w:tcPr>
          <w:p w14:paraId="586FC64C"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Melko harvina</w:t>
            </w:r>
            <w:r>
              <w:rPr>
                <w:rFonts w:ascii="Times New Roman" w:hAnsi="Times New Roman"/>
                <w:i/>
                <w:sz w:val="22"/>
                <w:szCs w:val="22"/>
              </w:rPr>
              <w:t>in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4D"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Trombosytoosi, lymfopenia, luuydinsuppressio, eosinofilia, lymfadenopatia</w:t>
            </w:r>
          </w:p>
        </w:tc>
      </w:tr>
      <w:tr w:rsidR="00311DC5" w:rsidRPr="00912A5D" w14:paraId="586FC651" w14:textId="77777777" w:rsidTr="008238ED">
        <w:tc>
          <w:tcPr>
            <w:tcW w:w="2235" w:type="dxa"/>
          </w:tcPr>
          <w:p w14:paraId="586FC64F" w14:textId="77777777" w:rsidR="00311DC5" w:rsidRPr="00912A5D" w:rsidRDefault="00311DC5" w:rsidP="008238ED">
            <w:pPr>
              <w:rPr>
                <w:rFonts w:ascii="Times New Roman" w:hAnsi="Times New Roman"/>
                <w:i/>
                <w:sz w:val="22"/>
              </w:rPr>
            </w:pPr>
            <w:r w:rsidRPr="00912A5D">
              <w:rPr>
                <w:rFonts w:ascii="Times New Roman" w:hAnsi="Times New Roman"/>
                <w:i/>
                <w:sz w:val="22"/>
              </w:rPr>
              <w:t>Harvinai</w:t>
            </w:r>
            <w:r>
              <w:rPr>
                <w:rFonts w:ascii="Times New Roman" w:hAnsi="Times New Roman"/>
                <w:i/>
                <w:sz w:val="22"/>
              </w:rPr>
              <w:t>n</w:t>
            </w:r>
            <w:r w:rsidRPr="00912A5D">
              <w:rPr>
                <w:rFonts w:ascii="Times New Roman" w:hAnsi="Times New Roman"/>
                <w:i/>
                <w:sz w:val="22"/>
              </w:rPr>
              <w:t>e</w:t>
            </w:r>
            <w:r>
              <w:rPr>
                <w:rFonts w:ascii="Times New Roman" w:hAnsi="Times New Roman"/>
                <w:i/>
                <w:sz w:val="22"/>
              </w:rPr>
              <w:t>n</w:t>
            </w:r>
            <w:r w:rsidRPr="00912A5D">
              <w:rPr>
                <w:rFonts w:ascii="Times New Roman" w:hAnsi="Times New Roman"/>
                <w:i/>
                <w:sz w:val="22"/>
              </w:rPr>
              <w:t>:</w:t>
            </w:r>
          </w:p>
        </w:tc>
        <w:tc>
          <w:tcPr>
            <w:tcW w:w="7087" w:type="dxa"/>
          </w:tcPr>
          <w:p w14:paraId="586FC650" w14:textId="77777777" w:rsidR="00311DC5" w:rsidRPr="00912A5D" w:rsidRDefault="00311DC5" w:rsidP="008238ED">
            <w:pPr>
              <w:rPr>
                <w:rFonts w:ascii="Times New Roman" w:hAnsi="Times New Roman"/>
                <w:sz w:val="22"/>
              </w:rPr>
            </w:pPr>
            <w:r w:rsidRPr="00912A5D">
              <w:rPr>
                <w:rFonts w:ascii="Times New Roman" w:hAnsi="Times New Roman"/>
                <w:sz w:val="22"/>
              </w:rPr>
              <w:t>Hemolyyttinen anemia</w:t>
            </w:r>
            <w:r w:rsidR="002B0CBF">
              <w:rPr>
                <w:rFonts w:ascii="Times New Roman" w:hAnsi="Times New Roman"/>
                <w:sz w:val="22"/>
              </w:rPr>
              <w:t>,</w:t>
            </w:r>
            <w:r w:rsidR="002B0CBF" w:rsidRPr="007C3327">
              <w:rPr>
                <w:rFonts w:ascii="Times New Roman" w:hAnsi="Times New Roman"/>
                <w:sz w:val="22"/>
                <w:szCs w:val="22"/>
              </w:rPr>
              <w:t xml:space="preserve"> </w:t>
            </w:r>
            <w:r w:rsidR="002B0CBF" w:rsidRPr="00C54CAD">
              <w:rPr>
                <w:rFonts w:ascii="Times New Roman" w:hAnsi="Times New Roman"/>
                <w:sz w:val="22"/>
                <w:szCs w:val="22"/>
              </w:rPr>
              <w:t>tromboottinen mikroangiopatia</w:t>
            </w:r>
          </w:p>
        </w:tc>
      </w:tr>
      <w:tr w:rsidR="00311DC5" w:rsidRPr="00912A5D" w14:paraId="586FC653" w14:textId="77777777" w:rsidTr="008238ED">
        <w:tc>
          <w:tcPr>
            <w:tcW w:w="9322" w:type="dxa"/>
            <w:gridSpan w:val="2"/>
          </w:tcPr>
          <w:p w14:paraId="586FC652" w14:textId="77777777" w:rsidR="00311DC5" w:rsidRPr="00B611CC" w:rsidRDefault="00311DC5" w:rsidP="00331A48">
            <w:pPr>
              <w:keepNext/>
              <w:widowControl w:val="0"/>
              <w:rPr>
                <w:rFonts w:ascii="Times New Roman" w:hAnsi="Times New Roman"/>
                <w:sz w:val="22"/>
                <w:szCs w:val="22"/>
              </w:rPr>
            </w:pPr>
            <w:r w:rsidRPr="00B611CC">
              <w:rPr>
                <w:rFonts w:ascii="Times New Roman" w:hAnsi="Times New Roman"/>
                <w:b/>
                <w:sz w:val="22"/>
                <w:szCs w:val="22"/>
              </w:rPr>
              <w:t>Aineenvaihdunta ja ravitsemus</w:t>
            </w:r>
          </w:p>
        </w:tc>
      </w:tr>
      <w:tr w:rsidR="00311DC5" w:rsidRPr="00912A5D" w14:paraId="586FC656" w14:textId="77777777" w:rsidTr="008238ED">
        <w:tc>
          <w:tcPr>
            <w:tcW w:w="2235" w:type="dxa"/>
          </w:tcPr>
          <w:p w14:paraId="586FC654"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55"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Ruokahaluttomuus</w:t>
            </w:r>
          </w:p>
        </w:tc>
      </w:tr>
      <w:tr w:rsidR="00311DC5" w:rsidRPr="00912A5D" w14:paraId="586FC659" w14:textId="77777777" w:rsidTr="008238ED">
        <w:tc>
          <w:tcPr>
            <w:tcW w:w="2235" w:type="dxa"/>
          </w:tcPr>
          <w:p w14:paraId="586FC657"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58"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 xml:space="preserve">Hypokalemia, ruokahalun </w:t>
            </w:r>
            <w:r>
              <w:rPr>
                <w:rFonts w:ascii="Times New Roman" w:hAnsi="Times New Roman"/>
                <w:sz w:val="22"/>
                <w:szCs w:val="22"/>
              </w:rPr>
              <w:t>lisääntyminen</w:t>
            </w:r>
            <w:r w:rsidRPr="00912A5D">
              <w:rPr>
                <w:rFonts w:ascii="Times New Roman" w:hAnsi="Times New Roman"/>
                <w:sz w:val="22"/>
                <w:szCs w:val="22"/>
              </w:rPr>
              <w:t xml:space="preserve">, hypofosfatemia, ruokahalun </w:t>
            </w:r>
            <w:r>
              <w:rPr>
                <w:rFonts w:ascii="Times New Roman" w:hAnsi="Times New Roman"/>
                <w:sz w:val="22"/>
                <w:szCs w:val="22"/>
              </w:rPr>
              <w:t>vähentyminen</w:t>
            </w:r>
            <w:r w:rsidRPr="00912A5D">
              <w:rPr>
                <w:rFonts w:ascii="Times New Roman" w:hAnsi="Times New Roman"/>
                <w:sz w:val="22"/>
                <w:szCs w:val="22"/>
              </w:rPr>
              <w:t>, dehydraatio, kihti, hyperurikemia, hyperkalsemia, hyperglykemia, hyponatremia</w:t>
            </w:r>
          </w:p>
        </w:tc>
      </w:tr>
      <w:tr w:rsidR="00311DC5" w:rsidRPr="00912A5D" w14:paraId="586FC65C" w14:textId="77777777" w:rsidTr="008238ED">
        <w:tc>
          <w:tcPr>
            <w:tcW w:w="2235" w:type="dxa"/>
          </w:tcPr>
          <w:p w14:paraId="586FC65A" w14:textId="77777777" w:rsidR="00311DC5" w:rsidRPr="00912A5D" w:rsidRDefault="00311DC5" w:rsidP="008238ED">
            <w:pPr>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5B" w14:textId="77777777" w:rsidR="00311DC5" w:rsidRPr="00912A5D" w:rsidRDefault="00311DC5" w:rsidP="008238ED">
            <w:pPr>
              <w:rPr>
                <w:rFonts w:ascii="Times New Roman" w:hAnsi="Times New Roman"/>
                <w:sz w:val="22"/>
                <w:szCs w:val="22"/>
                <w:lang w:val="pt-PT"/>
              </w:rPr>
            </w:pPr>
            <w:r w:rsidRPr="00912A5D">
              <w:rPr>
                <w:rFonts w:ascii="Times New Roman" w:hAnsi="Times New Roman"/>
                <w:sz w:val="22"/>
                <w:szCs w:val="22"/>
              </w:rPr>
              <w:t>Hyperkalemia, hypomagnesemia</w:t>
            </w:r>
          </w:p>
        </w:tc>
      </w:tr>
      <w:tr w:rsidR="00311DC5" w:rsidRPr="00912A5D" w14:paraId="586FC65E" w14:textId="77777777" w:rsidTr="008238ED">
        <w:tc>
          <w:tcPr>
            <w:tcW w:w="9322" w:type="dxa"/>
            <w:gridSpan w:val="2"/>
          </w:tcPr>
          <w:p w14:paraId="586FC65D" w14:textId="77777777" w:rsidR="00311DC5" w:rsidRPr="00B611CC" w:rsidRDefault="00311DC5" w:rsidP="00331A48">
            <w:pPr>
              <w:keepNext/>
              <w:widowControl w:val="0"/>
              <w:rPr>
                <w:rFonts w:ascii="Times New Roman" w:hAnsi="Times New Roman"/>
                <w:sz w:val="22"/>
                <w:szCs w:val="22"/>
              </w:rPr>
            </w:pPr>
            <w:r w:rsidRPr="00B611CC">
              <w:rPr>
                <w:rFonts w:ascii="Times New Roman" w:hAnsi="Times New Roman"/>
                <w:b/>
                <w:sz w:val="22"/>
                <w:szCs w:val="22"/>
              </w:rPr>
              <w:t>Psyykkiset häiriöt</w:t>
            </w:r>
          </w:p>
        </w:tc>
      </w:tr>
      <w:tr w:rsidR="00311DC5" w:rsidRPr="00912A5D" w14:paraId="586FC661" w14:textId="77777777" w:rsidTr="008238ED">
        <w:tc>
          <w:tcPr>
            <w:tcW w:w="2235" w:type="dxa"/>
          </w:tcPr>
          <w:p w14:paraId="586FC65F"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60"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Unettomuus</w:t>
            </w:r>
          </w:p>
        </w:tc>
      </w:tr>
      <w:tr w:rsidR="00311DC5" w:rsidRPr="00912A5D" w14:paraId="586FC664" w14:textId="77777777" w:rsidTr="008238ED">
        <w:tc>
          <w:tcPr>
            <w:tcW w:w="2235" w:type="dxa"/>
          </w:tcPr>
          <w:p w14:paraId="586FC662"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63"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Masennus, sukupuolivietin heikentyminen, ahdistuneisuus</w:t>
            </w:r>
          </w:p>
        </w:tc>
      </w:tr>
      <w:tr w:rsidR="00311DC5" w:rsidRPr="00912A5D" w14:paraId="586FC667" w14:textId="77777777" w:rsidTr="008238ED">
        <w:tc>
          <w:tcPr>
            <w:tcW w:w="2235" w:type="dxa"/>
          </w:tcPr>
          <w:p w14:paraId="586FC665" w14:textId="77777777" w:rsidR="00311DC5" w:rsidRPr="00912A5D" w:rsidRDefault="00311DC5" w:rsidP="008238ED">
            <w:pPr>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66" w14:textId="77777777" w:rsidR="00311DC5" w:rsidRPr="00912A5D" w:rsidRDefault="00311DC5" w:rsidP="008238ED">
            <w:pPr>
              <w:rPr>
                <w:rFonts w:ascii="Times New Roman" w:hAnsi="Times New Roman"/>
                <w:sz w:val="22"/>
                <w:szCs w:val="22"/>
              </w:rPr>
            </w:pPr>
            <w:r w:rsidRPr="00912A5D">
              <w:rPr>
                <w:rFonts w:ascii="Times New Roman" w:hAnsi="Times New Roman"/>
                <w:sz w:val="22"/>
                <w:szCs w:val="22"/>
              </w:rPr>
              <w:t>Sekavuustila</w:t>
            </w:r>
          </w:p>
        </w:tc>
      </w:tr>
      <w:tr w:rsidR="00311DC5" w:rsidRPr="00912A5D" w14:paraId="586FC669" w14:textId="77777777" w:rsidTr="008238ED">
        <w:tc>
          <w:tcPr>
            <w:tcW w:w="9322" w:type="dxa"/>
            <w:gridSpan w:val="2"/>
          </w:tcPr>
          <w:p w14:paraId="586FC668" w14:textId="77777777" w:rsidR="00311DC5" w:rsidRPr="00B611CC" w:rsidRDefault="00311DC5" w:rsidP="00331A48">
            <w:pPr>
              <w:keepNext/>
              <w:widowControl w:val="0"/>
              <w:rPr>
                <w:rFonts w:ascii="Times New Roman" w:hAnsi="Times New Roman"/>
                <w:sz w:val="22"/>
              </w:rPr>
            </w:pPr>
            <w:r w:rsidRPr="00B611CC">
              <w:rPr>
                <w:rFonts w:ascii="Times New Roman" w:hAnsi="Times New Roman"/>
                <w:b/>
                <w:sz w:val="22"/>
                <w:szCs w:val="22"/>
              </w:rPr>
              <w:t>Hermosto</w:t>
            </w:r>
          </w:p>
        </w:tc>
      </w:tr>
      <w:tr w:rsidR="00311DC5" w:rsidRPr="00912A5D" w14:paraId="586FC66C" w14:textId="77777777" w:rsidTr="008238ED">
        <w:tc>
          <w:tcPr>
            <w:tcW w:w="2235" w:type="dxa"/>
          </w:tcPr>
          <w:p w14:paraId="586FC66A"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6B"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Päänsärky</w:t>
            </w:r>
            <w:r w:rsidRPr="00912A5D">
              <w:rPr>
                <w:rFonts w:ascii="Times New Roman" w:hAnsi="Times New Roman"/>
                <w:sz w:val="22"/>
                <w:szCs w:val="22"/>
                <w:vertAlign w:val="superscript"/>
              </w:rPr>
              <w:t>2</w:t>
            </w:r>
          </w:p>
        </w:tc>
      </w:tr>
      <w:tr w:rsidR="00311DC5" w:rsidRPr="00912A5D" w14:paraId="586FC66F" w14:textId="77777777" w:rsidTr="008238ED">
        <w:tc>
          <w:tcPr>
            <w:tcW w:w="2235" w:type="dxa"/>
          </w:tcPr>
          <w:p w14:paraId="586FC66D"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6E"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Huimaus, tuntohäiriöt, makuaistin häiriöt, heikentynyt tunto</w:t>
            </w:r>
          </w:p>
        </w:tc>
      </w:tr>
      <w:tr w:rsidR="00311DC5" w:rsidRPr="00912A5D" w14:paraId="586FC672" w14:textId="77777777" w:rsidTr="008238ED">
        <w:tc>
          <w:tcPr>
            <w:tcW w:w="2235" w:type="dxa"/>
          </w:tcPr>
          <w:p w14:paraId="586FC670"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71"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Migreeni, uneliaisuus, pyörtyminen, perifeerinen neuropatia, muistihäiriöt, iskias, levottomien jalkojen oireyhtymä, vapina, aivoverenvuoto</w:t>
            </w:r>
          </w:p>
        </w:tc>
      </w:tr>
      <w:tr w:rsidR="00311DC5" w:rsidRPr="00912A5D" w14:paraId="586FC675" w14:textId="77777777" w:rsidTr="008238ED">
        <w:tc>
          <w:tcPr>
            <w:tcW w:w="2235" w:type="dxa"/>
          </w:tcPr>
          <w:p w14:paraId="586FC673"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74"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Kohonnut aivopaine, kouristukset, näköhermotulehdus</w:t>
            </w:r>
          </w:p>
        </w:tc>
      </w:tr>
      <w:tr w:rsidR="001505D2" w:rsidRPr="00912A5D" w14:paraId="586FC678" w14:textId="77777777" w:rsidTr="008D434B">
        <w:tc>
          <w:tcPr>
            <w:tcW w:w="2235" w:type="dxa"/>
          </w:tcPr>
          <w:p w14:paraId="586FC676" w14:textId="77777777" w:rsidR="001505D2" w:rsidRPr="00912A5D" w:rsidRDefault="001505D2" w:rsidP="008D434B">
            <w:pPr>
              <w:rPr>
                <w:rFonts w:ascii="Times New Roman" w:hAnsi="Times New Roman"/>
                <w:i/>
                <w:sz w:val="22"/>
                <w:szCs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677" w14:textId="77777777" w:rsidR="001505D2" w:rsidRPr="00912A5D" w:rsidRDefault="001505D2" w:rsidP="008D434B">
            <w:pPr>
              <w:rPr>
                <w:rFonts w:ascii="Times New Roman" w:hAnsi="Times New Roman"/>
                <w:sz w:val="22"/>
                <w:szCs w:val="22"/>
              </w:rPr>
            </w:pPr>
            <w:r w:rsidRPr="005227E6">
              <w:rPr>
                <w:rFonts w:ascii="Times New Roman" w:hAnsi="Times New Roman"/>
                <w:sz w:val="22"/>
                <w:szCs w:val="22"/>
              </w:rPr>
              <w:t>Aivoturvotus</w:t>
            </w:r>
            <w:r>
              <w:rPr>
                <w:rFonts w:ascii="Times New Roman" w:hAnsi="Times New Roman"/>
                <w:sz w:val="22"/>
                <w:szCs w:val="22"/>
              </w:rPr>
              <w:t>*</w:t>
            </w:r>
          </w:p>
        </w:tc>
      </w:tr>
      <w:tr w:rsidR="00311DC5" w:rsidRPr="00912A5D" w14:paraId="586FC67A" w14:textId="77777777" w:rsidTr="008238ED">
        <w:tc>
          <w:tcPr>
            <w:tcW w:w="9322" w:type="dxa"/>
            <w:gridSpan w:val="2"/>
          </w:tcPr>
          <w:p w14:paraId="586FC679" w14:textId="77777777" w:rsidR="00311DC5" w:rsidRPr="00B611CC" w:rsidRDefault="00311DC5" w:rsidP="00331A48">
            <w:pPr>
              <w:keepNext/>
              <w:rPr>
                <w:rFonts w:ascii="Times New Roman" w:hAnsi="Times New Roman"/>
                <w:sz w:val="22"/>
              </w:rPr>
            </w:pPr>
            <w:r w:rsidRPr="00B611CC">
              <w:rPr>
                <w:rFonts w:ascii="Times New Roman" w:hAnsi="Times New Roman"/>
                <w:b/>
                <w:sz w:val="22"/>
                <w:szCs w:val="22"/>
              </w:rPr>
              <w:t>Silmät</w:t>
            </w:r>
          </w:p>
        </w:tc>
      </w:tr>
      <w:tr w:rsidR="00311DC5" w:rsidRPr="00912A5D" w14:paraId="586FC67D" w14:textId="77777777" w:rsidTr="008238ED">
        <w:tc>
          <w:tcPr>
            <w:tcW w:w="2235" w:type="dxa"/>
          </w:tcPr>
          <w:p w14:paraId="586FC67B" w14:textId="77777777" w:rsidR="00311DC5" w:rsidRPr="00912A5D" w:rsidRDefault="00311DC5" w:rsidP="00331A48">
            <w:pPr>
              <w:keepNext/>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7C" w14:textId="77777777" w:rsidR="00311DC5" w:rsidRPr="00912A5D" w:rsidRDefault="00311DC5" w:rsidP="00331A48">
            <w:pPr>
              <w:keepNext/>
              <w:rPr>
                <w:rFonts w:ascii="Times New Roman" w:hAnsi="Times New Roman"/>
                <w:sz w:val="22"/>
              </w:rPr>
            </w:pPr>
            <w:r w:rsidRPr="00912A5D">
              <w:rPr>
                <w:rFonts w:ascii="Times New Roman" w:hAnsi="Times New Roman"/>
                <w:sz w:val="22"/>
                <w:szCs w:val="22"/>
              </w:rPr>
              <w:t>Silmäluomien turvotus, lisääntynyt kyyneleritys, sidekalvon verenvuoto, sidekalvotulehdus, silmien kuivuminen, näön hämärtyminen</w:t>
            </w:r>
          </w:p>
        </w:tc>
      </w:tr>
      <w:tr w:rsidR="00311DC5" w:rsidRPr="00912A5D" w14:paraId="586FC680" w14:textId="77777777" w:rsidTr="008238ED">
        <w:tc>
          <w:tcPr>
            <w:tcW w:w="2235" w:type="dxa"/>
          </w:tcPr>
          <w:p w14:paraId="586FC67E" w14:textId="77777777" w:rsidR="00311DC5" w:rsidRPr="00912A5D" w:rsidRDefault="00311DC5" w:rsidP="00331A48">
            <w:pPr>
              <w:keepNext/>
              <w:rPr>
                <w:rFonts w:ascii="Times New Roman" w:hAnsi="Times New Roman"/>
                <w:sz w:val="22"/>
              </w:rPr>
            </w:pPr>
            <w:r w:rsidRPr="00912A5D">
              <w:rPr>
                <w:rFonts w:ascii="Times New Roman" w:hAnsi="Times New Roman"/>
                <w:i/>
                <w:sz w:val="22"/>
                <w:szCs w:val="22"/>
              </w:rPr>
              <w:t>Melko harvina</w:t>
            </w:r>
            <w:r>
              <w:rPr>
                <w:rFonts w:ascii="Times New Roman" w:hAnsi="Times New Roman"/>
                <w:i/>
                <w:sz w:val="22"/>
                <w:szCs w:val="22"/>
              </w:rPr>
              <w:t>in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7F" w14:textId="77777777" w:rsidR="00311DC5" w:rsidRPr="00912A5D" w:rsidRDefault="00311DC5" w:rsidP="00331A48">
            <w:pPr>
              <w:keepNext/>
              <w:rPr>
                <w:rFonts w:ascii="Times New Roman" w:hAnsi="Times New Roman"/>
                <w:sz w:val="22"/>
              </w:rPr>
            </w:pPr>
            <w:r w:rsidRPr="00912A5D">
              <w:rPr>
                <w:rFonts w:ascii="Times New Roman" w:hAnsi="Times New Roman"/>
                <w:sz w:val="22"/>
                <w:szCs w:val="22"/>
              </w:rPr>
              <w:t>Silmien ärsytys, silmäkipu, silmäkuopan turvotus, kovakalvon verenvuoto, verkkokalvon verenvuoto, silmäluomitulehdus, makulaturvotus</w:t>
            </w:r>
          </w:p>
        </w:tc>
      </w:tr>
      <w:tr w:rsidR="00311DC5" w:rsidRPr="00912A5D" w14:paraId="586FC683" w14:textId="77777777" w:rsidTr="008238ED">
        <w:tc>
          <w:tcPr>
            <w:tcW w:w="2235" w:type="dxa"/>
          </w:tcPr>
          <w:p w14:paraId="586FC681" w14:textId="77777777" w:rsidR="00311DC5" w:rsidRPr="00912A5D" w:rsidRDefault="00311DC5" w:rsidP="00331A48">
            <w:pPr>
              <w:keepNext/>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82" w14:textId="77777777" w:rsidR="00311DC5" w:rsidRPr="00912A5D" w:rsidRDefault="00311DC5" w:rsidP="00331A48">
            <w:pPr>
              <w:keepNext/>
              <w:rPr>
                <w:rFonts w:ascii="Times New Roman" w:hAnsi="Times New Roman"/>
                <w:sz w:val="22"/>
              </w:rPr>
            </w:pPr>
            <w:r w:rsidRPr="00912A5D">
              <w:rPr>
                <w:rFonts w:ascii="Times New Roman" w:hAnsi="Times New Roman"/>
                <w:sz w:val="22"/>
                <w:szCs w:val="22"/>
              </w:rPr>
              <w:t>Kaihi, glaukooma, papillan turvotus</w:t>
            </w:r>
          </w:p>
        </w:tc>
      </w:tr>
      <w:tr w:rsidR="001505D2" w:rsidRPr="00912A5D" w14:paraId="586FC686" w14:textId="77777777" w:rsidTr="008D434B">
        <w:tc>
          <w:tcPr>
            <w:tcW w:w="2235" w:type="dxa"/>
          </w:tcPr>
          <w:p w14:paraId="586FC684" w14:textId="77777777" w:rsidR="001505D2" w:rsidRPr="00912A5D" w:rsidRDefault="001505D2" w:rsidP="008D434B">
            <w:pPr>
              <w:rPr>
                <w:rFonts w:ascii="Times New Roman" w:hAnsi="Times New Roman"/>
                <w:i/>
                <w:sz w:val="22"/>
                <w:szCs w:val="22"/>
              </w:rPr>
            </w:pPr>
            <w:r>
              <w:rPr>
                <w:rFonts w:ascii="Times New Roman" w:hAnsi="Times New Roman"/>
                <w:i/>
                <w:sz w:val="22"/>
              </w:rPr>
              <w:t>Tuntematon</w:t>
            </w:r>
            <w:r w:rsidRPr="00912A5D">
              <w:rPr>
                <w:rFonts w:ascii="Times New Roman" w:hAnsi="Times New Roman"/>
                <w:i/>
                <w:sz w:val="22"/>
              </w:rPr>
              <w:t>:</w:t>
            </w:r>
          </w:p>
        </w:tc>
        <w:tc>
          <w:tcPr>
            <w:tcW w:w="7087" w:type="dxa"/>
          </w:tcPr>
          <w:p w14:paraId="586FC685" w14:textId="77777777" w:rsidR="001505D2" w:rsidRPr="00912A5D" w:rsidRDefault="001505D2" w:rsidP="008D434B">
            <w:pPr>
              <w:rPr>
                <w:rFonts w:ascii="Times New Roman" w:hAnsi="Times New Roman"/>
                <w:sz w:val="22"/>
                <w:szCs w:val="22"/>
              </w:rPr>
            </w:pPr>
            <w:r w:rsidRPr="005227E6">
              <w:rPr>
                <w:rFonts w:ascii="Times New Roman" w:hAnsi="Times New Roman"/>
                <w:sz w:val="22"/>
                <w:szCs w:val="22"/>
              </w:rPr>
              <w:t>Lasiaisen verenvuoto</w:t>
            </w:r>
            <w:r>
              <w:rPr>
                <w:rFonts w:ascii="Times New Roman" w:hAnsi="Times New Roman"/>
                <w:sz w:val="22"/>
                <w:szCs w:val="22"/>
              </w:rPr>
              <w:t>*</w:t>
            </w:r>
          </w:p>
        </w:tc>
      </w:tr>
      <w:tr w:rsidR="00311DC5" w:rsidRPr="00912A5D" w14:paraId="586FC688" w14:textId="77777777" w:rsidTr="008238ED">
        <w:tc>
          <w:tcPr>
            <w:tcW w:w="9322" w:type="dxa"/>
            <w:gridSpan w:val="2"/>
          </w:tcPr>
          <w:p w14:paraId="586FC687" w14:textId="77777777" w:rsidR="00311DC5" w:rsidRPr="00B611CC" w:rsidRDefault="00311DC5" w:rsidP="00331A48">
            <w:pPr>
              <w:keepNext/>
              <w:rPr>
                <w:rFonts w:ascii="Times New Roman" w:hAnsi="Times New Roman"/>
                <w:sz w:val="22"/>
              </w:rPr>
            </w:pPr>
            <w:r w:rsidRPr="00B611CC">
              <w:rPr>
                <w:rFonts w:ascii="Times New Roman" w:hAnsi="Times New Roman"/>
                <w:b/>
                <w:sz w:val="22"/>
                <w:szCs w:val="22"/>
              </w:rPr>
              <w:t>Kuulo ja tasapainoelin</w:t>
            </w:r>
          </w:p>
        </w:tc>
      </w:tr>
      <w:tr w:rsidR="00311DC5" w:rsidRPr="00912A5D" w14:paraId="586FC68B" w14:textId="77777777" w:rsidTr="008238ED">
        <w:tc>
          <w:tcPr>
            <w:tcW w:w="2235" w:type="dxa"/>
          </w:tcPr>
          <w:p w14:paraId="586FC689" w14:textId="77777777" w:rsidR="00311DC5" w:rsidRPr="00912A5D" w:rsidRDefault="00311DC5" w:rsidP="008238ED">
            <w:pPr>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8A" w14:textId="77777777" w:rsidR="00311DC5" w:rsidRPr="00912A5D" w:rsidRDefault="00311DC5" w:rsidP="008238ED">
            <w:pPr>
              <w:rPr>
                <w:rFonts w:ascii="Times New Roman" w:hAnsi="Times New Roman"/>
                <w:sz w:val="22"/>
              </w:rPr>
            </w:pPr>
            <w:r w:rsidRPr="00912A5D">
              <w:rPr>
                <w:rFonts w:ascii="Times New Roman" w:hAnsi="Times New Roman"/>
                <w:sz w:val="22"/>
                <w:szCs w:val="22"/>
                <w:lang w:val="it-IT"/>
              </w:rPr>
              <w:t>Heitehuimaus, tinnitus, kuulon heikkeneminen</w:t>
            </w:r>
          </w:p>
        </w:tc>
      </w:tr>
      <w:tr w:rsidR="00311DC5" w:rsidRPr="00912A5D" w14:paraId="586FC68D" w14:textId="77777777" w:rsidTr="008238ED">
        <w:tc>
          <w:tcPr>
            <w:tcW w:w="9322" w:type="dxa"/>
            <w:gridSpan w:val="2"/>
          </w:tcPr>
          <w:p w14:paraId="586FC68C" w14:textId="77777777" w:rsidR="00311DC5" w:rsidRPr="00B611CC" w:rsidRDefault="00311DC5" w:rsidP="00331A48">
            <w:pPr>
              <w:keepNext/>
              <w:rPr>
                <w:rFonts w:ascii="Times New Roman" w:hAnsi="Times New Roman"/>
                <w:sz w:val="22"/>
              </w:rPr>
            </w:pPr>
            <w:r w:rsidRPr="00B611CC">
              <w:rPr>
                <w:rFonts w:ascii="Times New Roman" w:hAnsi="Times New Roman"/>
                <w:b/>
                <w:sz w:val="22"/>
                <w:szCs w:val="22"/>
                <w:lang w:val="it-IT"/>
              </w:rPr>
              <w:lastRenderedPageBreak/>
              <w:t>Sydän</w:t>
            </w:r>
          </w:p>
        </w:tc>
      </w:tr>
      <w:tr w:rsidR="00311DC5" w:rsidRPr="00912A5D" w14:paraId="586FC690" w14:textId="77777777" w:rsidTr="008238ED">
        <w:tc>
          <w:tcPr>
            <w:tcW w:w="2235" w:type="dxa"/>
          </w:tcPr>
          <w:p w14:paraId="586FC68E" w14:textId="77777777" w:rsidR="00311DC5" w:rsidRPr="00912A5D" w:rsidRDefault="00311DC5" w:rsidP="00331A48">
            <w:pPr>
              <w:keepNext/>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8F" w14:textId="77777777" w:rsidR="00311DC5" w:rsidRPr="00912A5D" w:rsidRDefault="00311DC5" w:rsidP="00331A48">
            <w:pPr>
              <w:keepNext/>
              <w:rPr>
                <w:rFonts w:ascii="Times New Roman" w:hAnsi="Times New Roman"/>
                <w:sz w:val="22"/>
              </w:rPr>
            </w:pPr>
            <w:r w:rsidRPr="00912A5D">
              <w:rPr>
                <w:rFonts w:ascii="Times New Roman" w:hAnsi="Times New Roman"/>
                <w:sz w:val="22"/>
                <w:szCs w:val="22"/>
              </w:rPr>
              <w:t>Sydämentykytys, takykardia, kongestiivinen sydämen vajaatoiminta</w:t>
            </w:r>
            <w:r w:rsidRPr="00D96BC6">
              <w:rPr>
                <w:rFonts w:ascii="Times New Roman" w:hAnsi="Times New Roman"/>
                <w:sz w:val="22"/>
                <w:szCs w:val="22"/>
                <w:vertAlign w:val="superscript"/>
              </w:rPr>
              <w:t>3</w:t>
            </w:r>
            <w:r w:rsidRPr="00912A5D">
              <w:rPr>
                <w:rFonts w:ascii="Times New Roman" w:hAnsi="Times New Roman"/>
                <w:sz w:val="22"/>
                <w:szCs w:val="22"/>
              </w:rPr>
              <w:t>, keuhkoödeema</w:t>
            </w:r>
          </w:p>
        </w:tc>
      </w:tr>
      <w:tr w:rsidR="00311DC5" w:rsidRPr="00912A5D" w14:paraId="586FC693" w14:textId="77777777" w:rsidTr="008238ED">
        <w:tc>
          <w:tcPr>
            <w:tcW w:w="2235" w:type="dxa"/>
          </w:tcPr>
          <w:p w14:paraId="586FC691" w14:textId="77777777" w:rsidR="00311DC5" w:rsidRPr="00912A5D" w:rsidRDefault="00311DC5" w:rsidP="00331A48">
            <w:pPr>
              <w:keepNext/>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92" w14:textId="77777777" w:rsidR="00311DC5" w:rsidRPr="00912A5D" w:rsidRDefault="00311DC5" w:rsidP="00331A48">
            <w:pPr>
              <w:keepNext/>
              <w:rPr>
                <w:rFonts w:ascii="Times New Roman" w:hAnsi="Times New Roman"/>
                <w:sz w:val="22"/>
              </w:rPr>
            </w:pPr>
            <w:r w:rsidRPr="00912A5D">
              <w:rPr>
                <w:rFonts w:ascii="Times New Roman" w:hAnsi="Times New Roman"/>
                <w:sz w:val="22"/>
                <w:szCs w:val="22"/>
              </w:rPr>
              <w:t>Sydämen rytmihäiriöt, eteisvärinä, sydänpysähdys, sydäninfarkti, angina pectoris, perikardiumeffuusio</w:t>
            </w:r>
          </w:p>
        </w:tc>
      </w:tr>
      <w:tr w:rsidR="001505D2" w:rsidRPr="00912A5D" w14:paraId="586FC696" w14:textId="77777777" w:rsidTr="008D434B">
        <w:tc>
          <w:tcPr>
            <w:tcW w:w="2235" w:type="dxa"/>
          </w:tcPr>
          <w:p w14:paraId="586FC694" w14:textId="77777777" w:rsidR="001505D2" w:rsidRPr="00912A5D" w:rsidRDefault="001505D2" w:rsidP="008D434B">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695" w14:textId="77777777" w:rsidR="001505D2" w:rsidRPr="00912A5D" w:rsidRDefault="001505D2" w:rsidP="008D434B">
            <w:pPr>
              <w:rPr>
                <w:rFonts w:ascii="Times New Roman" w:hAnsi="Times New Roman"/>
                <w:sz w:val="22"/>
                <w:szCs w:val="22"/>
              </w:rPr>
            </w:pPr>
            <w:r w:rsidRPr="005227E6">
              <w:rPr>
                <w:rFonts w:ascii="Times New Roman" w:hAnsi="Times New Roman"/>
                <w:sz w:val="22"/>
                <w:szCs w:val="22"/>
              </w:rPr>
              <w:t>Perikardiitti</w:t>
            </w:r>
            <w:r>
              <w:rPr>
                <w:rFonts w:ascii="Times New Roman" w:hAnsi="Times New Roman"/>
                <w:sz w:val="22"/>
                <w:szCs w:val="22"/>
              </w:rPr>
              <w:t>*</w:t>
            </w:r>
            <w:r w:rsidRPr="005227E6">
              <w:rPr>
                <w:rFonts w:ascii="Times New Roman" w:hAnsi="Times New Roman"/>
                <w:sz w:val="22"/>
                <w:szCs w:val="22"/>
              </w:rPr>
              <w:t>, sydäntamponaatio</w:t>
            </w:r>
            <w:r>
              <w:rPr>
                <w:rFonts w:ascii="Times New Roman" w:hAnsi="Times New Roman"/>
                <w:sz w:val="22"/>
                <w:szCs w:val="22"/>
              </w:rPr>
              <w:t>*</w:t>
            </w:r>
          </w:p>
        </w:tc>
      </w:tr>
      <w:tr w:rsidR="00311DC5" w:rsidRPr="00912A5D" w14:paraId="586FC698" w14:textId="77777777" w:rsidTr="008238ED">
        <w:tc>
          <w:tcPr>
            <w:tcW w:w="9322" w:type="dxa"/>
            <w:gridSpan w:val="2"/>
          </w:tcPr>
          <w:p w14:paraId="586FC697" w14:textId="77777777" w:rsidR="00311DC5" w:rsidRPr="00B611CC" w:rsidRDefault="00311DC5" w:rsidP="00331A48">
            <w:pPr>
              <w:keepNext/>
              <w:widowControl w:val="0"/>
              <w:rPr>
                <w:rFonts w:ascii="Times New Roman" w:hAnsi="Times New Roman"/>
                <w:sz w:val="22"/>
                <w:szCs w:val="22"/>
              </w:rPr>
            </w:pPr>
            <w:r w:rsidRPr="00B611CC">
              <w:rPr>
                <w:rFonts w:ascii="Times New Roman" w:hAnsi="Times New Roman"/>
                <w:b/>
                <w:sz w:val="22"/>
                <w:szCs w:val="22"/>
              </w:rPr>
              <w:t>Verisuonisto</w:t>
            </w:r>
            <w:r w:rsidRPr="00D96BC6">
              <w:rPr>
                <w:rFonts w:ascii="Times New Roman" w:hAnsi="Times New Roman"/>
                <w:b/>
                <w:sz w:val="22"/>
                <w:szCs w:val="22"/>
                <w:vertAlign w:val="superscript"/>
              </w:rPr>
              <w:t>4</w:t>
            </w:r>
          </w:p>
        </w:tc>
      </w:tr>
      <w:tr w:rsidR="00311DC5" w:rsidRPr="00912A5D" w14:paraId="586FC69B" w14:textId="77777777" w:rsidTr="008238ED">
        <w:tc>
          <w:tcPr>
            <w:tcW w:w="2235" w:type="dxa"/>
          </w:tcPr>
          <w:p w14:paraId="586FC699"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9A"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Punastuminen, verenvuoto</w:t>
            </w:r>
          </w:p>
        </w:tc>
      </w:tr>
      <w:tr w:rsidR="00311DC5" w:rsidRPr="00912A5D" w14:paraId="586FC69E" w14:textId="77777777" w:rsidTr="008238ED">
        <w:tc>
          <w:tcPr>
            <w:tcW w:w="2235" w:type="dxa"/>
          </w:tcPr>
          <w:p w14:paraId="586FC69C" w14:textId="77777777" w:rsidR="00311DC5" w:rsidRPr="008E27E8" w:rsidRDefault="00311DC5" w:rsidP="00331A48">
            <w:pPr>
              <w:keepNext/>
              <w:widowControl w:val="0"/>
              <w:rPr>
                <w:rFonts w:ascii="Times New Roman" w:hAnsi="Times New Roman"/>
                <w:i/>
                <w:sz w:val="22"/>
                <w:szCs w:val="22"/>
              </w:rPr>
            </w:pPr>
            <w:r w:rsidRPr="008E27E8">
              <w:rPr>
                <w:rFonts w:ascii="Times New Roman" w:hAnsi="Times New Roman"/>
                <w:i/>
                <w:sz w:val="22"/>
                <w:szCs w:val="22"/>
              </w:rPr>
              <w:t>Melko harvinai</w:t>
            </w:r>
            <w:r>
              <w:rPr>
                <w:rFonts w:ascii="Times New Roman" w:hAnsi="Times New Roman"/>
                <w:i/>
                <w:sz w:val="22"/>
                <w:szCs w:val="22"/>
              </w:rPr>
              <w:t>n</w:t>
            </w:r>
            <w:r w:rsidRPr="008E27E8">
              <w:rPr>
                <w:rFonts w:ascii="Times New Roman" w:hAnsi="Times New Roman"/>
                <w:i/>
                <w:sz w:val="22"/>
                <w:szCs w:val="22"/>
              </w:rPr>
              <w:t>e</w:t>
            </w:r>
            <w:r>
              <w:rPr>
                <w:rFonts w:ascii="Times New Roman" w:hAnsi="Times New Roman"/>
                <w:i/>
                <w:sz w:val="22"/>
                <w:szCs w:val="22"/>
              </w:rPr>
              <w:t>n</w:t>
            </w:r>
            <w:r w:rsidRPr="008E27E8">
              <w:rPr>
                <w:rFonts w:ascii="Times New Roman" w:hAnsi="Times New Roman"/>
                <w:i/>
                <w:sz w:val="22"/>
                <w:szCs w:val="22"/>
              </w:rPr>
              <w:t>:</w:t>
            </w:r>
          </w:p>
        </w:tc>
        <w:tc>
          <w:tcPr>
            <w:tcW w:w="7087" w:type="dxa"/>
          </w:tcPr>
          <w:p w14:paraId="586FC69D"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 xml:space="preserve">Hypertensio, hematoomat, </w:t>
            </w:r>
            <w:r>
              <w:rPr>
                <w:rFonts w:ascii="Times New Roman" w:hAnsi="Times New Roman"/>
                <w:sz w:val="22"/>
                <w:szCs w:val="22"/>
              </w:rPr>
              <w:t xml:space="preserve">subduraalihematooma, </w:t>
            </w:r>
            <w:r w:rsidRPr="00912A5D">
              <w:rPr>
                <w:rFonts w:ascii="Times New Roman" w:hAnsi="Times New Roman"/>
                <w:sz w:val="22"/>
                <w:szCs w:val="22"/>
              </w:rPr>
              <w:t>ääreisosien kylmyys, hypotensio, Raynaudin ilmiö</w:t>
            </w:r>
          </w:p>
        </w:tc>
      </w:tr>
      <w:tr w:rsidR="001505D2" w:rsidRPr="00912A5D" w14:paraId="586FC6A1" w14:textId="77777777" w:rsidTr="008D434B">
        <w:tc>
          <w:tcPr>
            <w:tcW w:w="2235" w:type="dxa"/>
          </w:tcPr>
          <w:p w14:paraId="586FC69F" w14:textId="77777777" w:rsidR="001505D2" w:rsidRPr="008E27E8" w:rsidRDefault="001505D2" w:rsidP="008D434B">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6A0" w14:textId="77777777" w:rsidR="001505D2" w:rsidRPr="00912A5D" w:rsidRDefault="001505D2" w:rsidP="008D434B">
            <w:pPr>
              <w:rPr>
                <w:rFonts w:ascii="Times New Roman" w:hAnsi="Times New Roman"/>
                <w:sz w:val="22"/>
                <w:szCs w:val="22"/>
              </w:rPr>
            </w:pPr>
            <w:r w:rsidRPr="005227E6">
              <w:rPr>
                <w:rFonts w:ascii="Times New Roman" w:hAnsi="Times New Roman"/>
                <w:sz w:val="22"/>
                <w:szCs w:val="22"/>
              </w:rPr>
              <w:t>Tromboosi/embolia</w:t>
            </w:r>
            <w:r>
              <w:rPr>
                <w:rFonts w:ascii="Times New Roman" w:hAnsi="Times New Roman"/>
                <w:sz w:val="22"/>
                <w:szCs w:val="22"/>
              </w:rPr>
              <w:t>*</w:t>
            </w:r>
          </w:p>
        </w:tc>
      </w:tr>
      <w:tr w:rsidR="00311DC5" w:rsidRPr="00912A5D" w14:paraId="586FC6A3" w14:textId="77777777" w:rsidTr="008238ED">
        <w:tc>
          <w:tcPr>
            <w:tcW w:w="9322" w:type="dxa"/>
            <w:gridSpan w:val="2"/>
          </w:tcPr>
          <w:p w14:paraId="586FC6A2" w14:textId="77777777" w:rsidR="00311DC5" w:rsidRPr="00B611CC" w:rsidRDefault="00311DC5" w:rsidP="00331A48">
            <w:pPr>
              <w:keepNext/>
              <w:widowControl w:val="0"/>
              <w:rPr>
                <w:rFonts w:ascii="Times New Roman" w:hAnsi="Times New Roman"/>
                <w:sz w:val="22"/>
                <w:szCs w:val="22"/>
              </w:rPr>
            </w:pPr>
            <w:r w:rsidRPr="00B611CC">
              <w:rPr>
                <w:rFonts w:ascii="Times New Roman" w:hAnsi="Times New Roman"/>
                <w:b/>
                <w:sz w:val="22"/>
                <w:szCs w:val="22"/>
              </w:rPr>
              <w:t>Hengityselimet, rintakehä ja välikarsina</w:t>
            </w:r>
          </w:p>
        </w:tc>
      </w:tr>
      <w:tr w:rsidR="00311DC5" w:rsidRPr="00912A5D" w14:paraId="586FC6A6" w14:textId="77777777" w:rsidTr="008238ED">
        <w:tc>
          <w:tcPr>
            <w:tcW w:w="2235" w:type="dxa"/>
          </w:tcPr>
          <w:p w14:paraId="586FC6A4"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A5"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lang w:val="fr-FR"/>
              </w:rPr>
              <w:t>Hengenahdistus, nenäverenvuoto,</w:t>
            </w:r>
            <w:r w:rsidRPr="00912A5D">
              <w:rPr>
                <w:rFonts w:ascii="Times New Roman" w:hAnsi="Times New Roman"/>
                <w:sz w:val="22"/>
                <w:szCs w:val="22"/>
              </w:rPr>
              <w:t xml:space="preserve"> yskä</w:t>
            </w:r>
          </w:p>
        </w:tc>
      </w:tr>
      <w:tr w:rsidR="00311DC5" w:rsidRPr="00912A5D" w14:paraId="586FC6A9" w14:textId="77777777" w:rsidTr="008238ED">
        <w:tc>
          <w:tcPr>
            <w:tcW w:w="2235" w:type="dxa"/>
          </w:tcPr>
          <w:p w14:paraId="586FC6A7"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A8"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Pleuraeffuusio</w:t>
            </w:r>
            <w:r>
              <w:rPr>
                <w:rFonts w:ascii="Times New Roman" w:hAnsi="Times New Roman"/>
                <w:sz w:val="22"/>
                <w:szCs w:val="22"/>
                <w:vertAlign w:val="superscript"/>
              </w:rPr>
              <w:t>5</w:t>
            </w:r>
            <w:r w:rsidRPr="00912A5D">
              <w:rPr>
                <w:rFonts w:ascii="Times New Roman" w:hAnsi="Times New Roman"/>
                <w:sz w:val="22"/>
                <w:szCs w:val="22"/>
              </w:rPr>
              <w:t>, nielun ja kurkunpään kipu, nielutulehdus</w:t>
            </w:r>
          </w:p>
        </w:tc>
      </w:tr>
      <w:tr w:rsidR="00311DC5" w:rsidRPr="00912A5D" w14:paraId="586FC6AC" w14:textId="77777777" w:rsidTr="008238ED">
        <w:tc>
          <w:tcPr>
            <w:tcW w:w="2235" w:type="dxa"/>
          </w:tcPr>
          <w:p w14:paraId="586FC6AA"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AB"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Pleurakipu, keuhkofibroosi, keuhkohypertensio, keuhkoverenvuoto</w:t>
            </w:r>
          </w:p>
        </w:tc>
      </w:tr>
      <w:tr w:rsidR="001505D2" w:rsidRPr="00912A5D" w14:paraId="586FC6AF" w14:textId="77777777" w:rsidTr="008D434B">
        <w:tc>
          <w:tcPr>
            <w:tcW w:w="2235" w:type="dxa"/>
          </w:tcPr>
          <w:p w14:paraId="586FC6AD" w14:textId="77777777" w:rsidR="001505D2" w:rsidRPr="00912A5D" w:rsidRDefault="001505D2" w:rsidP="008D434B">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6AE" w14:textId="77777777" w:rsidR="001505D2" w:rsidRPr="00912A5D" w:rsidRDefault="001505D2" w:rsidP="00D31E8F">
            <w:pPr>
              <w:rPr>
                <w:rFonts w:ascii="Times New Roman" w:hAnsi="Times New Roman"/>
                <w:sz w:val="22"/>
                <w:szCs w:val="22"/>
              </w:rPr>
            </w:pPr>
            <w:r w:rsidRPr="003773BE">
              <w:rPr>
                <w:rFonts w:ascii="Times New Roman" w:hAnsi="Times New Roman"/>
                <w:sz w:val="22"/>
                <w:szCs w:val="22"/>
              </w:rPr>
              <w:t>Akuutti hengitysvajaus</w:t>
            </w:r>
            <w:r>
              <w:rPr>
                <w:rFonts w:ascii="Times New Roman" w:hAnsi="Times New Roman"/>
                <w:sz w:val="22"/>
                <w:szCs w:val="22"/>
                <w:vertAlign w:val="superscript"/>
              </w:rPr>
              <w:t>1</w:t>
            </w:r>
            <w:r w:rsidR="00D31E8F">
              <w:rPr>
                <w:rFonts w:ascii="Times New Roman" w:hAnsi="Times New Roman"/>
                <w:sz w:val="22"/>
                <w:szCs w:val="22"/>
                <w:vertAlign w:val="superscript"/>
              </w:rPr>
              <w:t>1</w:t>
            </w:r>
            <w:r w:rsidRPr="003773BE">
              <w:rPr>
                <w:rFonts w:ascii="Times New Roman" w:hAnsi="Times New Roman"/>
                <w:sz w:val="22"/>
                <w:szCs w:val="22"/>
              </w:rPr>
              <w:t>*, interstitielli keuhkosairaus</w:t>
            </w:r>
            <w:r>
              <w:rPr>
                <w:rFonts w:ascii="Times New Roman" w:hAnsi="Times New Roman"/>
                <w:sz w:val="22"/>
                <w:szCs w:val="22"/>
              </w:rPr>
              <w:t>*</w:t>
            </w:r>
          </w:p>
        </w:tc>
      </w:tr>
      <w:tr w:rsidR="00311DC5" w:rsidRPr="00912A5D" w14:paraId="586FC6B1" w14:textId="77777777" w:rsidTr="008238ED">
        <w:tc>
          <w:tcPr>
            <w:tcW w:w="9322" w:type="dxa"/>
            <w:gridSpan w:val="2"/>
          </w:tcPr>
          <w:p w14:paraId="586FC6B0" w14:textId="77777777" w:rsidR="00311DC5" w:rsidRPr="00B611CC" w:rsidRDefault="00311DC5" w:rsidP="00331A48">
            <w:pPr>
              <w:keepNext/>
              <w:widowControl w:val="0"/>
              <w:rPr>
                <w:rFonts w:ascii="Times New Roman" w:hAnsi="Times New Roman"/>
                <w:sz w:val="22"/>
                <w:lang w:val="fr-FR"/>
              </w:rPr>
            </w:pPr>
            <w:r w:rsidRPr="00B611CC">
              <w:rPr>
                <w:rFonts w:ascii="Times New Roman" w:hAnsi="Times New Roman"/>
                <w:b/>
                <w:sz w:val="22"/>
                <w:szCs w:val="22"/>
              </w:rPr>
              <w:t>Ruoansulatuselimistö</w:t>
            </w:r>
          </w:p>
        </w:tc>
      </w:tr>
      <w:tr w:rsidR="00311DC5" w:rsidRPr="00912A5D" w14:paraId="586FC6B4" w14:textId="77777777" w:rsidTr="008238ED">
        <w:tc>
          <w:tcPr>
            <w:tcW w:w="2235" w:type="dxa"/>
          </w:tcPr>
          <w:p w14:paraId="586FC6B2"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B3"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Pahoinvointi, ripuli, oksentelu, dyspepsia, vatsakipu</w:t>
            </w:r>
            <w:r>
              <w:rPr>
                <w:rFonts w:ascii="Times New Roman" w:hAnsi="Times New Roman"/>
                <w:sz w:val="22"/>
                <w:szCs w:val="22"/>
                <w:vertAlign w:val="superscript"/>
              </w:rPr>
              <w:t>6</w:t>
            </w:r>
          </w:p>
        </w:tc>
      </w:tr>
      <w:tr w:rsidR="00311DC5" w:rsidRPr="00912A5D" w14:paraId="586FC6B7" w14:textId="77777777" w:rsidTr="008238ED">
        <w:tc>
          <w:tcPr>
            <w:tcW w:w="2235" w:type="dxa"/>
          </w:tcPr>
          <w:p w14:paraId="586FC6B5"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B6"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Ilmavaivat, vatsan pullotus, gastroesofageaalinen refluksi, ummetus, suun kuivuminen, gastriitti</w:t>
            </w:r>
          </w:p>
        </w:tc>
      </w:tr>
      <w:tr w:rsidR="00311DC5" w:rsidRPr="00912A5D" w14:paraId="586FC6BA" w14:textId="77777777" w:rsidTr="008238ED">
        <w:tc>
          <w:tcPr>
            <w:tcW w:w="2235" w:type="dxa"/>
          </w:tcPr>
          <w:p w14:paraId="586FC6B8"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B9"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Suutulehdus, suun haavaumat, ruoansulatuskanavan verenvuoto</w:t>
            </w:r>
            <w:r>
              <w:rPr>
                <w:rFonts w:ascii="Times New Roman" w:hAnsi="Times New Roman"/>
                <w:sz w:val="22"/>
                <w:szCs w:val="22"/>
                <w:vertAlign w:val="superscript"/>
              </w:rPr>
              <w:t>7</w:t>
            </w:r>
            <w:r w:rsidRPr="00912A5D">
              <w:rPr>
                <w:rFonts w:ascii="Times New Roman" w:hAnsi="Times New Roman"/>
                <w:sz w:val="22"/>
                <w:szCs w:val="22"/>
              </w:rPr>
              <w:t>, röyhtäily, veriripuli, ruokatorvitulehdus, askites, mahahaava, verioksennukset, huulitulehdus, nielemishäiriö, haimatulehdus</w:t>
            </w:r>
          </w:p>
        </w:tc>
      </w:tr>
      <w:tr w:rsidR="00311DC5" w:rsidRPr="00912A5D" w14:paraId="586FC6BD" w14:textId="77777777" w:rsidTr="008238ED">
        <w:tc>
          <w:tcPr>
            <w:tcW w:w="2235" w:type="dxa"/>
          </w:tcPr>
          <w:p w14:paraId="586FC6BB"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BC" w14:textId="77777777" w:rsidR="00311DC5" w:rsidRPr="00912A5D" w:rsidRDefault="00311DC5" w:rsidP="00331A48">
            <w:pPr>
              <w:keepNext/>
              <w:widowControl w:val="0"/>
              <w:rPr>
                <w:rFonts w:ascii="Times New Roman" w:hAnsi="Times New Roman"/>
                <w:snapToGrid w:val="0"/>
                <w:sz w:val="22"/>
                <w:szCs w:val="22"/>
                <w:lang w:val="fr-FR"/>
              </w:rPr>
            </w:pPr>
            <w:r w:rsidRPr="00912A5D">
              <w:rPr>
                <w:rFonts w:ascii="Times New Roman" w:hAnsi="Times New Roman"/>
                <w:sz w:val="22"/>
                <w:szCs w:val="22"/>
              </w:rPr>
              <w:t xml:space="preserve">Koliitti, </w:t>
            </w:r>
            <w:r w:rsidRPr="00912A5D">
              <w:rPr>
                <w:rFonts w:ascii="Times New Roman" w:hAnsi="Times New Roman"/>
                <w:snapToGrid w:val="0"/>
                <w:sz w:val="22"/>
                <w:szCs w:val="22"/>
              </w:rPr>
              <w:t>ileus, tulehduksellinen suolistosairaus</w:t>
            </w:r>
          </w:p>
        </w:tc>
      </w:tr>
      <w:tr w:rsidR="001505D2" w:rsidRPr="00912A5D" w14:paraId="586FC6C0" w14:textId="77777777" w:rsidTr="008D434B">
        <w:tc>
          <w:tcPr>
            <w:tcW w:w="2235" w:type="dxa"/>
          </w:tcPr>
          <w:p w14:paraId="586FC6BE" w14:textId="77777777" w:rsidR="001505D2" w:rsidRPr="00912A5D" w:rsidRDefault="001505D2" w:rsidP="008D434B">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6BF" w14:textId="77777777" w:rsidR="001505D2" w:rsidRPr="00912A5D" w:rsidRDefault="001505D2" w:rsidP="008D434B">
            <w:pPr>
              <w:rPr>
                <w:rFonts w:ascii="Times New Roman" w:hAnsi="Times New Roman"/>
                <w:sz w:val="22"/>
                <w:szCs w:val="22"/>
              </w:rPr>
            </w:pPr>
            <w:r w:rsidRPr="003773BE">
              <w:rPr>
                <w:rFonts w:ascii="Times New Roman" w:hAnsi="Times New Roman"/>
                <w:sz w:val="22"/>
                <w:szCs w:val="22"/>
              </w:rPr>
              <w:t>Ileus/suolentukkeuma</w:t>
            </w:r>
            <w:r>
              <w:rPr>
                <w:rFonts w:ascii="Times New Roman" w:hAnsi="Times New Roman"/>
                <w:sz w:val="22"/>
                <w:szCs w:val="22"/>
              </w:rPr>
              <w:t>*</w:t>
            </w:r>
            <w:r w:rsidRPr="003773BE">
              <w:rPr>
                <w:rFonts w:ascii="Times New Roman" w:hAnsi="Times New Roman"/>
                <w:sz w:val="22"/>
                <w:szCs w:val="22"/>
              </w:rPr>
              <w:t>, ruoansulatuskanavan perforaatio</w:t>
            </w:r>
            <w:r>
              <w:rPr>
                <w:rFonts w:ascii="Times New Roman" w:hAnsi="Times New Roman"/>
                <w:sz w:val="22"/>
                <w:szCs w:val="22"/>
              </w:rPr>
              <w:t>*</w:t>
            </w:r>
            <w:r w:rsidRPr="003773BE">
              <w:rPr>
                <w:rFonts w:ascii="Times New Roman" w:hAnsi="Times New Roman"/>
                <w:sz w:val="22"/>
                <w:szCs w:val="22"/>
              </w:rPr>
              <w:t>, divertikuliitti</w:t>
            </w:r>
            <w:r>
              <w:rPr>
                <w:rFonts w:ascii="Times New Roman" w:hAnsi="Times New Roman"/>
                <w:sz w:val="22"/>
                <w:szCs w:val="22"/>
              </w:rPr>
              <w:t xml:space="preserve">*, </w:t>
            </w:r>
            <w:r w:rsidRPr="003773BE">
              <w:rPr>
                <w:rFonts w:ascii="Times New Roman" w:hAnsi="Times New Roman"/>
                <w:sz w:val="22"/>
                <w:szCs w:val="22"/>
              </w:rPr>
              <w:t>mahalaukun antraali</w:t>
            </w:r>
            <w:r>
              <w:rPr>
                <w:rFonts w:ascii="Times New Roman" w:hAnsi="Times New Roman"/>
                <w:sz w:val="22"/>
                <w:szCs w:val="22"/>
              </w:rPr>
              <w:t>nen</w:t>
            </w:r>
            <w:r w:rsidRPr="003773BE">
              <w:rPr>
                <w:rFonts w:ascii="Times New Roman" w:hAnsi="Times New Roman"/>
                <w:sz w:val="22"/>
                <w:szCs w:val="22"/>
              </w:rPr>
              <w:t xml:space="preserve"> vaskulaari</w:t>
            </w:r>
            <w:r>
              <w:rPr>
                <w:rFonts w:ascii="Times New Roman" w:hAnsi="Times New Roman"/>
                <w:sz w:val="22"/>
                <w:szCs w:val="22"/>
              </w:rPr>
              <w:t>nen</w:t>
            </w:r>
            <w:r w:rsidRPr="003773BE">
              <w:rPr>
                <w:rFonts w:ascii="Times New Roman" w:hAnsi="Times New Roman"/>
                <w:sz w:val="22"/>
                <w:szCs w:val="22"/>
              </w:rPr>
              <w:t xml:space="preserve"> ektasia</w:t>
            </w:r>
            <w:r>
              <w:rPr>
                <w:rFonts w:ascii="Times New Roman" w:hAnsi="Times New Roman"/>
                <w:sz w:val="22"/>
                <w:szCs w:val="22"/>
              </w:rPr>
              <w:t xml:space="preserve"> (GAVE)*</w:t>
            </w:r>
          </w:p>
        </w:tc>
      </w:tr>
      <w:tr w:rsidR="00311DC5" w:rsidRPr="00912A5D" w14:paraId="586FC6C2" w14:textId="77777777" w:rsidTr="008238ED">
        <w:tc>
          <w:tcPr>
            <w:tcW w:w="9322" w:type="dxa"/>
            <w:gridSpan w:val="2"/>
          </w:tcPr>
          <w:p w14:paraId="586FC6C1" w14:textId="77777777" w:rsidR="00311DC5" w:rsidRPr="00B611CC" w:rsidRDefault="00311DC5" w:rsidP="00331A48">
            <w:pPr>
              <w:keepNext/>
              <w:widowControl w:val="0"/>
              <w:rPr>
                <w:rFonts w:ascii="Times New Roman" w:hAnsi="Times New Roman"/>
                <w:snapToGrid w:val="0"/>
                <w:sz w:val="22"/>
                <w:szCs w:val="22"/>
                <w:lang w:val="fr-FR"/>
              </w:rPr>
            </w:pPr>
            <w:r w:rsidRPr="00B611CC">
              <w:rPr>
                <w:rFonts w:ascii="Times New Roman" w:hAnsi="Times New Roman"/>
                <w:b/>
                <w:sz w:val="22"/>
                <w:szCs w:val="22"/>
              </w:rPr>
              <w:t>Maksa ja sappi</w:t>
            </w:r>
          </w:p>
        </w:tc>
      </w:tr>
      <w:tr w:rsidR="00311DC5" w:rsidRPr="00912A5D" w14:paraId="586FC6C5" w14:textId="77777777" w:rsidTr="008238ED">
        <w:tc>
          <w:tcPr>
            <w:tcW w:w="2235" w:type="dxa"/>
          </w:tcPr>
          <w:p w14:paraId="586FC6C3"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C4"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Kohonneet maksaentsyymiarvot</w:t>
            </w:r>
          </w:p>
        </w:tc>
      </w:tr>
      <w:tr w:rsidR="00311DC5" w:rsidRPr="00912A5D" w14:paraId="586FC6C8" w14:textId="77777777" w:rsidTr="008238ED">
        <w:tc>
          <w:tcPr>
            <w:tcW w:w="2235" w:type="dxa"/>
          </w:tcPr>
          <w:p w14:paraId="586FC6C6" w14:textId="77777777" w:rsidR="00311DC5" w:rsidRPr="00912A5D" w:rsidRDefault="00311DC5" w:rsidP="00331A48">
            <w:pPr>
              <w:keepNext/>
              <w:widowControl w:val="0"/>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C7" w14:textId="77777777" w:rsidR="00311DC5" w:rsidRPr="00912A5D" w:rsidRDefault="00311DC5" w:rsidP="00331A48">
            <w:pPr>
              <w:keepNext/>
              <w:widowControl w:val="0"/>
              <w:rPr>
                <w:rFonts w:ascii="Times New Roman" w:hAnsi="Times New Roman"/>
                <w:sz w:val="22"/>
                <w:szCs w:val="22"/>
              </w:rPr>
            </w:pPr>
            <w:r w:rsidRPr="00912A5D">
              <w:rPr>
                <w:rFonts w:ascii="Times New Roman" w:hAnsi="Times New Roman"/>
                <w:sz w:val="22"/>
                <w:szCs w:val="22"/>
              </w:rPr>
              <w:t>Hyperbilirubinemia, hepatiitti, ikterus</w:t>
            </w:r>
          </w:p>
        </w:tc>
      </w:tr>
      <w:tr w:rsidR="00311DC5" w:rsidRPr="00912A5D" w14:paraId="586FC6CB" w14:textId="77777777" w:rsidTr="008238ED">
        <w:tc>
          <w:tcPr>
            <w:tcW w:w="2235" w:type="dxa"/>
          </w:tcPr>
          <w:p w14:paraId="586FC6C9" w14:textId="77777777" w:rsidR="00311DC5" w:rsidRPr="00912A5D" w:rsidRDefault="00311DC5" w:rsidP="008238ED">
            <w:pPr>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CA" w14:textId="77777777" w:rsidR="00311DC5" w:rsidRPr="00912A5D" w:rsidRDefault="00311DC5" w:rsidP="008238ED">
            <w:pPr>
              <w:rPr>
                <w:rFonts w:ascii="Times New Roman" w:hAnsi="Times New Roman"/>
                <w:sz w:val="22"/>
                <w:szCs w:val="22"/>
              </w:rPr>
            </w:pPr>
            <w:r w:rsidRPr="00912A5D">
              <w:rPr>
                <w:rFonts w:ascii="Times New Roman" w:hAnsi="Times New Roman"/>
                <w:sz w:val="22"/>
                <w:szCs w:val="22"/>
              </w:rPr>
              <w:t>Maksan vajaatoiminta</w:t>
            </w:r>
            <w:r w:rsidRPr="00D96BC6">
              <w:rPr>
                <w:rFonts w:ascii="Times New Roman" w:hAnsi="Times New Roman"/>
                <w:sz w:val="22"/>
                <w:szCs w:val="22"/>
                <w:vertAlign w:val="superscript"/>
              </w:rPr>
              <w:t>8</w:t>
            </w:r>
            <w:r w:rsidRPr="00912A5D">
              <w:rPr>
                <w:rFonts w:ascii="Times New Roman" w:hAnsi="Times New Roman"/>
                <w:sz w:val="22"/>
                <w:szCs w:val="22"/>
              </w:rPr>
              <w:t>, maksanekroosi</w:t>
            </w:r>
          </w:p>
        </w:tc>
      </w:tr>
      <w:tr w:rsidR="00311DC5" w:rsidRPr="00912A5D" w14:paraId="586FC6CD" w14:textId="77777777" w:rsidTr="008238ED">
        <w:tc>
          <w:tcPr>
            <w:tcW w:w="9322" w:type="dxa"/>
            <w:gridSpan w:val="2"/>
          </w:tcPr>
          <w:p w14:paraId="586FC6CC" w14:textId="77777777" w:rsidR="00311DC5" w:rsidRPr="00B611CC" w:rsidRDefault="00311DC5" w:rsidP="00331A48">
            <w:pPr>
              <w:keepNext/>
              <w:widowControl w:val="0"/>
              <w:rPr>
                <w:rFonts w:ascii="Times New Roman" w:hAnsi="Times New Roman"/>
                <w:sz w:val="22"/>
              </w:rPr>
            </w:pPr>
            <w:r w:rsidRPr="00B611CC">
              <w:rPr>
                <w:rFonts w:ascii="Times New Roman" w:hAnsi="Times New Roman"/>
                <w:b/>
                <w:sz w:val="22"/>
                <w:szCs w:val="22"/>
              </w:rPr>
              <w:t>Iho ja ihonalainen kudos</w:t>
            </w:r>
          </w:p>
        </w:tc>
      </w:tr>
      <w:tr w:rsidR="00311DC5" w:rsidRPr="00912A5D" w14:paraId="586FC6D0" w14:textId="77777777" w:rsidTr="008238ED">
        <w:tc>
          <w:tcPr>
            <w:tcW w:w="2235" w:type="dxa"/>
          </w:tcPr>
          <w:p w14:paraId="586FC6CE"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CF"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lang w:val="pt-PT"/>
              </w:rPr>
              <w:t>Turvotus silmäkuopan ympärillä, ihotulehdus/ekseema/ihottuma</w:t>
            </w:r>
          </w:p>
        </w:tc>
      </w:tr>
      <w:tr w:rsidR="00311DC5" w:rsidRPr="00912A5D" w14:paraId="586FC6D3" w14:textId="77777777" w:rsidTr="008238ED">
        <w:tc>
          <w:tcPr>
            <w:tcW w:w="2235" w:type="dxa"/>
          </w:tcPr>
          <w:p w14:paraId="586FC6D1"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D2" w14:textId="77777777" w:rsidR="00311DC5" w:rsidRPr="00912A5D" w:rsidRDefault="00311DC5" w:rsidP="00331A48">
            <w:pPr>
              <w:keepNext/>
              <w:widowControl w:val="0"/>
              <w:rPr>
                <w:rFonts w:ascii="Times New Roman" w:hAnsi="Times New Roman"/>
                <w:sz w:val="22"/>
              </w:rPr>
            </w:pPr>
            <w:r w:rsidRPr="00912A5D">
              <w:rPr>
                <w:rFonts w:ascii="Times New Roman" w:hAnsi="Times New Roman"/>
                <w:sz w:val="22"/>
                <w:szCs w:val="22"/>
              </w:rPr>
              <w:t>Kutina, kasvojen turvotus, ihon kuivuminen, punoitus, hiustenlähtö, yöhikoilu, valoherkkyysreaktiot</w:t>
            </w:r>
          </w:p>
        </w:tc>
      </w:tr>
      <w:tr w:rsidR="00311DC5" w:rsidRPr="00912A5D" w14:paraId="586FC6D6" w14:textId="77777777" w:rsidTr="008238ED">
        <w:tc>
          <w:tcPr>
            <w:tcW w:w="2235" w:type="dxa"/>
          </w:tcPr>
          <w:p w14:paraId="586FC6D4"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D5" w14:textId="77777777" w:rsidR="00311DC5" w:rsidRPr="00912A5D" w:rsidRDefault="00311DC5" w:rsidP="00331A48">
            <w:pPr>
              <w:keepNext/>
              <w:widowControl w:val="0"/>
              <w:rPr>
                <w:rFonts w:ascii="Times New Roman" w:hAnsi="Times New Roman"/>
                <w:sz w:val="22"/>
                <w:szCs w:val="22"/>
                <w:lang w:val="pt-PT"/>
              </w:rPr>
            </w:pPr>
            <w:r w:rsidRPr="00912A5D">
              <w:rPr>
                <w:rFonts w:ascii="Times New Roman" w:hAnsi="Times New Roman"/>
                <w:sz w:val="22"/>
                <w:szCs w:val="22"/>
                <w:lang w:val="pt-PT"/>
              </w:rPr>
              <w:t>Märkärakkulainen ihottuma, ruhjeet, lisääntynyt hikoilu, nokkosihottuma, mustelmat, tavallista suurempi alttius mustelmille, niukka karvaisuus, ihon hypopigmentaatio, eksfoliatiivinen dermatiitti, kynsien murtuminen, follikuliitti, petekiat, psoriaasi, purppura, ihon hyperpigmentaatio, rakkulaiset ihomuutokset</w:t>
            </w:r>
          </w:p>
        </w:tc>
      </w:tr>
      <w:tr w:rsidR="00311DC5" w:rsidRPr="00912A5D" w14:paraId="586FC6D9" w14:textId="77777777" w:rsidTr="008238ED">
        <w:tc>
          <w:tcPr>
            <w:tcW w:w="2235" w:type="dxa"/>
          </w:tcPr>
          <w:p w14:paraId="586FC6D7" w14:textId="77777777" w:rsidR="00311DC5" w:rsidRPr="00912A5D" w:rsidRDefault="00311DC5" w:rsidP="00331A48">
            <w:pPr>
              <w:keepNext/>
              <w:widowControl w:val="0"/>
              <w:rPr>
                <w:rFonts w:ascii="Times New Roman" w:hAnsi="Times New Roman"/>
                <w:sz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D8" w14:textId="77777777" w:rsidR="00311DC5" w:rsidRPr="00912A5D" w:rsidRDefault="00311DC5" w:rsidP="00331A48">
            <w:pPr>
              <w:keepNext/>
              <w:widowControl w:val="0"/>
              <w:rPr>
                <w:rFonts w:ascii="Times New Roman" w:hAnsi="Times New Roman"/>
                <w:sz w:val="22"/>
                <w:lang w:val="pt-PT"/>
              </w:rPr>
            </w:pPr>
            <w:r w:rsidRPr="00912A5D">
              <w:rPr>
                <w:rFonts w:ascii="Times New Roman" w:hAnsi="Times New Roman"/>
                <w:sz w:val="22"/>
                <w:szCs w:val="22"/>
                <w:lang w:val="pt-PT"/>
              </w:rPr>
              <w:t>Akuutti kuumeinen neutrofiilinen dermatoosi (Sweetin oireyhtymä), kynsien värimuutokset, angioödeema, vesirakkulainen ihottuma, erythema multiforme, leukosytoklastinen vaskuliitti, Stevens-Johnsonin oireyhtymä</w:t>
            </w:r>
            <w:r>
              <w:rPr>
                <w:rFonts w:ascii="Times New Roman" w:hAnsi="Times New Roman"/>
                <w:sz w:val="22"/>
                <w:szCs w:val="22"/>
                <w:lang w:val="pt-PT"/>
              </w:rPr>
              <w:t>, akuutti yleistynyt eksanteemainen pustuloosi</w:t>
            </w:r>
            <w:r w:rsidRPr="00912A5D">
              <w:rPr>
                <w:rFonts w:ascii="Times New Roman" w:hAnsi="Times New Roman"/>
                <w:sz w:val="22"/>
                <w:szCs w:val="22"/>
                <w:lang w:val="pt-PT"/>
              </w:rPr>
              <w:t xml:space="preserve"> ihottuma</w:t>
            </w:r>
            <w:r>
              <w:rPr>
                <w:rFonts w:ascii="Times New Roman" w:hAnsi="Times New Roman"/>
                <w:sz w:val="22"/>
                <w:szCs w:val="22"/>
                <w:lang w:val="pt-PT"/>
              </w:rPr>
              <w:t xml:space="preserve"> (AGEP)</w:t>
            </w:r>
          </w:p>
        </w:tc>
      </w:tr>
      <w:tr w:rsidR="001505D2" w:rsidRPr="00912A5D" w14:paraId="586FC6DC" w14:textId="77777777" w:rsidTr="008D434B">
        <w:tc>
          <w:tcPr>
            <w:tcW w:w="2235" w:type="dxa"/>
          </w:tcPr>
          <w:p w14:paraId="586FC6DA" w14:textId="77777777" w:rsidR="001505D2" w:rsidRPr="00912A5D" w:rsidRDefault="001505D2" w:rsidP="008D434B">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6DB" w14:textId="77777777" w:rsidR="001505D2" w:rsidRPr="00912A5D" w:rsidRDefault="001505D2" w:rsidP="00F5480C">
            <w:pPr>
              <w:rPr>
                <w:rFonts w:ascii="Times New Roman" w:hAnsi="Times New Roman"/>
                <w:sz w:val="22"/>
                <w:szCs w:val="22"/>
                <w:lang w:val="pt-PT"/>
              </w:rPr>
            </w:pPr>
            <w:r w:rsidRPr="00DC4D3D">
              <w:rPr>
                <w:rFonts w:ascii="Times New Roman" w:hAnsi="Times New Roman"/>
                <w:sz w:val="22"/>
                <w:szCs w:val="22"/>
                <w:lang w:val="pt-PT"/>
              </w:rPr>
              <w:t>Palmoplantaarinen erytrodysestesiaoireyhtymä</w:t>
            </w:r>
            <w:r>
              <w:rPr>
                <w:rFonts w:ascii="Times New Roman" w:hAnsi="Times New Roman"/>
                <w:sz w:val="22"/>
                <w:szCs w:val="22"/>
                <w:lang w:val="pt-PT"/>
              </w:rPr>
              <w:t>*, l</w:t>
            </w:r>
            <w:r w:rsidRPr="00DC4D3D">
              <w:rPr>
                <w:rFonts w:ascii="Times New Roman" w:hAnsi="Times New Roman"/>
                <w:sz w:val="22"/>
                <w:szCs w:val="22"/>
                <w:lang w:val="pt-PT"/>
              </w:rPr>
              <w:t>ikenoidinen keratoosi</w:t>
            </w:r>
            <w:r>
              <w:rPr>
                <w:rFonts w:ascii="Times New Roman" w:hAnsi="Times New Roman"/>
                <w:sz w:val="22"/>
                <w:szCs w:val="22"/>
                <w:lang w:val="pt-PT"/>
              </w:rPr>
              <w:t>*</w:t>
            </w:r>
            <w:r w:rsidRPr="00DC4D3D">
              <w:rPr>
                <w:rFonts w:ascii="Times New Roman" w:hAnsi="Times New Roman"/>
                <w:sz w:val="22"/>
                <w:szCs w:val="22"/>
                <w:lang w:val="pt-PT"/>
              </w:rPr>
              <w:t>, punajäkälä</w:t>
            </w:r>
            <w:r>
              <w:rPr>
                <w:rFonts w:ascii="Times New Roman" w:hAnsi="Times New Roman"/>
                <w:sz w:val="22"/>
                <w:szCs w:val="22"/>
                <w:lang w:val="pt-PT"/>
              </w:rPr>
              <w:t>*, t</w:t>
            </w:r>
            <w:r w:rsidRPr="00DC4D3D">
              <w:rPr>
                <w:rFonts w:ascii="Times New Roman" w:hAnsi="Times New Roman"/>
                <w:sz w:val="22"/>
                <w:szCs w:val="22"/>
                <w:lang w:val="pt-PT"/>
              </w:rPr>
              <w:t>oksinen epidermaalinen nekrolyysi</w:t>
            </w:r>
            <w:r>
              <w:rPr>
                <w:rFonts w:ascii="Times New Roman" w:hAnsi="Times New Roman"/>
                <w:sz w:val="22"/>
                <w:szCs w:val="22"/>
                <w:lang w:val="pt-PT"/>
              </w:rPr>
              <w:t>*, l</w:t>
            </w:r>
            <w:r w:rsidRPr="00DC4D3D">
              <w:rPr>
                <w:rFonts w:ascii="Times New Roman" w:hAnsi="Times New Roman"/>
                <w:sz w:val="22"/>
                <w:szCs w:val="22"/>
                <w:lang w:val="pt-PT"/>
              </w:rPr>
              <w:t>ääkeihottuma, johon liittyy eosinofilia ja systeemisiä oireita (DRESS)</w:t>
            </w:r>
            <w:r>
              <w:rPr>
                <w:rFonts w:ascii="Times New Roman" w:hAnsi="Times New Roman"/>
                <w:sz w:val="22"/>
                <w:szCs w:val="22"/>
                <w:lang w:val="pt-PT"/>
              </w:rPr>
              <w:t>*</w:t>
            </w:r>
            <w:r w:rsidR="00F5480C">
              <w:rPr>
                <w:rFonts w:ascii="Times New Roman" w:hAnsi="Times New Roman"/>
                <w:sz w:val="22"/>
                <w:szCs w:val="22"/>
                <w:lang w:val="pt-PT"/>
              </w:rPr>
              <w:t xml:space="preserve">, </w:t>
            </w:r>
            <w:r w:rsidR="00F5480C" w:rsidRPr="00F5480C">
              <w:rPr>
                <w:rFonts w:ascii="Times New Roman" w:hAnsi="Times New Roman"/>
                <w:sz w:val="22"/>
                <w:szCs w:val="22"/>
                <w:lang w:val="pt-PT"/>
              </w:rPr>
              <w:t>pseudopor</w:t>
            </w:r>
            <w:r w:rsidR="00F5480C">
              <w:rPr>
                <w:rFonts w:ascii="Times New Roman" w:hAnsi="Times New Roman"/>
                <w:sz w:val="22"/>
                <w:szCs w:val="22"/>
                <w:lang w:val="pt-PT"/>
              </w:rPr>
              <w:t>f</w:t>
            </w:r>
            <w:r w:rsidR="00F5480C" w:rsidRPr="00F5480C">
              <w:rPr>
                <w:rFonts w:ascii="Times New Roman" w:hAnsi="Times New Roman"/>
                <w:sz w:val="22"/>
                <w:szCs w:val="22"/>
                <w:lang w:val="pt-PT"/>
              </w:rPr>
              <w:t>yria*</w:t>
            </w:r>
          </w:p>
        </w:tc>
      </w:tr>
      <w:tr w:rsidR="00311DC5" w:rsidRPr="00912A5D" w14:paraId="586FC6DE" w14:textId="77777777" w:rsidTr="008238ED">
        <w:tc>
          <w:tcPr>
            <w:tcW w:w="9322" w:type="dxa"/>
            <w:gridSpan w:val="2"/>
          </w:tcPr>
          <w:p w14:paraId="586FC6DD" w14:textId="77777777" w:rsidR="00311DC5" w:rsidRPr="00B611CC" w:rsidRDefault="00311DC5" w:rsidP="00331A48">
            <w:pPr>
              <w:keepNext/>
              <w:rPr>
                <w:rFonts w:ascii="Times New Roman" w:hAnsi="Times New Roman"/>
                <w:sz w:val="22"/>
                <w:szCs w:val="22"/>
                <w:lang w:val="pt-PT"/>
              </w:rPr>
            </w:pPr>
            <w:r w:rsidRPr="00B611CC">
              <w:rPr>
                <w:rFonts w:ascii="Times New Roman" w:hAnsi="Times New Roman"/>
                <w:b/>
                <w:sz w:val="22"/>
                <w:szCs w:val="22"/>
              </w:rPr>
              <w:t>Luusto, lihakset ja sidekudos</w:t>
            </w:r>
          </w:p>
        </w:tc>
      </w:tr>
      <w:tr w:rsidR="00311DC5" w:rsidRPr="00912A5D" w14:paraId="586FC6E1" w14:textId="77777777" w:rsidTr="008238ED">
        <w:tc>
          <w:tcPr>
            <w:tcW w:w="2235" w:type="dxa"/>
          </w:tcPr>
          <w:p w14:paraId="586FC6DF" w14:textId="77777777" w:rsidR="00311DC5" w:rsidRPr="00912A5D" w:rsidRDefault="00311DC5" w:rsidP="00331A48">
            <w:pPr>
              <w:keepNext/>
              <w:rPr>
                <w:rFonts w:ascii="Times New Roman" w:hAnsi="Times New Roman"/>
                <w:i/>
                <w:sz w:val="22"/>
                <w:szCs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E0" w14:textId="77777777" w:rsidR="00311DC5" w:rsidRPr="00912A5D" w:rsidRDefault="00311DC5" w:rsidP="00331A48">
            <w:pPr>
              <w:keepNext/>
              <w:rPr>
                <w:rFonts w:ascii="Times New Roman" w:hAnsi="Times New Roman"/>
                <w:sz w:val="22"/>
                <w:szCs w:val="22"/>
                <w:lang w:val="pt-PT"/>
              </w:rPr>
            </w:pPr>
            <w:r w:rsidRPr="00912A5D">
              <w:rPr>
                <w:rFonts w:ascii="Times New Roman" w:hAnsi="Times New Roman"/>
                <w:sz w:val="22"/>
                <w:szCs w:val="22"/>
              </w:rPr>
              <w:t>Lihasspasmit ja -krampit, luusto- ja lihaskipu (mm. lihaskipu</w:t>
            </w:r>
            <w:r w:rsidR="00D31E8F" w:rsidRPr="008A5B9A">
              <w:rPr>
                <w:rFonts w:ascii="Times New Roman" w:hAnsi="Times New Roman"/>
                <w:sz w:val="22"/>
                <w:szCs w:val="22"/>
                <w:vertAlign w:val="superscript"/>
              </w:rPr>
              <w:t>9</w:t>
            </w:r>
            <w:r w:rsidRPr="00912A5D">
              <w:rPr>
                <w:rFonts w:ascii="Times New Roman" w:hAnsi="Times New Roman"/>
                <w:sz w:val="22"/>
                <w:szCs w:val="22"/>
              </w:rPr>
              <w:t>, nivelkipu, luukipu</w:t>
            </w:r>
            <w:r w:rsidR="00D31E8F" w:rsidRPr="008A5B9A">
              <w:rPr>
                <w:rFonts w:ascii="Times New Roman" w:hAnsi="Times New Roman"/>
                <w:sz w:val="22"/>
                <w:szCs w:val="22"/>
                <w:vertAlign w:val="superscript"/>
              </w:rPr>
              <w:t>10</w:t>
            </w:r>
            <w:r w:rsidRPr="00912A5D">
              <w:rPr>
                <w:rFonts w:ascii="Times New Roman" w:hAnsi="Times New Roman"/>
                <w:sz w:val="22"/>
                <w:szCs w:val="22"/>
              </w:rPr>
              <w:t>)</w:t>
            </w:r>
          </w:p>
        </w:tc>
      </w:tr>
      <w:tr w:rsidR="00311DC5" w:rsidRPr="00912A5D" w14:paraId="586FC6E4" w14:textId="77777777" w:rsidTr="008238ED">
        <w:tc>
          <w:tcPr>
            <w:tcW w:w="2235" w:type="dxa"/>
          </w:tcPr>
          <w:p w14:paraId="586FC6E2" w14:textId="77777777" w:rsidR="00311DC5" w:rsidRPr="00912A5D" w:rsidRDefault="00311DC5" w:rsidP="00331A48">
            <w:pPr>
              <w:keepNext/>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E3" w14:textId="77777777" w:rsidR="00311DC5" w:rsidRPr="00912A5D" w:rsidRDefault="00311DC5" w:rsidP="00331A48">
            <w:pPr>
              <w:keepNext/>
              <w:rPr>
                <w:rFonts w:ascii="Times New Roman" w:hAnsi="Times New Roman"/>
                <w:sz w:val="22"/>
                <w:szCs w:val="22"/>
                <w:lang w:val="pt-PT"/>
              </w:rPr>
            </w:pPr>
            <w:r w:rsidRPr="00912A5D">
              <w:rPr>
                <w:rFonts w:ascii="Times New Roman" w:hAnsi="Times New Roman"/>
                <w:sz w:val="22"/>
                <w:szCs w:val="22"/>
              </w:rPr>
              <w:t>Nivelten turvotus</w:t>
            </w:r>
          </w:p>
        </w:tc>
      </w:tr>
      <w:tr w:rsidR="00311DC5" w:rsidRPr="00912A5D" w14:paraId="586FC6E7" w14:textId="77777777" w:rsidTr="008238ED">
        <w:tc>
          <w:tcPr>
            <w:tcW w:w="2235" w:type="dxa"/>
          </w:tcPr>
          <w:p w14:paraId="586FC6E5" w14:textId="77777777" w:rsidR="00311DC5" w:rsidRPr="00912A5D" w:rsidRDefault="00311DC5" w:rsidP="00331A48">
            <w:pPr>
              <w:keepNext/>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E6" w14:textId="77777777" w:rsidR="00311DC5" w:rsidRPr="00912A5D" w:rsidRDefault="00311DC5" w:rsidP="00331A48">
            <w:pPr>
              <w:keepNext/>
              <w:rPr>
                <w:rFonts w:ascii="Times New Roman" w:hAnsi="Times New Roman"/>
                <w:sz w:val="22"/>
                <w:szCs w:val="22"/>
                <w:lang w:val="pt-PT"/>
              </w:rPr>
            </w:pPr>
            <w:r w:rsidRPr="00912A5D">
              <w:rPr>
                <w:rFonts w:ascii="Times New Roman" w:hAnsi="Times New Roman"/>
                <w:sz w:val="22"/>
                <w:szCs w:val="22"/>
              </w:rPr>
              <w:t>Nivelten ja lihasten jäykkyys</w:t>
            </w:r>
          </w:p>
        </w:tc>
      </w:tr>
      <w:tr w:rsidR="00311DC5" w:rsidRPr="00912A5D" w14:paraId="586FC6EA" w14:textId="77777777" w:rsidTr="008238ED">
        <w:tc>
          <w:tcPr>
            <w:tcW w:w="2235" w:type="dxa"/>
          </w:tcPr>
          <w:p w14:paraId="586FC6E8" w14:textId="77777777" w:rsidR="00311DC5" w:rsidRPr="00912A5D" w:rsidRDefault="00311DC5" w:rsidP="00331A48">
            <w:pPr>
              <w:keepNext/>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E9" w14:textId="77777777" w:rsidR="00311DC5" w:rsidRPr="00912A5D" w:rsidRDefault="00311DC5" w:rsidP="00331A48">
            <w:pPr>
              <w:keepNext/>
              <w:rPr>
                <w:rFonts w:ascii="Times New Roman" w:hAnsi="Times New Roman"/>
                <w:sz w:val="22"/>
                <w:szCs w:val="22"/>
                <w:lang w:val="pt-PT"/>
              </w:rPr>
            </w:pPr>
            <w:r w:rsidRPr="00912A5D">
              <w:rPr>
                <w:rFonts w:ascii="Times New Roman" w:hAnsi="Times New Roman"/>
                <w:bCs/>
                <w:sz w:val="22"/>
                <w:szCs w:val="22"/>
              </w:rPr>
              <w:t>Lihasheikkous, niveltulehdus</w:t>
            </w:r>
            <w:r>
              <w:rPr>
                <w:rFonts w:ascii="Times New Roman" w:hAnsi="Times New Roman"/>
                <w:bCs/>
                <w:sz w:val="22"/>
                <w:szCs w:val="22"/>
              </w:rPr>
              <w:t>, rabdomyolyysi/myopatia</w:t>
            </w:r>
          </w:p>
        </w:tc>
      </w:tr>
      <w:tr w:rsidR="00AC6AC7" w:rsidRPr="00912A5D" w14:paraId="586FC6ED" w14:textId="77777777" w:rsidTr="008D434B">
        <w:tc>
          <w:tcPr>
            <w:tcW w:w="2235" w:type="dxa"/>
          </w:tcPr>
          <w:p w14:paraId="586FC6EB" w14:textId="77777777" w:rsidR="00AC6AC7" w:rsidRPr="00912A5D" w:rsidRDefault="00AC6AC7" w:rsidP="008D434B">
            <w:pPr>
              <w:rPr>
                <w:rFonts w:ascii="Times New Roman" w:hAnsi="Times New Roman"/>
                <w:i/>
                <w:sz w:val="22"/>
                <w:szCs w:val="22"/>
              </w:rPr>
            </w:pPr>
            <w:r w:rsidRPr="005227E6">
              <w:rPr>
                <w:rFonts w:ascii="Times New Roman" w:hAnsi="Times New Roman"/>
                <w:i/>
                <w:sz w:val="22"/>
                <w:szCs w:val="22"/>
              </w:rPr>
              <w:t>Tuntematon:</w:t>
            </w:r>
          </w:p>
        </w:tc>
        <w:tc>
          <w:tcPr>
            <w:tcW w:w="7087" w:type="dxa"/>
          </w:tcPr>
          <w:p w14:paraId="586FC6EC" w14:textId="77777777" w:rsidR="00AC6AC7" w:rsidRPr="00912A5D" w:rsidRDefault="00AC6AC7" w:rsidP="008D434B">
            <w:pPr>
              <w:rPr>
                <w:rFonts w:ascii="Times New Roman" w:hAnsi="Times New Roman"/>
                <w:bCs/>
                <w:sz w:val="22"/>
                <w:szCs w:val="22"/>
              </w:rPr>
            </w:pPr>
            <w:r w:rsidRPr="00B078CE">
              <w:rPr>
                <w:rFonts w:ascii="Times New Roman" w:hAnsi="Times New Roman"/>
                <w:bCs/>
                <w:sz w:val="22"/>
                <w:szCs w:val="22"/>
              </w:rPr>
              <w:t>Avaskulaarinen nekroosi</w:t>
            </w:r>
            <w:r>
              <w:rPr>
                <w:rFonts w:ascii="Times New Roman" w:hAnsi="Times New Roman"/>
                <w:bCs/>
                <w:sz w:val="22"/>
                <w:szCs w:val="22"/>
              </w:rPr>
              <w:t> </w:t>
            </w:r>
            <w:r w:rsidRPr="00B078CE">
              <w:rPr>
                <w:rFonts w:ascii="Times New Roman" w:hAnsi="Times New Roman"/>
                <w:bCs/>
                <w:sz w:val="22"/>
                <w:szCs w:val="22"/>
              </w:rPr>
              <w:t>/</w:t>
            </w:r>
            <w:r>
              <w:rPr>
                <w:rFonts w:ascii="Times New Roman" w:hAnsi="Times New Roman"/>
                <w:bCs/>
                <w:sz w:val="22"/>
                <w:szCs w:val="22"/>
              </w:rPr>
              <w:t> </w:t>
            </w:r>
            <w:r w:rsidRPr="00B078CE">
              <w:rPr>
                <w:rFonts w:ascii="Times New Roman" w:hAnsi="Times New Roman"/>
                <w:bCs/>
                <w:sz w:val="22"/>
                <w:szCs w:val="22"/>
              </w:rPr>
              <w:t>lonkkanekroosi</w:t>
            </w:r>
            <w:r>
              <w:rPr>
                <w:rFonts w:ascii="Times New Roman" w:hAnsi="Times New Roman"/>
                <w:bCs/>
                <w:sz w:val="22"/>
                <w:szCs w:val="22"/>
              </w:rPr>
              <w:t>*, k</w:t>
            </w:r>
            <w:r w:rsidRPr="00B078CE">
              <w:rPr>
                <w:rFonts w:ascii="Times New Roman" w:hAnsi="Times New Roman"/>
                <w:bCs/>
                <w:sz w:val="22"/>
                <w:szCs w:val="22"/>
              </w:rPr>
              <w:t>asvun hidastuminen lapsilla</w:t>
            </w:r>
            <w:r>
              <w:rPr>
                <w:rFonts w:ascii="Times New Roman" w:hAnsi="Times New Roman"/>
                <w:bCs/>
                <w:sz w:val="22"/>
                <w:szCs w:val="22"/>
              </w:rPr>
              <w:t>*</w:t>
            </w:r>
          </w:p>
        </w:tc>
      </w:tr>
      <w:tr w:rsidR="00311DC5" w:rsidRPr="00912A5D" w14:paraId="586FC6EF" w14:textId="77777777" w:rsidTr="008238ED">
        <w:tc>
          <w:tcPr>
            <w:tcW w:w="9322" w:type="dxa"/>
            <w:gridSpan w:val="2"/>
          </w:tcPr>
          <w:p w14:paraId="586FC6EE" w14:textId="77777777" w:rsidR="00311DC5" w:rsidRPr="00B611CC" w:rsidRDefault="00311DC5" w:rsidP="00331A48">
            <w:pPr>
              <w:keepNext/>
              <w:rPr>
                <w:rFonts w:ascii="Times New Roman" w:hAnsi="Times New Roman"/>
                <w:b/>
                <w:sz w:val="22"/>
                <w:szCs w:val="22"/>
              </w:rPr>
            </w:pPr>
            <w:r w:rsidRPr="00B611CC">
              <w:rPr>
                <w:rFonts w:ascii="Times New Roman" w:hAnsi="Times New Roman"/>
                <w:b/>
                <w:sz w:val="22"/>
                <w:szCs w:val="22"/>
              </w:rPr>
              <w:lastRenderedPageBreak/>
              <w:t>Munuaiset ja virtsatiet</w:t>
            </w:r>
          </w:p>
        </w:tc>
      </w:tr>
      <w:tr w:rsidR="00311DC5" w:rsidRPr="00912A5D" w14:paraId="586FC6F2" w14:textId="77777777" w:rsidTr="008238ED">
        <w:tc>
          <w:tcPr>
            <w:tcW w:w="2235" w:type="dxa"/>
          </w:tcPr>
          <w:p w14:paraId="586FC6F0" w14:textId="77777777" w:rsidR="00311DC5" w:rsidRPr="00912A5D" w:rsidRDefault="00311DC5" w:rsidP="00331A48">
            <w:pPr>
              <w:keepNext/>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F1" w14:textId="77777777" w:rsidR="00311DC5" w:rsidRPr="00912A5D" w:rsidRDefault="00311DC5" w:rsidP="00331A48">
            <w:pPr>
              <w:keepNext/>
              <w:rPr>
                <w:rFonts w:ascii="Times New Roman" w:hAnsi="Times New Roman"/>
                <w:sz w:val="22"/>
              </w:rPr>
            </w:pPr>
            <w:r w:rsidRPr="00912A5D">
              <w:rPr>
                <w:rFonts w:ascii="Times New Roman" w:hAnsi="Times New Roman"/>
                <w:sz w:val="22"/>
                <w:szCs w:val="22"/>
              </w:rPr>
              <w:t>Munuaiskipu, verivirtsaisuus, akuutti munuaisten vajaatoiminta, tavallista suurempi virtsaamistiheys</w:t>
            </w:r>
          </w:p>
        </w:tc>
      </w:tr>
      <w:tr w:rsidR="00FE1EAE" w:rsidRPr="00912A5D" w14:paraId="586FC6F5" w14:textId="77777777" w:rsidTr="008238ED">
        <w:tc>
          <w:tcPr>
            <w:tcW w:w="2235" w:type="dxa"/>
          </w:tcPr>
          <w:p w14:paraId="586FC6F3" w14:textId="77777777" w:rsidR="00FE1EAE" w:rsidRPr="00912A5D" w:rsidRDefault="00FE1EAE" w:rsidP="008238ED">
            <w:pPr>
              <w:rPr>
                <w:rFonts w:ascii="Times New Roman" w:hAnsi="Times New Roman"/>
                <w:i/>
                <w:sz w:val="22"/>
                <w:szCs w:val="22"/>
              </w:rPr>
            </w:pPr>
            <w:r>
              <w:rPr>
                <w:rFonts w:ascii="Times New Roman" w:hAnsi="Times New Roman"/>
                <w:i/>
                <w:sz w:val="22"/>
                <w:szCs w:val="22"/>
              </w:rPr>
              <w:t>Tuntematon:</w:t>
            </w:r>
          </w:p>
        </w:tc>
        <w:tc>
          <w:tcPr>
            <w:tcW w:w="7087" w:type="dxa"/>
          </w:tcPr>
          <w:p w14:paraId="586FC6F4" w14:textId="77777777" w:rsidR="00FE1EAE" w:rsidRPr="00912A5D" w:rsidRDefault="00FE1EAE" w:rsidP="008238ED">
            <w:pPr>
              <w:rPr>
                <w:rFonts w:ascii="Times New Roman" w:hAnsi="Times New Roman"/>
                <w:sz w:val="22"/>
                <w:szCs w:val="22"/>
              </w:rPr>
            </w:pPr>
            <w:r>
              <w:rPr>
                <w:rFonts w:ascii="Times New Roman" w:hAnsi="Times New Roman"/>
                <w:sz w:val="22"/>
                <w:szCs w:val="22"/>
              </w:rPr>
              <w:t>Krooninen munuaisten vajaatoiminta</w:t>
            </w:r>
          </w:p>
        </w:tc>
      </w:tr>
      <w:tr w:rsidR="00FE1EAE" w:rsidRPr="00912A5D" w14:paraId="586FC6F7" w14:textId="77777777" w:rsidTr="008238ED">
        <w:tc>
          <w:tcPr>
            <w:tcW w:w="9322" w:type="dxa"/>
            <w:gridSpan w:val="2"/>
          </w:tcPr>
          <w:p w14:paraId="586FC6F6" w14:textId="77777777" w:rsidR="00FE1EAE" w:rsidRPr="00B611CC" w:rsidRDefault="00FE1EAE" w:rsidP="00331A48">
            <w:pPr>
              <w:keepNext/>
              <w:rPr>
                <w:rFonts w:ascii="Times New Roman" w:hAnsi="Times New Roman"/>
                <w:sz w:val="22"/>
                <w:szCs w:val="22"/>
              </w:rPr>
            </w:pPr>
            <w:r w:rsidRPr="00B611CC">
              <w:rPr>
                <w:rFonts w:ascii="Times New Roman" w:hAnsi="Times New Roman"/>
                <w:b/>
                <w:sz w:val="22"/>
                <w:szCs w:val="22"/>
              </w:rPr>
              <w:t>Sukupuolielimet ja rinnat</w:t>
            </w:r>
          </w:p>
        </w:tc>
      </w:tr>
      <w:tr w:rsidR="00FE1EAE" w:rsidRPr="00912A5D" w14:paraId="586FC6FA" w14:textId="77777777" w:rsidTr="008238ED">
        <w:tc>
          <w:tcPr>
            <w:tcW w:w="2235" w:type="dxa"/>
          </w:tcPr>
          <w:p w14:paraId="586FC6F8" w14:textId="77777777" w:rsidR="00FE1EAE" w:rsidRPr="00912A5D" w:rsidRDefault="00FE1EAE" w:rsidP="00331A48">
            <w:pPr>
              <w:keepNext/>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F9" w14:textId="77777777" w:rsidR="00FE1EAE" w:rsidRPr="00912A5D" w:rsidRDefault="00FE1EAE" w:rsidP="00331A48">
            <w:pPr>
              <w:keepNext/>
              <w:rPr>
                <w:rFonts w:ascii="Times New Roman" w:hAnsi="Times New Roman"/>
                <w:sz w:val="22"/>
                <w:szCs w:val="22"/>
              </w:rPr>
            </w:pPr>
            <w:r w:rsidRPr="00912A5D">
              <w:rPr>
                <w:rFonts w:ascii="Times New Roman" w:hAnsi="Times New Roman"/>
                <w:sz w:val="22"/>
                <w:szCs w:val="22"/>
              </w:rPr>
              <w:t>Gynekomastia, erektiohäiriöt, runsaat kuukautiset, kuukautisten epäsäännöllisyys, sukupuolitoimintojen häiriöt, nännien kipu, rintojen turpoaminen, kivespussin turvotus</w:t>
            </w:r>
          </w:p>
        </w:tc>
      </w:tr>
      <w:tr w:rsidR="00FE1EAE" w:rsidRPr="00912A5D" w14:paraId="586FC6FD" w14:textId="77777777" w:rsidTr="008238ED">
        <w:tc>
          <w:tcPr>
            <w:tcW w:w="2235" w:type="dxa"/>
          </w:tcPr>
          <w:p w14:paraId="586FC6FB" w14:textId="77777777" w:rsidR="00FE1EAE" w:rsidRPr="00912A5D" w:rsidRDefault="00FE1EAE" w:rsidP="008238ED">
            <w:pPr>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6FC" w14:textId="77777777" w:rsidR="00FE1EAE" w:rsidRPr="00912A5D" w:rsidRDefault="00FE1EAE" w:rsidP="008238ED">
            <w:pPr>
              <w:rPr>
                <w:rFonts w:ascii="Times New Roman" w:hAnsi="Times New Roman"/>
                <w:sz w:val="22"/>
                <w:szCs w:val="22"/>
              </w:rPr>
            </w:pPr>
            <w:r>
              <w:rPr>
                <w:rFonts w:ascii="Times New Roman" w:hAnsi="Times New Roman"/>
                <w:sz w:val="22"/>
                <w:szCs w:val="22"/>
              </w:rPr>
              <w:t>Hemorraaginen keltarauhanen/ munasarjakysta</w:t>
            </w:r>
          </w:p>
        </w:tc>
      </w:tr>
      <w:tr w:rsidR="00FE1EAE" w:rsidRPr="00912A5D" w14:paraId="586FC6FF" w14:textId="77777777" w:rsidTr="008238ED">
        <w:tc>
          <w:tcPr>
            <w:tcW w:w="9322" w:type="dxa"/>
            <w:gridSpan w:val="2"/>
          </w:tcPr>
          <w:p w14:paraId="586FC6FE" w14:textId="77777777" w:rsidR="00FE1EAE" w:rsidRPr="00B611CC" w:rsidRDefault="00FE1EAE" w:rsidP="00331A48">
            <w:pPr>
              <w:keepNext/>
              <w:rPr>
                <w:rFonts w:ascii="Times New Roman" w:hAnsi="Times New Roman"/>
                <w:sz w:val="22"/>
                <w:szCs w:val="22"/>
              </w:rPr>
            </w:pPr>
            <w:r w:rsidRPr="00B611CC">
              <w:rPr>
                <w:rFonts w:ascii="Times New Roman" w:hAnsi="Times New Roman"/>
                <w:b/>
                <w:sz w:val="22"/>
                <w:szCs w:val="22"/>
              </w:rPr>
              <w:t>Yleisoireet ja antopaikassa todettavat haitat</w:t>
            </w:r>
          </w:p>
        </w:tc>
      </w:tr>
      <w:tr w:rsidR="00FE1EAE" w:rsidRPr="00912A5D" w14:paraId="586FC702" w14:textId="77777777" w:rsidTr="008238ED">
        <w:tc>
          <w:tcPr>
            <w:tcW w:w="2235" w:type="dxa"/>
          </w:tcPr>
          <w:p w14:paraId="586FC700" w14:textId="77777777" w:rsidR="00FE1EAE" w:rsidRPr="00912A5D" w:rsidRDefault="00FE1EAE" w:rsidP="00331A48">
            <w:pPr>
              <w:keepNext/>
              <w:rPr>
                <w:rFonts w:ascii="Times New Roman" w:hAnsi="Times New Roman"/>
                <w:i/>
                <w:sz w:val="22"/>
                <w:szCs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701" w14:textId="77777777" w:rsidR="00FE1EAE" w:rsidRPr="00912A5D" w:rsidRDefault="00FE1EAE" w:rsidP="00331A48">
            <w:pPr>
              <w:keepNext/>
              <w:rPr>
                <w:rFonts w:ascii="Times New Roman" w:hAnsi="Times New Roman"/>
                <w:sz w:val="22"/>
                <w:szCs w:val="22"/>
              </w:rPr>
            </w:pPr>
            <w:r w:rsidRPr="00912A5D">
              <w:rPr>
                <w:rFonts w:ascii="Times New Roman" w:hAnsi="Times New Roman"/>
                <w:sz w:val="22"/>
                <w:szCs w:val="22"/>
              </w:rPr>
              <w:t>Nesteen kertyminen elimistöön ja turvotus, väsymys</w:t>
            </w:r>
          </w:p>
        </w:tc>
      </w:tr>
      <w:tr w:rsidR="00FE1EAE" w:rsidRPr="00912A5D" w14:paraId="586FC705" w14:textId="77777777" w:rsidTr="008238ED">
        <w:tc>
          <w:tcPr>
            <w:tcW w:w="2235" w:type="dxa"/>
          </w:tcPr>
          <w:p w14:paraId="586FC703" w14:textId="77777777" w:rsidR="00FE1EAE" w:rsidRPr="00912A5D" w:rsidRDefault="00FE1EAE" w:rsidP="00331A48">
            <w:pPr>
              <w:keepNext/>
              <w:rPr>
                <w:rFonts w:ascii="Times New Roman" w:hAnsi="Times New Roman"/>
                <w:i/>
                <w:sz w:val="22"/>
                <w:szCs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704" w14:textId="77777777" w:rsidR="00FE1EAE" w:rsidRPr="00912A5D" w:rsidRDefault="00FE1EAE" w:rsidP="00331A48">
            <w:pPr>
              <w:keepNext/>
              <w:rPr>
                <w:rFonts w:ascii="Times New Roman" w:hAnsi="Times New Roman"/>
                <w:sz w:val="22"/>
                <w:szCs w:val="22"/>
              </w:rPr>
            </w:pPr>
            <w:r w:rsidRPr="00912A5D">
              <w:rPr>
                <w:rFonts w:ascii="Times New Roman" w:hAnsi="Times New Roman"/>
                <w:sz w:val="22"/>
                <w:szCs w:val="22"/>
              </w:rPr>
              <w:t>Heikkous, kuume, yleistynyt voimakas turvotus (anasarca), vilunväreet, jäykkyys</w:t>
            </w:r>
          </w:p>
        </w:tc>
      </w:tr>
      <w:tr w:rsidR="00FE1EAE" w:rsidRPr="00912A5D" w14:paraId="586FC708" w14:textId="77777777" w:rsidTr="008238ED">
        <w:tc>
          <w:tcPr>
            <w:tcW w:w="2235" w:type="dxa"/>
          </w:tcPr>
          <w:p w14:paraId="586FC706" w14:textId="77777777" w:rsidR="00FE1EAE" w:rsidRPr="00912A5D" w:rsidRDefault="00FE1EAE" w:rsidP="008238ED">
            <w:pPr>
              <w:rPr>
                <w:rFonts w:ascii="Times New Roman" w:hAnsi="Times New Roman"/>
                <w:i/>
                <w:sz w:val="22"/>
                <w:szCs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707" w14:textId="77777777" w:rsidR="00FE1EAE" w:rsidRPr="00912A5D" w:rsidRDefault="00FE1EAE" w:rsidP="008238ED">
            <w:pPr>
              <w:rPr>
                <w:rFonts w:ascii="Times New Roman" w:hAnsi="Times New Roman"/>
                <w:sz w:val="22"/>
                <w:szCs w:val="22"/>
              </w:rPr>
            </w:pPr>
            <w:r w:rsidRPr="00912A5D">
              <w:rPr>
                <w:rFonts w:ascii="Times New Roman" w:hAnsi="Times New Roman"/>
                <w:sz w:val="22"/>
                <w:szCs w:val="22"/>
                <w:lang w:val="fr-FR"/>
              </w:rPr>
              <w:t>Rintakipu,</w:t>
            </w:r>
            <w:r w:rsidRPr="00912A5D">
              <w:rPr>
                <w:rFonts w:ascii="Times New Roman" w:hAnsi="Times New Roman"/>
                <w:sz w:val="22"/>
                <w:szCs w:val="22"/>
              </w:rPr>
              <w:t xml:space="preserve"> huonovointisuus</w:t>
            </w:r>
          </w:p>
        </w:tc>
      </w:tr>
      <w:tr w:rsidR="00FE1EAE" w:rsidRPr="00912A5D" w14:paraId="586FC70A" w14:textId="77777777" w:rsidTr="008238ED">
        <w:tc>
          <w:tcPr>
            <w:tcW w:w="9322" w:type="dxa"/>
            <w:gridSpan w:val="2"/>
          </w:tcPr>
          <w:p w14:paraId="586FC709" w14:textId="77777777" w:rsidR="00FE1EAE" w:rsidRPr="00B611CC" w:rsidRDefault="00FE1EAE" w:rsidP="00331A48">
            <w:pPr>
              <w:keepNext/>
              <w:rPr>
                <w:rFonts w:ascii="Times New Roman" w:hAnsi="Times New Roman"/>
                <w:sz w:val="22"/>
              </w:rPr>
            </w:pPr>
            <w:r w:rsidRPr="00B611CC">
              <w:rPr>
                <w:rFonts w:ascii="Times New Roman" w:hAnsi="Times New Roman"/>
                <w:b/>
                <w:sz w:val="22"/>
                <w:szCs w:val="22"/>
                <w:lang w:val="fr-FR"/>
              </w:rPr>
              <w:t>Tutkimukset</w:t>
            </w:r>
          </w:p>
        </w:tc>
      </w:tr>
      <w:tr w:rsidR="00FE1EAE" w:rsidRPr="00912A5D" w14:paraId="586FC70D" w14:textId="77777777" w:rsidTr="008238ED">
        <w:tc>
          <w:tcPr>
            <w:tcW w:w="2235" w:type="dxa"/>
          </w:tcPr>
          <w:p w14:paraId="586FC70B" w14:textId="77777777" w:rsidR="00FE1EAE" w:rsidRPr="00912A5D" w:rsidRDefault="00FE1EAE" w:rsidP="00331A48">
            <w:pPr>
              <w:keepNext/>
              <w:rPr>
                <w:rFonts w:ascii="Times New Roman" w:hAnsi="Times New Roman"/>
                <w:sz w:val="22"/>
              </w:rPr>
            </w:pPr>
            <w:r w:rsidRPr="00912A5D">
              <w:rPr>
                <w:rFonts w:ascii="Times New Roman" w:hAnsi="Times New Roman"/>
                <w:i/>
                <w:sz w:val="22"/>
                <w:szCs w:val="22"/>
              </w:rPr>
              <w:t>Hyvin 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70C" w14:textId="77777777" w:rsidR="00FE1EAE" w:rsidRPr="00912A5D" w:rsidRDefault="00FE1EAE" w:rsidP="00331A48">
            <w:pPr>
              <w:keepNext/>
              <w:rPr>
                <w:rFonts w:ascii="Times New Roman" w:hAnsi="Times New Roman"/>
                <w:sz w:val="22"/>
              </w:rPr>
            </w:pPr>
            <w:r w:rsidRPr="00912A5D">
              <w:rPr>
                <w:rFonts w:ascii="Times New Roman" w:hAnsi="Times New Roman"/>
                <w:sz w:val="22"/>
                <w:szCs w:val="22"/>
              </w:rPr>
              <w:t>Painon nousu</w:t>
            </w:r>
          </w:p>
        </w:tc>
      </w:tr>
      <w:tr w:rsidR="00FE1EAE" w:rsidRPr="00912A5D" w14:paraId="586FC710" w14:textId="77777777" w:rsidTr="008238ED">
        <w:tc>
          <w:tcPr>
            <w:tcW w:w="2235" w:type="dxa"/>
          </w:tcPr>
          <w:p w14:paraId="586FC70E" w14:textId="77777777" w:rsidR="00FE1EAE" w:rsidRPr="00912A5D" w:rsidRDefault="00FE1EAE" w:rsidP="00331A48">
            <w:pPr>
              <w:keepNext/>
              <w:rPr>
                <w:rFonts w:ascii="Times New Roman" w:hAnsi="Times New Roman"/>
                <w:sz w:val="22"/>
              </w:rPr>
            </w:pPr>
            <w:r w:rsidRPr="00912A5D">
              <w:rPr>
                <w:rFonts w:ascii="Times New Roman" w:hAnsi="Times New Roman"/>
                <w:i/>
                <w:sz w:val="22"/>
                <w:szCs w:val="22"/>
              </w:rPr>
              <w:t>Ylei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sz w:val="22"/>
                <w:szCs w:val="22"/>
              </w:rPr>
              <w:t>:</w:t>
            </w:r>
          </w:p>
        </w:tc>
        <w:tc>
          <w:tcPr>
            <w:tcW w:w="7087" w:type="dxa"/>
          </w:tcPr>
          <w:p w14:paraId="586FC70F" w14:textId="77777777" w:rsidR="00FE1EAE" w:rsidRPr="00912A5D" w:rsidRDefault="00FE1EAE" w:rsidP="00331A48">
            <w:pPr>
              <w:keepNext/>
              <w:rPr>
                <w:rFonts w:ascii="Times New Roman" w:hAnsi="Times New Roman"/>
                <w:sz w:val="22"/>
              </w:rPr>
            </w:pPr>
            <w:r w:rsidRPr="00912A5D">
              <w:rPr>
                <w:rFonts w:ascii="Times New Roman" w:hAnsi="Times New Roman"/>
                <w:sz w:val="22"/>
                <w:szCs w:val="22"/>
              </w:rPr>
              <w:t>Painon lasku</w:t>
            </w:r>
          </w:p>
        </w:tc>
      </w:tr>
      <w:tr w:rsidR="00FE1EAE" w:rsidRPr="00912A5D" w14:paraId="586FC713" w14:textId="77777777" w:rsidTr="008238ED">
        <w:tc>
          <w:tcPr>
            <w:tcW w:w="2235" w:type="dxa"/>
          </w:tcPr>
          <w:p w14:paraId="586FC711" w14:textId="77777777" w:rsidR="00FE1EAE" w:rsidRPr="00912A5D" w:rsidRDefault="00FE1EAE" w:rsidP="00331A48">
            <w:pPr>
              <w:keepNext/>
              <w:rPr>
                <w:rFonts w:ascii="Times New Roman" w:hAnsi="Times New Roman"/>
                <w:sz w:val="22"/>
              </w:rPr>
            </w:pPr>
            <w:r w:rsidRPr="00912A5D">
              <w:rPr>
                <w:rFonts w:ascii="Times New Roman" w:hAnsi="Times New Roman"/>
                <w:i/>
                <w:sz w:val="22"/>
                <w:szCs w:val="22"/>
              </w:rPr>
              <w:t>Melko 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sz w:val="22"/>
                <w:szCs w:val="22"/>
              </w:rPr>
              <w:t>:</w:t>
            </w:r>
          </w:p>
        </w:tc>
        <w:tc>
          <w:tcPr>
            <w:tcW w:w="7087" w:type="dxa"/>
          </w:tcPr>
          <w:p w14:paraId="586FC712" w14:textId="77777777" w:rsidR="00FE1EAE" w:rsidRPr="00912A5D" w:rsidRDefault="00FE1EAE" w:rsidP="00331A48">
            <w:pPr>
              <w:keepNext/>
              <w:rPr>
                <w:rFonts w:ascii="Times New Roman" w:hAnsi="Times New Roman"/>
                <w:sz w:val="22"/>
              </w:rPr>
            </w:pPr>
            <w:r w:rsidRPr="00912A5D">
              <w:rPr>
                <w:rFonts w:ascii="Times New Roman" w:hAnsi="Times New Roman"/>
                <w:sz w:val="22"/>
                <w:szCs w:val="22"/>
              </w:rPr>
              <w:t>Kohonneet veren kreatiniiniarvot, kohonneet veren kreatiinifosfokinaasiarvot, kohonneet veren laktaattidehydrogenaasiarvot, kohonneet veren alkalisen fosfataasin arvot</w:t>
            </w:r>
          </w:p>
        </w:tc>
      </w:tr>
      <w:tr w:rsidR="00FE1EAE" w:rsidRPr="00912A5D" w14:paraId="586FC716" w14:textId="77777777" w:rsidTr="008238ED">
        <w:tc>
          <w:tcPr>
            <w:tcW w:w="2235" w:type="dxa"/>
          </w:tcPr>
          <w:p w14:paraId="586FC714" w14:textId="77777777" w:rsidR="00FE1EAE" w:rsidRPr="00912A5D" w:rsidRDefault="00FE1EAE" w:rsidP="00331A48">
            <w:pPr>
              <w:keepNext/>
              <w:rPr>
                <w:rFonts w:ascii="Times New Roman" w:hAnsi="Times New Roman"/>
                <w:i/>
                <w:sz w:val="22"/>
                <w:szCs w:val="22"/>
              </w:rPr>
            </w:pPr>
            <w:r w:rsidRPr="00912A5D">
              <w:rPr>
                <w:rFonts w:ascii="Times New Roman" w:hAnsi="Times New Roman"/>
                <w:i/>
                <w:sz w:val="22"/>
                <w:szCs w:val="22"/>
              </w:rPr>
              <w:t>Harvinai</w:t>
            </w:r>
            <w:r>
              <w:rPr>
                <w:rFonts w:ascii="Times New Roman" w:hAnsi="Times New Roman"/>
                <w:i/>
                <w:sz w:val="22"/>
                <w:szCs w:val="22"/>
              </w:rPr>
              <w:t>n</w:t>
            </w:r>
            <w:r w:rsidRPr="00912A5D">
              <w:rPr>
                <w:rFonts w:ascii="Times New Roman" w:hAnsi="Times New Roman"/>
                <w:i/>
                <w:sz w:val="22"/>
                <w:szCs w:val="22"/>
              </w:rPr>
              <w:t>e</w:t>
            </w:r>
            <w:r>
              <w:rPr>
                <w:rFonts w:ascii="Times New Roman" w:hAnsi="Times New Roman"/>
                <w:i/>
                <w:sz w:val="22"/>
                <w:szCs w:val="22"/>
              </w:rPr>
              <w:t>n</w:t>
            </w:r>
            <w:r w:rsidRPr="00912A5D">
              <w:rPr>
                <w:rFonts w:ascii="Times New Roman" w:hAnsi="Times New Roman"/>
                <w:i/>
                <w:sz w:val="22"/>
                <w:szCs w:val="22"/>
              </w:rPr>
              <w:t>:</w:t>
            </w:r>
          </w:p>
        </w:tc>
        <w:tc>
          <w:tcPr>
            <w:tcW w:w="7087" w:type="dxa"/>
          </w:tcPr>
          <w:p w14:paraId="586FC715" w14:textId="77777777" w:rsidR="00FE1EAE" w:rsidRPr="00912A5D" w:rsidRDefault="00FE1EAE" w:rsidP="00331A48">
            <w:pPr>
              <w:keepNext/>
              <w:rPr>
                <w:rFonts w:ascii="Times New Roman" w:hAnsi="Times New Roman"/>
                <w:sz w:val="22"/>
                <w:szCs w:val="22"/>
              </w:rPr>
            </w:pPr>
            <w:r w:rsidRPr="00912A5D">
              <w:rPr>
                <w:rFonts w:ascii="Times New Roman" w:hAnsi="Times New Roman"/>
                <w:sz w:val="22"/>
                <w:szCs w:val="22"/>
              </w:rPr>
              <w:t>Kohonneet veren amylaasiarvot</w:t>
            </w:r>
          </w:p>
        </w:tc>
      </w:tr>
    </w:tbl>
    <w:p w14:paraId="586FC717" w14:textId="77777777" w:rsidR="00AC6AC7" w:rsidRDefault="00AC6AC7" w:rsidP="00331A48">
      <w:pPr>
        <w:pStyle w:val="Text"/>
        <w:keepNext/>
        <w:spacing w:before="0"/>
        <w:ind w:left="567" w:hanging="567"/>
        <w:jc w:val="left"/>
        <w:rPr>
          <w:color w:val="000000"/>
          <w:sz w:val="22"/>
          <w:szCs w:val="22"/>
          <w:lang w:val="fi-FI"/>
        </w:rPr>
      </w:pPr>
    </w:p>
    <w:p w14:paraId="586FC718" w14:textId="77777777" w:rsidR="00311DC5" w:rsidRPr="00912A5D" w:rsidRDefault="00AC6AC7" w:rsidP="00331A48">
      <w:pPr>
        <w:pStyle w:val="Text"/>
        <w:keepNext/>
        <w:keepLines/>
        <w:spacing w:before="0"/>
        <w:ind w:left="567" w:hanging="567"/>
        <w:jc w:val="left"/>
        <w:rPr>
          <w:color w:val="000000"/>
          <w:sz w:val="22"/>
          <w:szCs w:val="22"/>
          <w:lang w:val="fi-FI"/>
        </w:rPr>
      </w:pPr>
      <w:r>
        <w:rPr>
          <w:color w:val="000000"/>
          <w:sz w:val="22"/>
          <w:szCs w:val="22"/>
          <w:lang w:val="fi-FI"/>
        </w:rPr>
        <w:t>*</w:t>
      </w:r>
      <w:r>
        <w:rPr>
          <w:color w:val="000000"/>
          <w:sz w:val="22"/>
          <w:szCs w:val="22"/>
          <w:lang w:val="fi-FI"/>
        </w:rPr>
        <w:tab/>
        <w:t>Tämä</w:t>
      </w:r>
      <w:r w:rsidRPr="008171CB">
        <w:rPr>
          <w:color w:val="000000"/>
          <w:sz w:val="22"/>
          <w:szCs w:val="22"/>
          <w:lang w:val="fi-FI"/>
        </w:rPr>
        <w:t xml:space="preserve">ntyyppisiä reaktioita on ilmoitettu lähinnä Glivecin markkinoille tulon jälkeen. Tiedot perustuvat sekä spontaaneihin tapausraportteihin että vakaviin haittatapahtumiin, joita on todettu meneillään olevissa tutkimuksissa, laajennetun saatavuuden tutkimuksissa, kliinisissä farmakologisissa tutkimuksissa ja eksploratiivisissa tutkimuksissa toistaiseksi hyväksymättömillä käyttöaiheilla. </w:t>
      </w:r>
      <w:r>
        <w:rPr>
          <w:color w:val="000000"/>
          <w:sz w:val="22"/>
          <w:szCs w:val="22"/>
          <w:lang w:val="fi-FI"/>
        </w:rPr>
        <w:t>Koska i</w:t>
      </w:r>
      <w:r w:rsidRPr="008171CB">
        <w:rPr>
          <w:color w:val="000000"/>
          <w:sz w:val="22"/>
          <w:szCs w:val="22"/>
          <w:lang w:val="fi-FI"/>
        </w:rPr>
        <w:t>lmoitetut reaktiot on todettu populaatiossa, jonka kokoa ei tiedetä, niiden esiintymistiheyttä ja mahdollista syy-yhteyttä imatinibialtistuksen kanssa ei välttämättä pystytä arvioimaan luotettavasti.</w:t>
      </w:r>
    </w:p>
    <w:p w14:paraId="586FC719" w14:textId="77777777" w:rsidR="00311DC5" w:rsidRPr="00912A5D" w:rsidRDefault="00311DC5" w:rsidP="00331A48">
      <w:pPr>
        <w:keepNext/>
        <w:keepLines/>
        <w:widowControl w:val="0"/>
        <w:ind w:left="567" w:hanging="567"/>
        <w:rPr>
          <w:rFonts w:ascii="Times New Roman" w:hAnsi="Times New Roman"/>
          <w:sz w:val="22"/>
          <w:szCs w:val="22"/>
        </w:rPr>
      </w:pPr>
      <w:r>
        <w:rPr>
          <w:rFonts w:ascii="Times New Roman" w:hAnsi="Times New Roman"/>
          <w:sz w:val="22"/>
          <w:szCs w:val="22"/>
        </w:rPr>
        <w:t>1</w:t>
      </w:r>
      <w:r w:rsidRPr="00912A5D">
        <w:rPr>
          <w:rFonts w:ascii="Times New Roman" w:hAnsi="Times New Roman"/>
          <w:sz w:val="22"/>
          <w:szCs w:val="22"/>
        </w:rPr>
        <w:tab/>
        <w:t xml:space="preserve">Keuhkokuumetta ilmoitettiin yleisimmin potilailla, joilla oli GIST tai akseleraatio- tai blastikriisivaiheessa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w:t>
      </w:r>
    </w:p>
    <w:p w14:paraId="586FC71A" w14:textId="77777777" w:rsidR="00311DC5" w:rsidRPr="00912A5D" w:rsidRDefault="00311DC5" w:rsidP="00331A48">
      <w:pPr>
        <w:keepNext/>
        <w:keepLines/>
        <w:widowControl w:val="0"/>
        <w:ind w:left="567" w:hanging="567"/>
        <w:rPr>
          <w:rFonts w:ascii="Times New Roman" w:hAnsi="Times New Roman"/>
          <w:sz w:val="22"/>
          <w:szCs w:val="22"/>
        </w:rPr>
      </w:pPr>
      <w:r w:rsidRPr="00912A5D">
        <w:rPr>
          <w:rFonts w:ascii="Times New Roman" w:hAnsi="Times New Roman"/>
          <w:sz w:val="22"/>
          <w:szCs w:val="22"/>
        </w:rPr>
        <w:t>2</w:t>
      </w:r>
      <w:r w:rsidRPr="00912A5D">
        <w:rPr>
          <w:rFonts w:ascii="Times New Roman" w:hAnsi="Times New Roman"/>
          <w:sz w:val="22"/>
          <w:szCs w:val="22"/>
        </w:rPr>
        <w:tab/>
        <w:t>Päänsärky oli yleisintä GIST-potilailla.</w:t>
      </w:r>
    </w:p>
    <w:p w14:paraId="586FC71B" w14:textId="77777777" w:rsidR="00311DC5" w:rsidRPr="00912A5D" w:rsidRDefault="00311DC5" w:rsidP="00331A48">
      <w:pPr>
        <w:keepNext/>
        <w:keepLines/>
        <w:widowControl w:val="0"/>
        <w:ind w:left="567" w:hanging="567"/>
        <w:rPr>
          <w:rFonts w:ascii="Times New Roman" w:hAnsi="Times New Roman"/>
          <w:sz w:val="22"/>
          <w:szCs w:val="22"/>
        </w:rPr>
      </w:pPr>
      <w:r>
        <w:rPr>
          <w:rFonts w:ascii="Times New Roman" w:hAnsi="Times New Roman"/>
          <w:sz w:val="22"/>
          <w:szCs w:val="22"/>
        </w:rPr>
        <w:t>3</w:t>
      </w:r>
      <w:r w:rsidRPr="00912A5D">
        <w:rPr>
          <w:rFonts w:ascii="Times New Roman" w:hAnsi="Times New Roman"/>
          <w:sz w:val="22"/>
          <w:szCs w:val="22"/>
        </w:rPr>
        <w:tab/>
        <w:t xml:space="preserve">Sydämeen kohdistuneita haittatapahtumia kuten kongestiivista sydämen vajaatoimintaa todettiin potilasvuosiin nähden yleisemmin potilailla, joilla oli akseleraatio- tai blastikriisivaiheessa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 xml:space="preserve">, kuin potilailla, joilla oli kroonisessa 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w:t>
      </w:r>
    </w:p>
    <w:p w14:paraId="586FC71C" w14:textId="77777777" w:rsidR="00311DC5" w:rsidRPr="00912A5D" w:rsidRDefault="00311DC5" w:rsidP="00331A48">
      <w:pPr>
        <w:keepNext/>
        <w:keepLines/>
        <w:widowControl w:val="0"/>
        <w:ind w:left="567" w:hanging="567"/>
        <w:rPr>
          <w:rFonts w:ascii="Times New Roman" w:hAnsi="Times New Roman"/>
          <w:sz w:val="22"/>
          <w:szCs w:val="22"/>
        </w:rPr>
      </w:pPr>
      <w:r>
        <w:rPr>
          <w:rFonts w:ascii="Times New Roman" w:hAnsi="Times New Roman"/>
          <w:sz w:val="22"/>
          <w:szCs w:val="22"/>
        </w:rPr>
        <w:t>4</w:t>
      </w:r>
      <w:r w:rsidRPr="00912A5D">
        <w:rPr>
          <w:rFonts w:ascii="Times New Roman" w:hAnsi="Times New Roman"/>
          <w:sz w:val="22"/>
          <w:szCs w:val="22"/>
        </w:rPr>
        <w:tab/>
        <w:t xml:space="preserve">Punastuminen oli yleisintä GIST-potilailla, kun taas verenvuodot (verenpurkaumat, verenvuoto) olivat yleisimpiä potilailla, joilla oli GIST tai akseleraatio- tai blastikriisivaiheessa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w:t>
      </w:r>
    </w:p>
    <w:p w14:paraId="586FC71D" w14:textId="77777777" w:rsidR="00311DC5" w:rsidRPr="00912A5D" w:rsidRDefault="00311DC5" w:rsidP="00331A48">
      <w:pPr>
        <w:keepNext/>
        <w:keepLines/>
        <w:widowControl w:val="0"/>
        <w:ind w:left="567" w:hanging="567"/>
        <w:rPr>
          <w:rFonts w:ascii="Times New Roman" w:hAnsi="Times New Roman"/>
          <w:sz w:val="22"/>
          <w:szCs w:val="22"/>
        </w:rPr>
      </w:pPr>
      <w:r>
        <w:rPr>
          <w:rFonts w:ascii="Times New Roman" w:hAnsi="Times New Roman"/>
          <w:sz w:val="22"/>
          <w:szCs w:val="22"/>
        </w:rPr>
        <w:t>5</w:t>
      </w:r>
      <w:r w:rsidRPr="00912A5D">
        <w:rPr>
          <w:rFonts w:ascii="Times New Roman" w:hAnsi="Times New Roman"/>
          <w:sz w:val="22"/>
          <w:szCs w:val="22"/>
        </w:rPr>
        <w:tab/>
        <w:t xml:space="preserve">Pleuraeffuusiota ilmoitettiin yleisemmin potilailla, joilla oli GIST tai akseleraatio- tai blastikriisivaiheessa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 xml:space="preserve">, kuin potilailla, joilla oli kroonisessa vaiheessa oleva </w:t>
      </w:r>
      <w:smartTag w:uri="urn:schemas-microsoft-com:office:smarttags" w:element="State">
        <w:r w:rsidRPr="00912A5D">
          <w:rPr>
            <w:rFonts w:ascii="Times New Roman" w:hAnsi="Times New Roman"/>
            <w:sz w:val="22"/>
            <w:szCs w:val="22"/>
          </w:rPr>
          <w:t>KML</w:t>
        </w:r>
      </w:smartTag>
      <w:r w:rsidRPr="00912A5D">
        <w:rPr>
          <w:rFonts w:ascii="Times New Roman" w:hAnsi="Times New Roman"/>
          <w:sz w:val="22"/>
          <w:szCs w:val="22"/>
        </w:rPr>
        <w:t>.</w:t>
      </w:r>
    </w:p>
    <w:p w14:paraId="586FC71E" w14:textId="77777777" w:rsidR="00311DC5" w:rsidRPr="00912A5D" w:rsidRDefault="00311DC5" w:rsidP="00331A48">
      <w:pPr>
        <w:keepNext/>
        <w:keepLines/>
        <w:widowControl w:val="0"/>
        <w:ind w:left="567" w:hanging="567"/>
        <w:rPr>
          <w:rFonts w:ascii="Times New Roman" w:hAnsi="Times New Roman"/>
          <w:sz w:val="22"/>
          <w:szCs w:val="22"/>
        </w:rPr>
      </w:pPr>
      <w:r>
        <w:rPr>
          <w:rFonts w:ascii="Times New Roman" w:hAnsi="Times New Roman"/>
          <w:sz w:val="22"/>
          <w:szCs w:val="22"/>
        </w:rPr>
        <w:t>6</w:t>
      </w:r>
      <w:r w:rsidRPr="00912A5D">
        <w:rPr>
          <w:rFonts w:ascii="Times New Roman" w:hAnsi="Times New Roman"/>
          <w:sz w:val="22"/>
          <w:szCs w:val="22"/>
        </w:rPr>
        <w:t>+</w:t>
      </w:r>
      <w:r>
        <w:rPr>
          <w:rFonts w:ascii="Times New Roman" w:hAnsi="Times New Roman"/>
          <w:sz w:val="22"/>
          <w:szCs w:val="22"/>
        </w:rPr>
        <w:t>7</w:t>
      </w:r>
      <w:r w:rsidRPr="00912A5D">
        <w:rPr>
          <w:rFonts w:ascii="Times New Roman" w:hAnsi="Times New Roman"/>
          <w:sz w:val="22"/>
          <w:szCs w:val="22"/>
        </w:rPr>
        <w:tab/>
        <w:t>Vatsakipua ja ruoansulatuskanavan verenvuotoa esiintyi yleisimmin GIST-potilailla.</w:t>
      </w:r>
    </w:p>
    <w:p w14:paraId="586FC71F" w14:textId="77777777" w:rsidR="00311DC5" w:rsidRDefault="00311DC5" w:rsidP="00331A48">
      <w:pPr>
        <w:keepNext/>
        <w:keepLines/>
        <w:widowControl w:val="0"/>
        <w:ind w:left="567" w:hanging="567"/>
        <w:rPr>
          <w:rFonts w:ascii="Times New Roman" w:hAnsi="Times New Roman"/>
          <w:sz w:val="22"/>
          <w:szCs w:val="22"/>
        </w:rPr>
      </w:pPr>
      <w:r>
        <w:rPr>
          <w:rFonts w:ascii="Times New Roman" w:hAnsi="Times New Roman"/>
          <w:sz w:val="22"/>
          <w:szCs w:val="22"/>
        </w:rPr>
        <w:t>8</w:t>
      </w:r>
      <w:r w:rsidRPr="00912A5D">
        <w:rPr>
          <w:rFonts w:ascii="Times New Roman" w:hAnsi="Times New Roman"/>
          <w:sz w:val="22"/>
          <w:szCs w:val="22"/>
        </w:rPr>
        <w:tab/>
        <w:t>Joitakin kuolemaan johtaneita maksan vajaatoimintatapauksia ja maksanekroositapauksia on ilmoitettu.</w:t>
      </w:r>
    </w:p>
    <w:p w14:paraId="586FC720" w14:textId="77777777" w:rsidR="006C14E0" w:rsidRPr="00912A5D" w:rsidRDefault="006C14E0" w:rsidP="00331A48">
      <w:pPr>
        <w:keepNext/>
        <w:keepLines/>
        <w:widowControl w:val="0"/>
        <w:ind w:left="567" w:hanging="567"/>
        <w:rPr>
          <w:rFonts w:ascii="Times New Roman" w:hAnsi="Times New Roman"/>
          <w:sz w:val="22"/>
          <w:szCs w:val="22"/>
        </w:rPr>
      </w:pPr>
      <w:r>
        <w:rPr>
          <w:rFonts w:ascii="Times New Roman" w:hAnsi="Times New Roman"/>
          <w:sz w:val="22"/>
          <w:szCs w:val="22"/>
        </w:rPr>
        <w:t>9</w:t>
      </w:r>
      <w:r w:rsidRPr="00912A5D">
        <w:rPr>
          <w:rFonts w:ascii="Times New Roman" w:hAnsi="Times New Roman"/>
          <w:sz w:val="22"/>
          <w:szCs w:val="22"/>
        </w:rPr>
        <w:tab/>
      </w:r>
      <w:r>
        <w:rPr>
          <w:rFonts w:ascii="Times New Roman" w:hAnsi="Times New Roman"/>
          <w:sz w:val="22"/>
          <w:szCs w:val="22"/>
        </w:rPr>
        <w:t xml:space="preserve">Imatinibin markkinoille tulon jälkeen on todettu </w:t>
      </w:r>
      <w:r w:rsidR="00612217">
        <w:rPr>
          <w:rFonts w:ascii="Times New Roman" w:hAnsi="Times New Roman"/>
          <w:sz w:val="22"/>
          <w:szCs w:val="22"/>
        </w:rPr>
        <w:t xml:space="preserve">luusto- ja lihaskipua </w:t>
      </w:r>
      <w:r>
        <w:rPr>
          <w:rFonts w:ascii="Times New Roman" w:hAnsi="Times New Roman"/>
          <w:sz w:val="22"/>
          <w:szCs w:val="22"/>
        </w:rPr>
        <w:t>imatinibihoidon aikana tai sen päättymisen jälkeen.</w:t>
      </w:r>
    </w:p>
    <w:p w14:paraId="586FC721" w14:textId="77777777" w:rsidR="00311DC5" w:rsidRDefault="006C14E0" w:rsidP="00331A48">
      <w:pPr>
        <w:keepNext/>
        <w:keepLines/>
        <w:widowControl w:val="0"/>
        <w:ind w:left="567" w:hanging="567"/>
        <w:rPr>
          <w:rFonts w:ascii="Times New Roman" w:hAnsi="Times New Roman"/>
          <w:sz w:val="22"/>
          <w:szCs w:val="22"/>
        </w:rPr>
      </w:pPr>
      <w:r>
        <w:rPr>
          <w:rFonts w:ascii="Times New Roman" w:hAnsi="Times New Roman"/>
          <w:sz w:val="22"/>
          <w:szCs w:val="22"/>
        </w:rPr>
        <w:t>10</w:t>
      </w:r>
      <w:r w:rsidR="00311DC5" w:rsidRPr="00912A5D">
        <w:rPr>
          <w:rFonts w:ascii="Times New Roman" w:hAnsi="Times New Roman"/>
          <w:sz w:val="22"/>
          <w:szCs w:val="22"/>
        </w:rPr>
        <w:tab/>
        <w:t xml:space="preserve">Luusto- ja lihaskipua ja siihen liittyviä tapahtumia todettiin yleisemmin </w:t>
      </w:r>
      <w:smartTag w:uri="urn:schemas-microsoft-com:office:smarttags" w:element="State">
        <w:r w:rsidR="00311DC5" w:rsidRPr="00912A5D">
          <w:rPr>
            <w:rFonts w:ascii="Times New Roman" w:hAnsi="Times New Roman"/>
            <w:sz w:val="22"/>
            <w:szCs w:val="22"/>
          </w:rPr>
          <w:t>KML</w:t>
        </w:r>
      </w:smartTag>
      <w:r w:rsidR="00311DC5" w:rsidRPr="00912A5D">
        <w:rPr>
          <w:rFonts w:ascii="Times New Roman" w:hAnsi="Times New Roman"/>
          <w:sz w:val="22"/>
          <w:szCs w:val="22"/>
        </w:rPr>
        <w:t>-potilailla kuin GIST-potilailla.</w:t>
      </w:r>
    </w:p>
    <w:p w14:paraId="586FC722" w14:textId="77777777" w:rsidR="0086657A" w:rsidRPr="00912A5D" w:rsidRDefault="0086657A" w:rsidP="00331A48">
      <w:pPr>
        <w:keepLines/>
        <w:widowControl w:val="0"/>
        <w:ind w:left="567" w:hanging="567"/>
        <w:rPr>
          <w:rFonts w:ascii="Times New Roman" w:hAnsi="Times New Roman"/>
          <w:sz w:val="22"/>
          <w:szCs w:val="22"/>
        </w:rPr>
      </w:pPr>
      <w:r w:rsidRPr="00912A5D">
        <w:rPr>
          <w:rFonts w:ascii="Times New Roman" w:hAnsi="Times New Roman"/>
          <w:sz w:val="22"/>
          <w:szCs w:val="22"/>
        </w:rPr>
        <w:t>1</w:t>
      </w:r>
      <w:r w:rsidR="006C14E0">
        <w:rPr>
          <w:rFonts w:ascii="Times New Roman" w:hAnsi="Times New Roman"/>
          <w:sz w:val="22"/>
          <w:szCs w:val="22"/>
        </w:rPr>
        <w:t>1</w:t>
      </w:r>
      <w:r w:rsidRPr="00912A5D">
        <w:rPr>
          <w:rFonts w:ascii="Times New Roman" w:hAnsi="Times New Roman"/>
          <w:sz w:val="22"/>
          <w:szCs w:val="22"/>
        </w:rPr>
        <w:tab/>
        <w:t>Kuolemaan johtaneita tapauksia on raportoitu potilailla, joilla on ollut pitkälle edennyt tauti, vaikeita infektioita, vaikea neutropenia ja muita vakavia samanaikaisia kliinisiä tiloja.</w:t>
      </w:r>
    </w:p>
    <w:p w14:paraId="586FC723" w14:textId="77777777" w:rsidR="00311DC5" w:rsidRPr="00912A5D" w:rsidRDefault="00311DC5" w:rsidP="00311DC5">
      <w:pPr>
        <w:pStyle w:val="Heading4"/>
        <w:keepNext w:val="0"/>
        <w:widowControl w:val="0"/>
        <w:tabs>
          <w:tab w:val="clear" w:pos="567"/>
        </w:tabs>
        <w:spacing w:line="240" w:lineRule="auto"/>
        <w:jc w:val="left"/>
        <w:rPr>
          <w:b w:val="0"/>
          <w:noProof w:val="0"/>
          <w:color w:val="000000"/>
          <w:szCs w:val="22"/>
          <w:u w:val="single"/>
        </w:rPr>
      </w:pPr>
    </w:p>
    <w:p w14:paraId="586FC724" w14:textId="77777777" w:rsidR="00311DC5" w:rsidRPr="00912A5D" w:rsidRDefault="00311DC5" w:rsidP="00331A48">
      <w:pPr>
        <w:pStyle w:val="Heading4"/>
        <w:widowControl w:val="0"/>
        <w:tabs>
          <w:tab w:val="clear" w:pos="567"/>
        </w:tabs>
        <w:spacing w:line="240" w:lineRule="auto"/>
        <w:jc w:val="left"/>
        <w:rPr>
          <w:b w:val="0"/>
          <w:noProof w:val="0"/>
          <w:color w:val="000000"/>
          <w:szCs w:val="22"/>
          <w:u w:val="single"/>
        </w:rPr>
      </w:pPr>
      <w:r w:rsidRPr="00912A5D">
        <w:rPr>
          <w:b w:val="0"/>
          <w:noProof w:val="0"/>
          <w:color w:val="000000"/>
          <w:szCs w:val="22"/>
          <w:u w:val="single"/>
        </w:rPr>
        <w:t>Laboratoriokoearvojen poikkeavuudet:</w:t>
      </w:r>
    </w:p>
    <w:p w14:paraId="586FC725" w14:textId="77777777" w:rsidR="00311DC5" w:rsidRPr="00912A5D" w:rsidRDefault="00311DC5" w:rsidP="00331A48">
      <w:pPr>
        <w:keepNext/>
        <w:rPr>
          <w:rFonts w:ascii="Times New Roman" w:hAnsi="Times New Roman"/>
          <w:i/>
          <w:sz w:val="22"/>
          <w:szCs w:val="22"/>
        </w:rPr>
      </w:pPr>
      <w:r w:rsidRPr="00912A5D">
        <w:rPr>
          <w:rFonts w:ascii="Times New Roman" w:hAnsi="Times New Roman"/>
          <w:i/>
          <w:sz w:val="22"/>
          <w:szCs w:val="22"/>
        </w:rPr>
        <w:t>Hematologia</w:t>
      </w:r>
    </w:p>
    <w:p w14:paraId="586FC726" w14:textId="77777777" w:rsidR="00311DC5" w:rsidRPr="00912A5D" w:rsidRDefault="00311DC5" w:rsidP="00311DC5">
      <w:pPr>
        <w:pStyle w:val="Text"/>
        <w:widowControl w:val="0"/>
        <w:spacing w:before="0"/>
        <w:jc w:val="left"/>
        <w:rPr>
          <w:color w:val="000000"/>
          <w:sz w:val="22"/>
          <w:szCs w:val="22"/>
          <w:lang w:val="fi-FI"/>
        </w:rPr>
      </w:pPr>
      <w:smartTag w:uri="urn:schemas-microsoft-com:office:smarttags" w:element="State">
        <w:r w:rsidRPr="00912A5D">
          <w:rPr>
            <w:color w:val="000000"/>
            <w:sz w:val="22"/>
            <w:szCs w:val="22"/>
            <w:lang w:val="fi-FI"/>
          </w:rPr>
          <w:t>KML</w:t>
        </w:r>
      </w:smartTag>
      <w:r w:rsidRPr="00912A5D">
        <w:rPr>
          <w:color w:val="000000"/>
          <w:sz w:val="22"/>
          <w:szCs w:val="22"/>
          <w:lang w:val="fi-FI"/>
        </w:rPr>
        <w:t xml:space="preserve">-potilailla sytopeniat, etenkin neutropenia ja trombosytopenia, ovat olleet yhdenmukainen löydös kaikissa tutkimuksissa, ja tiedot viittaavat siihen, että esiintymistiheys on suurempi suuria </w:t>
      </w:r>
      <w:r w:rsidRPr="00912A5D">
        <w:rPr>
          <w:color w:val="000000"/>
          <w:sz w:val="22"/>
          <w:szCs w:val="22"/>
          <w:lang w:val="fi-FI"/>
        </w:rPr>
        <w:sym w:font="Symbol" w:char="F0B3"/>
      </w:r>
      <w:r w:rsidRPr="00912A5D">
        <w:rPr>
          <w:color w:val="000000"/>
          <w:sz w:val="22"/>
          <w:szCs w:val="22"/>
          <w:lang w:val="fi-FI"/>
        </w:rPr>
        <w:t> 750 mg:n annoksia käytettäessä (I vaiheen tutkimus). Sytopenioiden esiintyminen riippui kuitenkin selvästi myös taudin vaiheesta. Kolmannen ja neljännen asteen neutropenioiden (ANC &lt; 1,0 x 10</w:t>
      </w:r>
      <w:r w:rsidRPr="00912A5D">
        <w:rPr>
          <w:color w:val="000000"/>
          <w:sz w:val="22"/>
          <w:szCs w:val="22"/>
          <w:vertAlign w:val="superscript"/>
          <w:lang w:val="fi-FI"/>
        </w:rPr>
        <w:t>9</w:t>
      </w:r>
      <w:r w:rsidRPr="00912A5D">
        <w:rPr>
          <w:color w:val="000000"/>
          <w:sz w:val="22"/>
          <w:szCs w:val="22"/>
          <w:lang w:val="fi-FI"/>
        </w:rPr>
        <w:t>/l) ja trombosytopenioiden (trombosyyttiarvo &lt; 50 x 10</w:t>
      </w:r>
      <w:r w:rsidRPr="00912A5D">
        <w:rPr>
          <w:color w:val="000000"/>
          <w:sz w:val="22"/>
          <w:szCs w:val="22"/>
          <w:vertAlign w:val="superscript"/>
          <w:lang w:val="fi-FI"/>
        </w:rPr>
        <w:t>9</w:t>
      </w:r>
      <w:r w:rsidRPr="00912A5D">
        <w:rPr>
          <w:color w:val="000000"/>
          <w:sz w:val="22"/>
          <w:szCs w:val="22"/>
          <w:lang w:val="fi-FI"/>
        </w:rPr>
        <w:t xml:space="preserve">/l) esiintymistiheys oli 4–6 kertaa suurempi </w:t>
      </w:r>
      <w:r w:rsidRPr="00912A5D">
        <w:rPr>
          <w:color w:val="000000"/>
          <w:sz w:val="22"/>
          <w:szCs w:val="22"/>
          <w:lang w:val="fi-FI"/>
        </w:rPr>
        <w:lastRenderedPageBreak/>
        <w:t>blastikriisissä ja akseleraatiovaiheessa olevilla potilailla (neutropenia 59–64 % ja trombosytopenia 44–63 %) verrattuna kroonisen myelooisen leukemian kroonisessa vaiheessa oleviin potilaisiin, joiden sairaus oli vasta diagnosoitu (neutropenia 16,7 % ja trombosytopenia 8,9 %). Vasta diagnosoidussa kroonisen myelooisen leukemian kroonisessa vaiheessa 4. asteen neutropeniaa (ANC &lt; 0,5 x 10</w:t>
      </w:r>
      <w:r w:rsidRPr="00912A5D">
        <w:rPr>
          <w:color w:val="000000"/>
          <w:sz w:val="22"/>
          <w:szCs w:val="22"/>
          <w:vertAlign w:val="superscript"/>
          <w:lang w:val="fi-FI"/>
        </w:rPr>
        <w:t>9</w:t>
      </w:r>
      <w:r w:rsidRPr="00912A5D">
        <w:rPr>
          <w:color w:val="000000"/>
          <w:sz w:val="22"/>
          <w:szCs w:val="22"/>
          <w:lang w:val="fi-FI"/>
        </w:rPr>
        <w:t>/l) havaittiin 3,6 %:lla potilaista ja trombosytopeniaa (trombosyyttiarvo &lt; 10 x 10</w:t>
      </w:r>
      <w:r w:rsidRPr="00912A5D">
        <w:rPr>
          <w:color w:val="000000"/>
          <w:sz w:val="22"/>
          <w:szCs w:val="22"/>
          <w:vertAlign w:val="superscript"/>
          <w:lang w:val="fi-FI"/>
        </w:rPr>
        <w:t>9</w:t>
      </w:r>
      <w:r w:rsidRPr="00912A5D">
        <w:rPr>
          <w:color w:val="000000"/>
          <w:sz w:val="22"/>
          <w:szCs w:val="22"/>
          <w:lang w:val="fi-FI"/>
        </w:rPr>
        <w:t>/l) &lt; 1 %:lla potilaista. Neutropeniajaksojen mediaanikesto oli yleensä 2–3 viikkoa ja trombosytopeniajaksojen yleensä 3–4 viikkoa. Nämä tapahtumat voidaan yleensä hoitaa joko pienentämällä Glivec-annosta tai keskeyttämällä hoito, mutta ne voivat harvoissa tapauksissa johtaa hoidon pysyvään keskeyttämiseen. KML:aa sairastavilla lapsipotilailla yleisimmin todettuja toksisia vaikutuksia olivat 3. ja 4. asteen sytopeniat, kuten neutropenia, trombosytopenia ja anemia. Niitä esiintyy yleensä ensimmäisten hoitokuukausien aikana.</w:t>
      </w:r>
    </w:p>
    <w:p w14:paraId="586FC727" w14:textId="77777777" w:rsidR="00311DC5" w:rsidRPr="00912A5D" w:rsidRDefault="00311DC5" w:rsidP="00311DC5">
      <w:pPr>
        <w:pStyle w:val="Text"/>
        <w:widowControl w:val="0"/>
        <w:spacing w:before="0"/>
        <w:jc w:val="left"/>
        <w:rPr>
          <w:color w:val="000000"/>
          <w:sz w:val="22"/>
          <w:szCs w:val="22"/>
          <w:lang w:val="fi-FI"/>
        </w:rPr>
      </w:pPr>
    </w:p>
    <w:p w14:paraId="586FC728" w14:textId="77777777" w:rsidR="00311DC5" w:rsidRPr="00912A5D" w:rsidRDefault="00311DC5" w:rsidP="00311DC5">
      <w:pPr>
        <w:pStyle w:val="Text"/>
        <w:widowControl w:val="0"/>
        <w:spacing w:before="0"/>
        <w:jc w:val="left"/>
        <w:rPr>
          <w:color w:val="000000"/>
          <w:sz w:val="22"/>
          <w:szCs w:val="22"/>
          <w:lang w:val="fi-FI"/>
        </w:rPr>
      </w:pPr>
      <w:r w:rsidRPr="00912A5D">
        <w:rPr>
          <w:color w:val="000000"/>
          <w:sz w:val="22"/>
          <w:szCs w:val="22"/>
          <w:lang w:val="fi-FI"/>
        </w:rPr>
        <w:t>GIST-</w:t>
      </w:r>
      <w:r w:rsidRPr="00821CC4">
        <w:rPr>
          <w:sz w:val="22"/>
          <w:szCs w:val="22"/>
          <w:lang w:val="fi-FI"/>
        </w:rPr>
        <w:t>tutkimuksessa, kun potilaiden kasvainta ei voida leikata ja/tai kun kasvain on metastasoitunut</w:t>
      </w:r>
      <w:r>
        <w:rPr>
          <w:sz w:val="22"/>
          <w:szCs w:val="22"/>
          <w:lang w:val="fi-FI"/>
        </w:rPr>
        <w:t>,</w:t>
      </w:r>
      <w:r w:rsidRPr="00821CC4">
        <w:rPr>
          <w:sz w:val="22"/>
          <w:szCs w:val="22"/>
          <w:lang w:val="fi-FI"/>
        </w:rPr>
        <w:t xml:space="preserve"> </w:t>
      </w:r>
      <w:r w:rsidRPr="00912A5D">
        <w:rPr>
          <w:color w:val="000000"/>
          <w:sz w:val="22"/>
          <w:szCs w:val="22"/>
          <w:lang w:val="fi-FI"/>
        </w:rPr>
        <w:t>3. asteen anemiaa raportoitiin 5,4 %:lla ja 4. asteen anemiaa 0,7 %:lla potilaista. Tähän ovat, ainakin joillain potilaista, voineet vaikuttaa ruuansulatuskanavan tai kasvaimensisäiset verenvuodot. Kolmannen asteen neutropeniaa havaittiin 7,5 %:lla; 4. asteen neutropeniaa 2,7 %:lla ja 3. asteen trombosytopeniaa 0,7 %:lla potilaista. Yhdelläkään potilaalla ei havaittu 4. asteen trombosytopeniaa. Valkosolujen ja neutrofiilien määrät laskivat pääasiassa hoidon ensimmäisten kuuden viikon aikana, minkä jälkeen arvot pysyivät suhteellisen vakiona.</w:t>
      </w:r>
    </w:p>
    <w:p w14:paraId="586FC729" w14:textId="77777777" w:rsidR="00311DC5" w:rsidRPr="00912A5D" w:rsidRDefault="00311DC5" w:rsidP="00311DC5">
      <w:pPr>
        <w:pStyle w:val="Text"/>
        <w:widowControl w:val="0"/>
        <w:spacing w:before="0"/>
        <w:jc w:val="left"/>
        <w:rPr>
          <w:color w:val="000000"/>
          <w:sz w:val="22"/>
          <w:szCs w:val="22"/>
          <w:lang w:val="fi-FI"/>
        </w:rPr>
      </w:pPr>
    </w:p>
    <w:p w14:paraId="586FC72A" w14:textId="77777777" w:rsidR="00311DC5" w:rsidRPr="00912A5D" w:rsidRDefault="00311DC5" w:rsidP="00331A48">
      <w:pPr>
        <w:pStyle w:val="Text"/>
        <w:keepNext/>
        <w:widowControl w:val="0"/>
        <w:spacing w:before="0"/>
        <w:jc w:val="left"/>
        <w:rPr>
          <w:i/>
          <w:color w:val="000000"/>
          <w:sz w:val="22"/>
          <w:szCs w:val="22"/>
          <w:lang w:val="fi-FI"/>
        </w:rPr>
      </w:pPr>
      <w:r w:rsidRPr="00912A5D">
        <w:rPr>
          <w:i/>
          <w:color w:val="000000"/>
          <w:sz w:val="22"/>
          <w:szCs w:val="22"/>
          <w:lang w:val="fi-FI"/>
        </w:rPr>
        <w:t>Biokemia</w:t>
      </w:r>
    </w:p>
    <w:p w14:paraId="586FC72B" w14:textId="77777777" w:rsidR="00311DC5" w:rsidRPr="00912A5D" w:rsidRDefault="00311DC5" w:rsidP="00311DC5">
      <w:pPr>
        <w:pStyle w:val="Text"/>
        <w:widowControl w:val="0"/>
        <w:spacing w:before="0"/>
        <w:jc w:val="left"/>
        <w:rPr>
          <w:color w:val="000000"/>
          <w:sz w:val="22"/>
          <w:szCs w:val="22"/>
          <w:lang w:val="fi-FI"/>
        </w:rPr>
      </w:pPr>
      <w:smartTag w:uri="urn:schemas-microsoft-com:office:smarttags" w:element="State">
        <w:r w:rsidRPr="00912A5D">
          <w:rPr>
            <w:color w:val="000000"/>
            <w:sz w:val="22"/>
            <w:szCs w:val="22"/>
            <w:lang w:val="fi-FI"/>
          </w:rPr>
          <w:t>KML</w:t>
        </w:r>
      </w:smartTag>
      <w:r w:rsidRPr="00912A5D">
        <w:rPr>
          <w:color w:val="000000"/>
          <w:sz w:val="22"/>
          <w:szCs w:val="22"/>
          <w:lang w:val="fi-FI"/>
        </w:rPr>
        <w:t xml:space="preserve">-potilailla havaittiin huomattavaa transaminaasi- (&lt; 5 %) tai bilirubiiniarvojen (&lt; 1 %) nousua ja se saatiin yleensä hoidettua pienentämällä annosta tai keskeyttämällä hoito (näiden jaksojen mediaanikesto oli noin yksi viikko). Hoito lopetettiin pysyvästi poikkeavien maksa-arvojen vuoksi alle 1 %:lla </w:t>
      </w:r>
      <w:smartTag w:uri="urn:schemas-microsoft-com:office:smarttags" w:element="State">
        <w:r w:rsidRPr="00912A5D">
          <w:rPr>
            <w:color w:val="000000"/>
            <w:sz w:val="22"/>
            <w:szCs w:val="22"/>
            <w:lang w:val="fi-FI"/>
          </w:rPr>
          <w:t>KML</w:t>
        </w:r>
      </w:smartTag>
      <w:r w:rsidRPr="00912A5D">
        <w:rPr>
          <w:color w:val="000000"/>
          <w:sz w:val="22"/>
          <w:szCs w:val="22"/>
          <w:lang w:val="fi-FI"/>
        </w:rPr>
        <w:t>-potilaista. GIST-potilaista (tutkimus B2222) 6,8 %:lla havaittiin kolmannen tai neljännen asteen ALAT:in (alaniiniaminotransferaasin) pitoisuuden nousu ja 4,8 %:lla kolmannen tai neljännen asteen ASAT:in (aspartaattiaminotransferaasin) nousu. Bilirubiinin nousua havaittiin alle 3 %:lla.</w:t>
      </w:r>
    </w:p>
    <w:p w14:paraId="586FC72C" w14:textId="77777777" w:rsidR="00311DC5" w:rsidRPr="00912A5D" w:rsidRDefault="00311DC5" w:rsidP="00311DC5">
      <w:pPr>
        <w:pStyle w:val="Text"/>
        <w:widowControl w:val="0"/>
        <w:spacing w:before="0"/>
        <w:jc w:val="left"/>
        <w:rPr>
          <w:color w:val="000000"/>
          <w:sz w:val="22"/>
          <w:szCs w:val="22"/>
          <w:lang w:val="fi-FI"/>
        </w:rPr>
      </w:pPr>
    </w:p>
    <w:p w14:paraId="586FC72D" w14:textId="77777777" w:rsidR="00311DC5" w:rsidRDefault="00311DC5" w:rsidP="00311DC5">
      <w:pPr>
        <w:pStyle w:val="Text"/>
        <w:widowControl w:val="0"/>
        <w:spacing w:before="0"/>
        <w:jc w:val="left"/>
        <w:rPr>
          <w:color w:val="000000"/>
          <w:sz w:val="22"/>
          <w:szCs w:val="22"/>
          <w:lang w:val="fi-FI"/>
        </w:rPr>
      </w:pPr>
      <w:r w:rsidRPr="00912A5D">
        <w:rPr>
          <w:color w:val="000000"/>
          <w:sz w:val="22"/>
          <w:szCs w:val="22"/>
          <w:lang w:val="fi-FI"/>
        </w:rPr>
        <w:t>Sytolyyttistä ja kolestaattista maksatulehdusta ja vaikeaa maksan vajaatoimintaa on havaittu, jotka joissain tapauksissa ovat johtaneet kuolemaan, kuten yhdellä suuren parasetamoliannoksen saaneella potilaalla.</w:t>
      </w:r>
    </w:p>
    <w:p w14:paraId="586FC72E" w14:textId="77777777" w:rsidR="003D6C2F" w:rsidRDefault="003D6C2F" w:rsidP="003D6C2F">
      <w:pPr>
        <w:pStyle w:val="Text"/>
        <w:widowControl w:val="0"/>
        <w:spacing w:before="0"/>
        <w:jc w:val="left"/>
        <w:rPr>
          <w:color w:val="000000"/>
          <w:sz w:val="22"/>
          <w:szCs w:val="22"/>
          <w:u w:val="single"/>
          <w:lang w:val="fi-FI"/>
        </w:rPr>
      </w:pPr>
    </w:p>
    <w:p w14:paraId="586FC72F" w14:textId="77777777" w:rsidR="003D6C2F" w:rsidRDefault="003D6C2F" w:rsidP="00F820AB">
      <w:pPr>
        <w:pStyle w:val="Text"/>
        <w:keepNext/>
        <w:widowControl w:val="0"/>
        <w:spacing w:before="0"/>
        <w:jc w:val="left"/>
        <w:rPr>
          <w:color w:val="000000"/>
          <w:sz w:val="22"/>
          <w:szCs w:val="22"/>
          <w:u w:val="single"/>
          <w:lang w:val="fi-FI"/>
        </w:rPr>
      </w:pPr>
      <w:r w:rsidRPr="00AA682A">
        <w:rPr>
          <w:color w:val="000000"/>
          <w:sz w:val="22"/>
          <w:szCs w:val="22"/>
          <w:u w:val="single"/>
          <w:lang w:val="fi-FI"/>
        </w:rPr>
        <w:t>Valikoitujen haittavaikutusten kuvaus</w:t>
      </w:r>
    </w:p>
    <w:p w14:paraId="586FC730" w14:textId="77777777" w:rsidR="003D6C2F" w:rsidRPr="00A64BF0" w:rsidRDefault="003D6C2F" w:rsidP="00F820AB">
      <w:pPr>
        <w:pStyle w:val="Text"/>
        <w:keepNext/>
        <w:widowControl w:val="0"/>
        <w:spacing w:before="0"/>
        <w:jc w:val="left"/>
        <w:rPr>
          <w:i/>
          <w:color w:val="000000"/>
          <w:sz w:val="22"/>
          <w:szCs w:val="22"/>
          <w:u w:val="single"/>
          <w:lang w:val="fi-FI"/>
        </w:rPr>
      </w:pPr>
      <w:r w:rsidRPr="00A64BF0">
        <w:rPr>
          <w:i/>
          <w:color w:val="000000"/>
          <w:sz w:val="22"/>
          <w:szCs w:val="22"/>
          <w:u w:val="single"/>
          <w:lang w:val="fi-FI"/>
        </w:rPr>
        <w:t>Hepatiitti B:n uudelleen aktivoituminen</w:t>
      </w:r>
    </w:p>
    <w:p w14:paraId="586FC731" w14:textId="77777777" w:rsidR="003D6C2F" w:rsidRPr="00AA682A" w:rsidRDefault="003D6C2F" w:rsidP="003D6C2F">
      <w:pPr>
        <w:pStyle w:val="Text"/>
        <w:widowControl w:val="0"/>
        <w:spacing w:before="0"/>
        <w:jc w:val="left"/>
        <w:rPr>
          <w:color w:val="000000"/>
          <w:sz w:val="22"/>
          <w:szCs w:val="22"/>
          <w:lang w:val="fi-FI"/>
        </w:rPr>
      </w:pPr>
      <w:r w:rsidRPr="00AA682A">
        <w:rPr>
          <w:color w:val="000000"/>
          <w:sz w:val="22"/>
          <w:szCs w:val="22"/>
          <w:lang w:val="fi-FI"/>
        </w:rPr>
        <w:t>Hepatiitti B:n uudelleen aktivoitumista on ilmoitettu BCR-ABL-tyrosiinikinaasin estäjien käytön yhteydessä. Tämä aiheutti joissakin tapauksissa maksan vajaatoimintaa tai fulminanttia hepatiittia, joka johti maksansiirtoon tai kuolemaan (ks. kohta</w:t>
      </w:r>
      <w:r w:rsidR="00E11FBF">
        <w:rPr>
          <w:color w:val="000000"/>
          <w:sz w:val="22"/>
          <w:szCs w:val="22"/>
          <w:lang w:val="fi-FI"/>
        </w:rPr>
        <w:t> </w:t>
      </w:r>
      <w:r w:rsidRPr="00AA682A">
        <w:rPr>
          <w:color w:val="000000"/>
          <w:sz w:val="22"/>
          <w:szCs w:val="22"/>
          <w:lang w:val="fi-FI"/>
        </w:rPr>
        <w:t>4.4).</w:t>
      </w:r>
    </w:p>
    <w:p w14:paraId="586FC732" w14:textId="77777777" w:rsidR="00311DC5" w:rsidRPr="00912A5D" w:rsidRDefault="00311DC5" w:rsidP="00311DC5">
      <w:pPr>
        <w:pStyle w:val="Text"/>
        <w:widowControl w:val="0"/>
        <w:spacing w:before="0"/>
        <w:jc w:val="left"/>
        <w:rPr>
          <w:color w:val="000000"/>
          <w:sz w:val="22"/>
          <w:szCs w:val="22"/>
          <w:lang w:val="fi-FI"/>
        </w:rPr>
      </w:pPr>
    </w:p>
    <w:p w14:paraId="586FC733" w14:textId="77777777" w:rsidR="00311DC5" w:rsidRPr="00937FA3" w:rsidRDefault="00311DC5" w:rsidP="00331A48">
      <w:pPr>
        <w:pStyle w:val="Text"/>
        <w:keepNext/>
        <w:widowControl w:val="0"/>
        <w:spacing w:before="0"/>
        <w:jc w:val="left"/>
        <w:rPr>
          <w:color w:val="000000"/>
          <w:sz w:val="22"/>
          <w:szCs w:val="22"/>
          <w:u w:val="single"/>
          <w:lang w:val="fi-FI"/>
        </w:rPr>
      </w:pPr>
      <w:r w:rsidRPr="00937FA3">
        <w:rPr>
          <w:color w:val="000000"/>
          <w:sz w:val="22"/>
          <w:szCs w:val="22"/>
          <w:u w:val="single"/>
          <w:lang w:val="fi-FI"/>
        </w:rPr>
        <w:t>Epäillyistä haittavaikutuksista ilmoittaminen</w:t>
      </w:r>
    </w:p>
    <w:p w14:paraId="586FC734" w14:textId="77777777" w:rsidR="00311DC5" w:rsidRDefault="00311DC5" w:rsidP="00311DC5">
      <w:pPr>
        <w:pStyle w:val="Text"/>
        <w:widowControl w:val="0"/>
        <w:spacing w:before="0"/>
        <w:jc w:val="left"/>
        <w:rPr>
          <w:sz w:val="22"/>
          <w:szCs w:val="22"/>
          <w:lang w:val="fi-FI"/>
        </w:rPr>
      </w:pPr>
      <w:r>
        <w:rPr>
          <w:sz w:val="22"/>
          <w:szCs w:val="22"/>
          <w:lang w:val="fi-FI"/>
        </w:rPr>
        <w:t>On tärkeää ilmoittaa myyntiluvan myöntämisen jälkeisistä lääkevalmisteen epäillyistä haittavaikutuksista. Se mahdollistaa lääkevalmisteen hyöty</w:t>
      </w:r>
      <w:r w:rsidR="0079155D">
        <w:rPr>
          <w:sz w:val="22"/>
          <w:szCs w:val="22"/>
          <w:lang w:val="fi-FI"/>
        </w:rPr>
        <w:t>–</w:t>
      </w:r>
      <w:r>
        <w:rPr>
          <w:sz w:val="22"/>
          <w:szCs w:val="22"/>
          <w:lang w:val="fi-FI"/>
        </w:rPr>
        <w:t>haitta</w:t>
      </w:r>
      <w:r w:rsidR="0079155D">
        <w:rPr>
          <w:sz w:val="22"/>
          <w:szCs w:val="22"/>
          <w:lang w:val="fi-FI"/>
        </w:rPr>
        <w:t>-</w:t>
      </w:r>
      <w:r>
        <w:rPr>
          <w:sz w:val="22"/>
          <w:szCs w:val="22"/>
          <w:lang w:val="fi-FI"/>
        </w:rPr>
        <w:t xml:space="preserve">tasapainon jatkuvan arvioinnin. Terveydenhuollon ammattilaisia pyydetään ilmoittamaan kaikista epäillyistä haittavaikutuksista </w:t>
      </w:r>
      <w:hyperlink r:id="rId15" w:history="1">
        <w:r w:rsidRPr="00F82497">
          <w:rPr>
            <w:rStyle w:val="Hyperlink"/>
            <w:sz w:val="22"/>
            <w:szCs w:val="22"/>
            <w:shd w:val="clear" w:color="auto" w:fill="D9D9D9"/>
            <w:lang w:val="fi-FI"/>
          </w:rPr>
          <w:t>liitteessä V</w:t>
        </w:r>
      </w:hyperlink>
      <w:r w:rsidRPr="00F82497">
        <w:rPr>
          <w:rStyle w:val="Hyperlink"/>
          <w:sz w:val="22"/>
          <w:szCs w:val="22"/>
          <w:shd w:val="clear" w:color="auto" w:fill="D9D9D9"/>
          <w:lang w:val="fi-FI"/>
        </w:rPr>
        <w:t xml:space="preserve"> </w:t>
      </w:r>
      <w:r w:rsidRPr="00F82497">
        <w:rPr>
          <w:sz w:val="22"/>
          <w:szCs w:val="22"/>
          <w:shd w:val="clear" w:color="auto" w:fill="D9D9D9"/>
          <w:lang w:val="fi-FI"/>
        </w:rPr>
        <w:t>luetellun kansallisen ilmoitusjärjestelmän kautta</w:t>
      </w:r>
      <w:r w:rsidRPr="00F82497">
        <w:rPr>
          <w:sz w:val="22"/>
          <w:szCs w:val="22"/>
          <w:lang w:val="fi-FI"/>
        </w:rPr>
        <w:t>.</w:t>
      </w:r>
    </w:p>
    <w:p w14:paraId="586FC735" w14:textId="77777777" w:rsidR="00311DC5" w:rsidRPr="00912A5D" w:rsidRDefault="00311DC5" w:rsidP="00311DC5">
      <w:pPr>
        <w:pStyle w:val="Text"/>
        <w:widowControl w:val="0"/>
        <w:spacing w:before="0"/>
        <w:jc w:val="left"/>
        <w:rPr>
          <w:color w:val="000000"/>
          <w:sz w:val="22"/>
          <w:szCs w:val="22"/>
          <w:lang w:val="fi-FI"/>
        </w:rPr>
      </w:pPr>
    </w:p>
    <w:p w14:paraId="586FC736" w14:textId="77777777" w:rsidR="00311DC5" w:rsidRPr="00912A5D" w:rsidRDefault="00311DC5" w:rsidP="00331A48">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4.9</w:t>
      </w:r>
      <w:r w:rsidRPr="00912A5D">
        <w:rPr>
          <w:rFonts w:ascii="Times New Roman" w:hAnsi="Times New Roman"/>
          <w:b/>
          <w:sz w:val="22"/>
          <w:szCs w:val="22"/>
        </w:rPr>
        <w:tab/>
        <w:t>Yliannostus</w:t>
      </w:r>
    </w:p>
    <w:p w14:paraId="586FC737" w14:textId="77777777" w:rsidR="00311DC5" w:rsidRPr="00912A5D" w:rsidRDefault="00311DC5" w:rsidP="00331A48">
      <w:pPr>
        <w:keepNext/>
        <w:widowControl w:val="0"/>
        <w:rPr>
          <w:rFonts w:ascii="Times New Roman" w:hAnsi="Times New Roman"/>
          <w:sz w:val="22"/>
          <w:szCs w:val="22"/>
        </w:rPr>
      </w:pPr>
    </w:p>
    <w:p w14:paraId="586FC738" w14:textId="77777777" w:rsidR="00311DC5" w:rsidRDefault="00311DC5" w:rsidP="00311DC5">
      <w:pPr>
        <w:pStyle w:val="EndnoteText"/>
        <w:widowControl w:val="0"/>
        <w:tabs>
          <w:tab w:val="clear" w:pos="567"/>
        </w:tabs>
        <w:rPr>
          <w:color w:val="000000"/>
          <w:szCs w:val="22"/>
          <w:lang w:val="fi-FI"/>
        </w:rPr>
      </w:pPr>
      <w:r>
        <w:rPr>
          <w:color w:val="000000"/>
          <w:szCs w:val="22"/>
          <w:lang w:val="fi-FI"/>
        </w:rPr>
        <w:t>Kokemusta suositellun terapeuttisen annostuksen ylittämisestä on vain rajoitetusti. Yksittäisiä Glivec-yliannostustapauksia on raportoitu spontaanisti ja kirjallisuudessa.Yliannostustapauksissa potilasta tulee seurata ja asianmukainen oireellinen hoito antaa. Useimmiten raportoitu tulos näissä tapauksissa oli ”kohentunut” tai ”toipunut”. Tapauksia jotka on raportoitu muissa annosväleissä:</w:t>
      </w:r>
    </w:p>
    <w:p w14:paraId="586FC739" w14:textId="77777777" w:rsidR="00311DC5" w:rsidRDefault="00311DC5" w:rsidP="00311DC5">
      <w:pPr>
        <w:pStyle w:val="EndnoteText"/>
        <w:widowControl w:val="0"/>
        <w:tabs>
          <w:tab w:val="clear" w:pos="567"/>
        </w:tabs>
        <w:rPr>
          <w:color w:val="000000"/>
          <w:szCs w:val="22"/>
          <w:lang w:val="fi-FI"/>
        </w:rPr>
      </w:pPr>
    </w:p>
    <w:p w14:paraId="586FC73A" w14:textId="77777777" w:rsidR="00311DC5" w:rsidRPr="00A74A4B" w:rsidRDefault="00311DC5" w:rsidP="00331A48">
      <w:pPr>
        <w:pStyle w:val="EndnoteText"/>
        <w:keepNext/>
        <w:widowControl w:val="0"/>
        <w:tabs>
          <w:tab w:val="clear" w:pos="567"/>
        </w:tabs>
        <w:rPr>
          <w:i/>
          <w:iCs/>
          <w:color w:val="000000"/>
          <w:szCs w:val="22"/>
          <w:lang w:val="fi-FI"/>
        </w:rPr>
      </w:pPr>
      <w:r w:rsidRPr="00D96BC6">
        <w:rPr>
          <w:i/>
          <w:iCs/>
          <w:color w:val="000000"/>
          <w:szCs w:val="22"/>
          <w:lang w:val="fi-FI"/>
        </w:rPr>
        <w:t>Aikuiset</w:t>
      </w:r>
    </w:p>
    <w:p w14:paraId="586FC73B" w14:textId="77777777" w:rsidR="00311DC5" w:rsidRDefault="00311DC5" w:rsidP="00311DC5">
      <w:pPr>
        <w:pStyle w:val="EndnoteText"/>
        <w:widowControl w:val="0"/>
        <w:tabs>
          <w:tab w:val="clear" w:pos="567"/>
        </w:tabs>
        <w:rPr>
          <w:color w:val="000000"/>
          <w:szCs w:val="22"/>
          <w:lang w:val="fi-FI"/>
        </w:rPr>
      </w:pPr>
      <w:r>
        <w:rPr>
          <w:color w:val="000000"/>
          <w:szCs w:val="22"/>
          <w:lang w:val="fi-FI"/>
        </w:rPr>
        <w:t>1200</w:t>
      </w:r>
      <w:r>
        <w:rPr>
          <w:color w:val="000000"/>
          <w:szCs w:val="22"/>
          <w:lang w:val="fi-FI"/>
        </w:rPr>
        <w:noBreakHyphen/>
        <w:t>1600 mg (kestäen vaihtelevasti 1</w:t>
      </w:r>
      <w:r>
        <w:rPr>
          <w:color w:val="000000"/>
          <w:szCs w:val="22"/>
          <w:lang w:val="fi-FI"/>
        </w:rPr>
        <w:noBreakHyphen/>
        <w:t>10 päivän välillä): Pahoinvointia, oksentelua, ripulia, ihottuma, eryteema, edeema, turvotus, heikotus, lihasnykäyksiä, trombosytopenia, pansytopenia, vatsakipua, päänsärkyä, vähentynyt ruokahalu.</w:t>
      </w:r>
    </w:p>
    <w:p w14:paraId="586FC73C" w14:textId="77777777" w:rsidR="00311DC5" w:rsidRDefault="00311DC5" w:rsidP="00311DC5">
      <w:pPr>
        <w:pStyle w:val="EndnoteText"/>
        <w:widowControl w:val="0"/>
        <w:tabs>
          <w:tab w:val="clear" w:pos="567"/>
        </w:tabs>
        <w:rPr>
          <w:color w:val="000000"/>
          <w:szCs w:val="22"/>
          <w:lang w:val="fi-FI"/>
        </w:rPr>
      </w:pPr>
      <w:r>
        <w:rPr>
          <w:color w:val="000000"/>
          <w:szCs w:val="22"/>
          <w:lang w:val="fi-FI"/>
        </w:rPr>
        <w:t>1800</w:t>
      </w:r>
      <w:r>
        <w:rPr>
          <w:color w:val="000000"/>
          <w:szCs w:val="22"/>
          <w:lang w:val="fi-FI"/>
        </w:rPr>
        <w:noBreakHyphen/>
        <w:t xml:space="preserve">3200 mg (jopa 3200 mg päivässä 6 päivän ajan): Voimattomuus, myalgia, suurentunut </w:t>
      </w:r>
      <w:r>
        <w:rPr>
          <w:color w:val="000000"/>
          <w:szCs w:val="22"/>
          <w:lang w:val="fi-FI"/>
        </w:rPr>
        <w:lastRenderedPageBreak/>
        <w:t>kreatiniini fosfokinaasi, suurentunut bilirubiini, ruuansulatuskanavan kipu.</w:t>
      </w:r>
    </w:p>
    <w:p w14:paraId="586FC73D" w14:textId="77777777" w:rsidR="00311DC5" w:rsidRDefault="00311DC5" w:rsidP="00311DC5">
      <w:pPr>
        <w:pStyle w:val="EndnoteText"/>
        <w:widowControl w:val="0"/>
        <w:tabs>
          <w:tab w:val="clear" w:pos="567"/>
        </w:tabs>
        <w:rPr>
          <w:color w:val="000000"/>
          <w:szCs w:val="22"/>
          <w:lang w:val="fi-FI"/>
        </w:rPr>
      </w:pPr>
      <w:r>
        <w:rPr>
          <w:color w:val="000000"/>
          <w:szCs w:val="22"/>
          <w:lang w:val="fi-FI"/>
        </w:rPr>
        <w:t>6400 mg (kerta-annos): Yksi kirjallisuusraportti yhdestä potilaasta joka koki pahoinvointia, oksentelua, vatsakipua, kuumetta, kasvojen turvotusta, alentunut neutrofiililuku, kohonneita transaminaasilukuja.</w:t>
      </w:r>
    </w:p>
    <w:p w14:paraId="586FC73E" w14:textId="77777777" w:rsidR="00311DC5" w:rsidRDefault="00311DC5" w:rsidP="00311DC5">
      <w:pPr>
        <w:pStyle w:val="EndnoteText"/>
        <w:widowControl w:val="0"/>
        <w:tabs>
          <w:tab w:val="clear" w:pos="567"/>
        </w:tabs>
        <w:rPr>
          <w:color w:val="000000"/>
          <w:szCs w:val="22"/>
          <w:lang w:val="fi-FI"/>
        </w:rPr>
      </w:pPr>
      <w:r>
        <w:rPr>
          <w:color w:val="000000"/>
          <w:szCs w:val="22"/>
          <w:lang w:val="fi-FI"/>
        </w:rPr>
        <w:t>8</w:t>
      </w:r>
      <w:r>
        <w:rPr>
          <w:color w:val="000000"/>
          <w:szCs w:val="22"/>
          <w:lang w:val="fi-FI"/>
        </w:rPr>
        <w:noBreakHyphen/>
        <w:t>10 g (kerta-annos): Oksentelua ja ruuansulatuskanavan kipua on raportoitu.</w:t>
      </w:r>
    </w:p>
    <w:p w14:paraId="586FC73F" w14:textId="77777777" w:rsidR="00311DC5" w:rsidRDefault="00311DC5" w:rsidP="00311DC5">
      <w:pPr>
        <w:pStyle w:val="EndnoteText"/>
        <w:widowControl w:val="0"/>
        <w:tabs>
          <w:tab w:val="clear" w:pos="567"/>
        </w:tabs>
        <w:rPr>
          <w:color w:val="000000"/>
          <w:szCs w:val="22"/>
          <w:lang w:val="fi-FI"/>
        </w:rPr>
      </w:pPr>
    </w:p>
    <w:p w14:paraId="586FC740" w14:textId="77777777" w:rsidR="00311DC5" w:rsidRPr="00A74A4B" w:rsidRDefault="00311DC5" w:rsidP="00331A48">
      <w:pPr>
        <w:pStyle w:val="EndnoteText"/>
        <w:keepNext/>
        <w:widowControl w:val="0"/>
        <w:tabs>
          <w:tab w:val="clear" w:pos="567"/>
        </w:tabs>
        <w:rPr>
          <w:i/>
          <w:iCs/>
          <w:color w:val="000000"/>
          <w:szCs w:val="22"/>
          <w:lang w:val="fi-FI"/>
        </w:rPr>
      </w:pPr>
      <w:r w:rsidRPr="00D96BC6">
        <w:rPr>
          <w:i/>
          <w:iCs/>
          <w:color w:val="000000"/>
          <w:szCs w:val="22"/>
          <w:lang w:val="fi-FI"/>
        </w:rPr>
        <w:t>Pediatriset potilaat</w:t>
      </w:r>
    </w:p>
    <w:p w14:paraId="586FC741" w14:textId="77777777" w:rsidR="00311DC5" w:rsidRDefault="00311DC5" w:rsidP="00311DC5">
      <w:pPr>
        <w:pStyle w:val="EndnoteText"/>
        <w:widowControl w:val="0"/>
        <w:tabs>
          <w:tab w:val="clear" w:pos="567"/>
        </w:tabs>
        <w:rPr>
          <w:color w:val="000000"/>
          <w:szCs w:val="22"/>
          <w:lang w:val="fi-FI"/>
        </w:rPr>
      </w:pPr>
      <w:r>
        <w:rPr>
          <w:color w:val="000000"/>
          <w:szCs w:val="22"/>
          <w:lang w:val="fi-FI"/>
        </w:rPr>
        <w:t>Yksi 3-vuotias poika, joka altistui 400 mg kerta-annokselle, koki oksentelua, ripulia sekä anoreksiaa, ja toinen 3-vuotias poika, joka altistui 980 mg kerta-annokselle, koki veren valkosolumäärän alenemista sekä ripulia.</w:t>
      </w:r>
    </w:p>
    <w:p w14:paraId="586FC742" w14:textId="77777777" w:rsidR="00311DC5" w:rsidRPr="00912A5D" w:rsidRDefault="00311DC5" w:rsidP="00311DC5">
      <w:pPr>
        <w:widowControl w:val="0"/>
        <w:rPr>
          <w:rFonts w:ascii="Times New Roman" w:hAnsi="Times New Roman"/>
          <w:sz w:val="22"/>
          <w:szCs w:val="22"/>
        </w:rPr>
      </w:pPr>
    </w:p>
    <w:p w14:paraId="586FC743" w14:textId="77777777" w:rsidR="00311DC5" w:rsidRPr="00912A5D" w:rsidRDefault="00311DC5" w:rsidP="00311DC5">
      <w:pPr>
        <w:widowControl w:val="0"/>
        <w:rPr>
          <w:rFonts w:ascii="Times New Roman" w:hAnsi="Times New Roman"/>
          <w:sz w:val="22"/>
          <w:szCs w:val="22"/>
        </w:rPr>
      </w:pPr>
      <w:r w:rsidRPr="00912A5D">
        <w:rPr>
          <w:rFonts w:ascii="Times New Roman" w:hAnsi="Times New Roman"/>
          <w:sz w:val="22"/>
          <w:szCs w:val="22"/>
        </w:rPr>
        <w:t>Yliannostustapauksissa potilasta tulee tarkkailla ja antaa asiaankuuluvaa tukihoitoa.</w:t>
      </w:r>
    </w:p>
    <w:p w14:paraId="586FC744" w14:textId="77777777" w:rsidR="00311DC5" w:rsidRPr="00912A5D" w:rsidRDefault="00311DC5" w:rsidP="00311DC5">
      <w:pPr>
        <w:widowControl w:val="0"/>
        <w:rPr>
          <w:rFonts w:ascii="Times New Roman" w:hAnsi="Times New Roman"/>
          <w:sz w:val="22"/>
          <w:szCs w:val="22"/>
        </w:rPr>
      </w:pPr>
    </w:p>
    <w:p w14:paraId="586FC745" w14:textId="77777777" w:rsidR="00311DC5" w:rsidRPr="00912A5D" w:rsidRDefault="00311DC5" w:rsidP="00311DC5">
      <w:pPr>
        <w:widowControl w:val="0"/>
        <w:rPr>
          <w:rFonts w:ascii="Times New Roman" w:hAnsi="Times New Roman"/>
          <w:sz w:val="22"/>
          <w:szCs w:val="22"/>
        </w:rPr>
      </w:pPr>
    </w:p>
    <w:p w14:paraId="586FC746" w14:textId="77777777" w:rsidR="00311DC5" w:rsidRPr="00912A5D" w:rsidRDefault="00311DC5" w:rsidP="00331A48">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5.</w:t>
      </w:r>
      <w:r w:rsidRPr="00912A5D">
        <w:rPr>
          <w:rFonts w:ascii="Times New Roman" w:hAnsi="Times New Roman"/>
          <w:b/>
          <w:sz w:val="22"/>
          <w:szCs w:val="22"/>
        </w:rPr>
        <w:tab/>
        <w:t>FARMAKOLOGISET OMINAISUUDET</w:t>
      </w:r>
    </w:p>
    <w:p w14:paraId="586FC747" w14:textId="77777777" w:rsidR="00311DC5" w:rsidRPr="00912A5D" w:rsidRDefault="00311DC5" w:rsidP="00331A48">
      <w:pPr>
        <w:keepNext/>
        <w:widowControl w:val="0"/>
        <w:suppressAutoHyphens/>
        <w:rPr>
          <w:rFonts w:ascii="Times New Roman" w:hAnsi="Times New Roman"/>
          <w:sz w:val="22"/>
          <w:szCs w:val="22"/>
        </w:rPr>
      </w:pPr>
    </w:p>
    <w:p w14:paraId="586FC748" w14:textId="77777777" w:rsidR="00311DC5" w:rsidRPr="00912A5D" w:rsidRDefault="00311DC5" w:rsidP="00331A48">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5.1</w:t>
      </w:r>
      <w:r w:rsidRPr="00912A5D">
        <w:rPr>
          <w:rFonts w:ascii="Times New Roman" w:hAnsi="Times New Roman"/>
          <w:b/>
          <w:sz w:val="22"/>
          <w:szCs w:val="22"/>
        </w:rPr>
        <w:tab/>
        <w:t>Farmakodynamiikka</w:t>
      </w:r>
    </w:p>
    <w:p w14:paraId="586FC749" w14:textId="77777777" w:rsidR="00311DC5" w:rsidRPr="00912A5D" w:rsidRDefault="00311DC5" w:rsidP="00331A48">
      <w:pPr>
        <w:pStyle w:val="EndnoteText"/>
        <w:keepNext/>
        <w:widowControl w:val="0"/>
        <w:tabs>
          <w:tab w:val="clear" w:pos="567"/>
        </w:tabs>
        <w:rPr>
          <w:color w:val="000000"/>
          <w:szCs w:val="22"/>
          <w:lang w:val="fi-FI"/>
        </w:rPr>
      </w:pPr>
    </w:p>
    <w:p w14:paraId="586FC74A" w14:textId="77777777" w:rsidR="00311DC5" w:rsidRPr="00912A5D" w:rsidRDefault="00311DC5" w:rsidP="00311DC5">
      <w:pPr>
        <w:widowControl w:val="0"/>
        <w:rPr>
          <w:rFonts w:ascii="Times New Roman" w:hAnsi="Times New Roman"/>
          <w:sz w:val="22"/>
          <w:szCs w:val="22"/>
        </w:rPr>
      </w:pPr>
      <w:r w:rsidRPr="00912A5D">
        <w:rPr>
          <w:rFonts w:ascii="Times New Roman" w:hAnsi="Times New Roman"/>
          <w:sz w:val="22"/>
          <w:szCs w:val="22"/>
        </w:rPr>
        <w:t>Farmakoterapeuttinen ryhmä: proteiinityrosiinikinaasin estäjä, ATC-koodi: L01XE01</w:t>
      </w:r>
    </w:p>
    <w:p w14:paraId="586FC74B" w14:textId="77777777" w:rsidR="00311DC5" w:rsidRPr="00912A5D" w:rsidRDefault="00311DC5" w:rsidP="00311DC5">
      <w:pPr>
        <w:pStyle w:val="EndnoteText"/>
        <w:widowControl w:val="0"/>
        <w:tabs>
          <w:tab w:val="clear" w:pos="567"/>
        </w:tabs>
        <w:rPr>
          <w:color w:val="000000"/>
          <w:szCs w:val="22"/>
          <w:lang w:val="fi-FI"/>
        </w:rPr>
      </w:pPr>
    </w:p>
    <w:p w14:paraId="586FC74C" w14:textId="77777777" w:rsidR="00311DC5" w:rsidRDefault="00311DC5" w:rsidP="00331A48">
      <w:pPr>
        <w:pStyle w:val="EndnoteText"/>
        <w:keepNext/>
        <w:widowControl w:val="0"/>
        <w:tabs>
          <w:tab w:val="clear" w:pos="567"/>
        </w:tabs>
        <w:rPr>
          <w:color w:val="000000"/>
          <w:szCs w:val="22"/>
          <w:u w:val="single"/>
          <w:lang w:val="fi-FI"/>
        </w:rPr>
      </w:pPr>
      <w:r w:rsidRPr="006E44D6">
        <w:rPr>
          <w:color w:val="000000"/>
          <w:szCs w:val="22"/>
          <w:u w:val="single"/>
          <w:lang w:val="fi-FI"/>
        </w:rPr>
        <w:t>Vaikutusmekanismi</w:t>
      </w:r>
    </w:p>
    <w:p w14:paraId="586FC74D" w14:textId="77777777" w:rsidR="00311DC5" w:rsidRDefault="00311DC5" w:rsidP="00311DC5">
      <w:pPr>
        <w:pStyle w:val="EndnoteText"/>
        <w:widowControl w:val="0"/>
        <w:tabs>
          <w:tab w:val="clear" w:pos="567"/>
        </w:tabs>
        <w:rPr>
          <w:color w:val="000000"/>
          <w:szCs w:val="22"/>
          <w:u w:val="single"/>
          <w:lang w:val="fi-FI"/>
        </w:rPr>
      </w:pPr>
      <w:r>
        <w:rPr>
          <w:lang w:val="fi-FI"/>
        </w:rPr>
        <w:t>Imatinibi on pienimolekyylinen tyrosiinikinaasin estäjä, joka estää voimakkaasti Bcr-Abl-tyrosiinikinaasin toimintaa ja useita reseptorityrosiinikinaaseja (c-Kit-proto-onkogeenin koodaama kantasolutekijän [SCF] Kit-reseptori, DDR1- ja DDR2-reseptorit, kasvutekijäreseptori CSF-1R ja verihiutalekasvutekijäreseptorit alfa ja beeta [PDGFR-alfa ja PDGFR-beeta]). Imatinibi voi myös estää näiden reseptorikinaasien aktivaation välittämiä solutason tapahtumia.</w:t>
      </w:r>
    </w:p>
    <w:p w14:paraId="586FC74E" w14:textId="77777777" w:rsidR="00311DC5" w:rsidRDefault="00311DC5" w:rsidP="00311DC5">
      <w:pPr>
        <w:pStyle w:val="EndnoteText"/>
        <w:widowControl w:val="0"/>
        <w:tabs>
          <w:tab w:val="clear" w:pos="567"/>
        </w:tabs>
        <w:rPr>
          <w:color w:val="000000"/>
          <w:szCs w:val="22"/>
          <w:u w:val="single"/>
          <w:lang w:val="fi-FI"/>
        </w:rPr>
      </w:pPr>
    </w:p>
    <w:p w14:paraId="586FC74F" w14:textId="77777777" w:rsidR="00311DC5" w:rsidRDefault="00311DC5" w:rsidP="00331A48">
      <w:pPr>
        <w:pStyle w:val="EndnoteText"/>
        <w:keepNext/>
        <w:widowControl w:val="0"/>
        <w:tabs>
          <w:tab w:val="clear" w:pos="567"/>
        </w:tabs>
        <w:rPr>
          <w:color w:val="000000"/>
          <w:szCs w:val="22"/>
          <w:u w:val="single"/>
          <w:lang w:val="fi-FI"/>
        </w:rPr>
      </w:pPr>
      <w:r w:rsidRPr="006E44D6">
        <w:rPr>
          <w:color w:val="000000"/>
          <w:szCs w:val="22"/>
          <w:u w:val="single"/>
          <w:lang w:val="fi-FI"/>
        </w:rPr>
        <w:t>Farmakodynaamiset vaikutukset</w:t>
      </w:r>
    </w:p>
    <w:p w14:paraId="586FC750"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Imatinibi on proteiinityrosiinikinaasin estäjä, joka estää voimakkaasti Bcr-Abl-tyrosiinikinaasia </w:t>
      </w:r>
      <w:r w:rsidRPr="00912A5D">
        <w:rPr>
          <w:i/>
          <w:color w:val="000000"/>
          <w:szCs w:val="22"/>
          <w:lang w:val="fi-FI"/>
        </w:rPr>
        <w:t>in vitro-,</w:t>
      </w:r>
      <w:r w:rsidRPr="00912A5D">
        <w:rPr>
          <w:color w:val="000000"/>
          <w:szCs w:val="22"/>
          <w:lang w:val="fi-FI"/>
        </w:rPr>
        <w:t xml:space="preserve"> solu- ja </w:t>
      </w:r>
      <w:r w:rsidRPr="00912A5D">
        <w:rPr>
          <w:i/>
          <w:color w:val="000000"/>
          <w:szCs w:val="22"/>
          <w:lang w:val="fi-FI"/>
        </w:rPr>
        <w:t>in vivo</w:t>
      </w:r>
      <w:r w:rsidRPr="00912A5D">
        <w:rPr>
          <w:color w:val="000000"/>
          <w:szCs w:val="22"/>
          <w:lang w:val="fi-FI"/>
        </w:rPr>
        <w:t xml:space="preserve"> -pitoisuuksina. Aine estää selektiivisesti proliferaatiota ja indusoi apoptoosia Bcr-Abl-positiivisissa solulinjoissa sekä tuoreissa leukemiasoluissa, jotka ovat peräisin Philadelphia-kromosomin suhteen positiivisilta kroonista myelooista leukemiaa sairastavilta potilailta sekä akuuttia lymfoblastista leukemiaa sairastavilta potilailta.</w:t>
      </w:r>
    </w:p>
    <w:p w14:paraId="586FC751" w14:textId="77777777" w:rsidR="00311DC5" w:rsidRPr="00912A5D" w:rsidRDefault="00311DC5" w:rsidP="00311DC5">
      <w:pPr>
        <w:pStyle w:val="EndnoteText"/>
        <w:widowControl w:val="0"/>
        <w:tabs>
          <w:tab w:val="clear" w:pos="567"/>
        </w:tabs>
        <w:rPr>
          <w:color w:val="000000"/>
          <w:szCs w:val="22"/>
          <w:lang w:val="fi-FI"/>
        </w:rPr>
      </w:pPr>
    </w:p>
    <w:p w14:paraId="586FC752"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Aineella on kasvaimia estävä vaikutus </w:t>
      </w:r>
      <w:r w:rsidRPr="00912A5D">
        <w:rPr>
          <w:i/>
          <w:color w:val="000000"/>
          <w:szCs w:val="22"/>
          <w:lang w:val="fi-FI"/>
        </w:rPr>
        <w:t>in vivo,</w:t>
      </w:r>
      <w:r w:rsidRPr="00912A5D">
        <w:rPr>
          <w:color w:val="000000"/>
          <w:szCs w:val="22"/>
          <w:lang w:val="fi-FI"/>
        </w:rPr>
        <w:t xml:space="preserve"> kun sitä annetaan ainoana aineena eläinmalleissa, joissa käytetään Bcr-Abl-positiivisia kasvainsoluja.</w:t>
      </w:r>
    </w:p>
    <w:p w14:paraId="586FC753" w14:textId="77777777" w:rsidR="00311DC5" w:rsidRPr="00912A5D" w:rsidRDefault="00311DC5" w:rsidP="00311DC5">
      <w:pPr>
        <w:pStyle w:val="EndnoteText"/>
        <w:widowControl w:val="0"/>
        <w:tabs>
          <w:tab w:val="clear" w:pos="567"/>
        </w:tabs>
        <w:rPr>
          <w:color w:val="000000"/>
          <w:szCs w:val="22"/>
          <w:lang w:val="fi-FI"/>
        </w:rPr>
      </w:pPr>
    </w:p>
    <w:p w14:paraId="586FC754"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Imatinibi on myös verihiutalekasvutekijän (PDGF) reseptorityrosiinikinaasin, PDGF-R, ja kantasolutekijän (SCF) reseptorityrosiinikinaasin, c-Kit, estäjä ja se estää PDGF- ja SCF-välitteisiä solutapahtumia. </w:t>
      </w:r>
      <w:r w:rsidRPr="00912A5D">
        <w:rPr>
          <w:i/>
          <w:color w:val="000000"/>
          <w:szCs w:val="22"/>
          <w:lang w:val="fi-FI"/>
        </w:rPr>
        <w:t>In vitro</w:t>
      </w:r>
      <w:r w:rsidRPr="00912A5D">
        <w:rPr>
          <w:color w:val="000000"/>
          <w:szCs w:val="22"/>
          <w:lang w:val="fi-FI"/>
        </w:rPr>
        <w:t xml:space="preserve">, ruuansulatuskanavan stroomakasvainsoluissa, joissa aktivaattorina toimii </w:t>
      </w:r>
      <w:r w:rsidRPr="00912A5D">
        <w:rPr>
          <w:i/>
          <w:color w:val="000000"/>
          <w:szCs w:val="22"/>
          <w:lang w:val="fi-FI"/>
        </w:rPr>
        <w:t>kit-</w:t>
      </w:r>
      <w:r w:rsidRPr="00912A5D">
        <w:rPr>
          <w:color w:val="000000"/>
          <w:szCs w:val="22"/>
          <w:lang w:val="fi-FI"/>
        </w:rPr>
        <w:t xml:space="preserve">mutaatio, imatinibi estää soluproliferaatiota ja aiheuttaa apoptoosia. PDGF:n konstitutiivisen tuotannon tai PDGF-reseptorin tai Abl-proteiinityrosiinikinaasien konstitutiivisen aktivaation (jonka syynä on niiden yhdistyminen eri proteiineihin) on arveltu osallistuvan </w:t>
      </w:r>
      <w:smartTag w:uri="urn:schemas-microsoft-com:office:smarttags" w:element="State">
        <w:r w:rsidRPr="00912A5D">
          <w:rPr>
            <w:color w:val="000000"/>
            <w:szCs w:val="22"/>
            <w:lang w:val="fi-FI"/>
          </w:rPr>
          <w:t>MDS</w:t>
        </w:r>
      </w:smartTag>
      <w:r w:rsidRPr="00912A5D">
        <w:rPr>
          <w:color w:val="000000"/>
          <w:szCs w:val="22"/>
          <w:lang w:val="fi-FI"/>
        </w:rPr>
        <w:t xml:space="preserve">:n, </w:t>
      </w:r>
      <w:smartTag w:uri="urn:schemas-microsoft-com:office:smarttags" w:element="State">
        <w:r w:rsidRPr="00912A5D">
          <w:rPr>
            <w:color w:val="000000"/>
            <w:szCs w:val="22"/>
            <w:lang w:val="fi-FI"/>
          </w:rPr>
          <w:t>MDP</w:t>
        </w:r>
      </w:smartTag>
      <w:r w:rsidRPr="00912A5D">
        <w:rPr>
          <w:color w:val="000000"/>
          <w:szCs w:val="22"/>
          <w:lang w:val="fi-FI"/>
        </w:rPr>
        <w:t>:n, HES:n/</w:t>
      </w:r>
      <w:smartTag w:uri="urn:schemas-microsoft-com:office:smarttags" w:element="State">
        <w:r w:rsidRPr="00912A5D">
          <w:rPr>
            <w:color w:val="000000"/>
            <w:szCs w:val="22"/>
            <w:lang w:val="fi-FI"/>
          </w:rPr>
          <w:t>CEL</w:t>
        </w:r>
      </w:smartTag>
      <w:r w:rsidRPr="00912A5D">
        <w:rPr>
          <w:color w:val="000000"/>
          <w:szCs w:val="22"/>
          <w:lang w:val="fi-FI"/>
        </w:rPr>
        <w:t>:n ja DFSP:n patogeneesiin. Imatinibi estää viestinkulkua ja proliferaatiota soluissa, joiden PDGFR- ja Abl-kinaasitoiminta on häiriintynyt.</w:t>
      </w:r>
    </w:p>
    <w:p w14:paraId="586FC755" w14:textId="77777777" w:rsidR="00311DC5" w:rsidRPr="00912A5D" w:rsidRDefault="00311DC5" w:rsidP="00311DC5">
      <w:pPr>
        <w:pStyle w:val="EndnoteText"/>
        <w:widowControl w:val="0"/>
        <w:tabs>
          <w:tab w:val="clear" w:pos="567"/>
        </w:tabs>
        <w:rPr>
          <w:color w:val="000000"/>
          <w:szCs w:val="22"/>
          <w:lang w:val="fi-FI"/>
        </w:rPr>
      </w:pPr>
    </w:p>
    <w:p w14:paraId="586FC756" w14:textId="77777777" w:rsidR="00311DC5" w:rsidRPr="00912A5D" w:rsidRDefault="00311DC5" w:rsidP="00311DC5">
      <w:pPr>
        <w:pStyle w:val="EndnoteText"/>
        <w:widowControl w:val="0"/>
        <w:tabs>
          <w:tab w:val="clear" w:pos="567"/>
        </w:tabs>
        <w:rPr>
          <w:color w:val="000000"/>
          <w:szCs w:val="22"/>
          <w:u w:val="single"/>
          <w:lang w:val="fi-FI"/>
        </w:rPr>
      </w:pPr>
      <w:r w:rsidRPr="00912A5D">
        <w:rPr>
          <w:color w:val="000000"/>
          <w:szCs w:val="22"/>
          <w:u w:val="single"/>
          <w:lang w:val="fi-FI"/>
        </w:rPr>
        <w:t>Kliiniset tutkimukset kroonisessa myelooisessa leukemiassa (</w:t>
      </w:r>
      <w:smartTag w:uri="urn:schemas-microsoft-com:office:smarttags" w:element="State">
        <w:r w:rsidRPr="00912A5D">
          <w:rPr>
            <w:color w:val="000000"/>
            <w:szCs w:val="22"/>
            <w:u w:val="single"/>
            <w:lang w:val="fi-FI"/>
          </w:rPr>
          <w:t>KML</w:t>
        </w:r>
      </w:smartTag>
      <w:r w:rsidRPr="00912A5D">
        <w:rPr>
          <w:color w:val="000000"/>
          <w:szCs w:val="22"/>
          <w:u w:val="single"/>
          <w:lang w:val="fi-FI"/>
        </w:rPr>
        <w:t>)</w:t>
      </w:r>
    </w:p>
    <w:p w14:paraId="586FC757"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Näyttö Glivecin tehosta perustuu hematologisten ja sytogeneettisten vasteiden määrään ja aikaan ilman taudin etenemistä. Juuri diagnosoitua kroonisessa vaiheessa olevaa KML:aa lukuun ottamatta kontrolloituja tutkimuksia, jotka osoittaisivat kliinistä tehoa, kuten sairauteen kuuluvien oireiden vähenemistä tai elonjäämisetua, ei ole.</w:t>
      </w:r>
    </w:p>
    <w:p w14:paraId="586FC758" w14:textId="77777777" w:rsidR="00311DC5" w:rsidRPr="00912A5D" w:rsidRDefault="00311DC5" w:rsidP="00311DC5">
      <w:pPr>
        <w:pStyle w:val="EndnoteText"/>
        <w:widowControl w:val="0"/>
        <w:tabs>
          <w:tab w:val="clear" w:pos="567"/>
        </w:tabs>
        <w:rPr>
          <w:color w:val="000000"/>
          <w:szCs w:val="22"/>
          <w:lang w:val="fi-FI"/>
        </w:rPr>
      </w:pPr>
    </w:p>
    <w:p w14:paraId="586FC759"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Kolme suurta kansainvälistä avointa kontrolloimatonta II vaiheen tutkimusta tehtiin potilaille, jotka sairastivat kroonisen myelooisen leukemian Philadelphia-kromosomin suhteen positiivista (Ph+) pitkälle edennyttä vaihetta, blasti- tai akseleraatiovaihetta tai muita Ph+-leukemiatyyppejä tai kroonisen myelooisen leukemian kroonista vaihetta, johon aiempi alfainterferonihoito ei ollut tehonnut. Potilaille, joilla on vasta diagnosoitu Philadelphia-kromosomin suhteen positiivinen </w:t>
      </w:r>
      <w:r w:rsidRPr="00912A5D">
        <w:rPr>
          <w:color w:val="000000"/>
          <w:szCs w:val="22"/>
          <w:lang w:val="fi-FI"/>
        </w:rPr>
        <w:lastRenderedPageBreak/>
        <w:t xml:space="preserve">krooninen myelooinen leukemia, on tehty yksi suuri, avoin, kansainvälinen, satunnaistettu </w:t>
      </w:r>
      <w:smartTag w:uri="urn:schemas-microsoft-com:office:smarttags" w:element="State">
        <w:r w:rsidRPr="00912A5D">
          <w:rPr>
            <w:color w:val="000000"/>
            <w:szCs w:val="22"/>
            <w:lang w:val="fi-FI"/>
          </w:rPr>
          <w:t>III</w:t>
        </w:r>
      </w:smartTag>
      <w:r w:rsidRPr="00912A5D">
        <w:rPr>
          <w:color w:val="000000"/>
          <w:szCs w:val="22"/>
          <w:lang w:val="fi-FI"/>
        </w:rPr>
        <w:t xml:space="preserve"> vaiheen monikeskustutkimus. Lisäksi pieni määrä lapsia on hoidettu kahdessa I vaiheen tutkimuksessa ja yhdessä II vaiheen tutkimuksessa.</w:t>
      </w:r>
    </w:p>
    <w:p w14:paraId="586FC75A" w14:textId="77777777" w:rsidR="00311DC5" w:rsidRPr="00912A5D" w:rsidRDefault="00311DC5" w:rsidP="00311DC5">
      <w:pPr>
        <w:pStyle w:val="EndnoteText"/>
        <w:widowControl w:val="0"/>
        <w:tabs>
          <w:tab w:val="clear" w:pos="567"/>
        </w:tabs>
        <w:rPr>
          <w:color w:val="000000"/>
          <w:szCs w:val="22"/>
          <w:lang w:val="fi-FI"/>
        </w:rPr>
      </w:pPr>
    </w:p>
    <w:p w14:paraId="586FC75B"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Kaikissa kliinisissä tutkimuksissa 38–40 % potilaista oli </w:t>
      </w:r>
      <w:r w:rsidRPr="00912A5D">
        <w:rPr>
          <w:color w:val="000000"/>
          <w:szCs w:val="22"/>
          <w:lang w:val="fi-FI"/>
        </w:rPr>
        <w:sym w:font="Symbol" w:char="F0B3"/>
      </w:r>
      <w:r w:rsidRPr="00912A5D">
        <w:rPr>
          <w:color w:val="000000"/>
          <w:szCs w:val="22"/>
          <w:lang w:val="fi-FI"/>
        </w:rPr>
        <w:t xml:space="preserve"> 60-vuotiaita ja 10–12 % </w:t>
      </w:r>
      <w:r w:rsidRPr="00912A5D">
        <w:rPr>
          <w:color w:val="000000"/>
          <w:szCs w:val="22"/>
          <w:lang w:val="fi-FI"/>
        </w:rPr>
        <w:sym w:font="Symbol" w:char="F0B3"/>
      </w:r>
      <w:r w:rsidRPr="00912A5D">
        <w:rPr>
          <w:color w:val="000000"/>
          <w:szCs w:val="22"/>
          <w:lang w:val="fi-FI"/>
        </w:rPr>
        <w:t> 70-vuotiaita.</w:t>
      </w:r>
    </w:p>
    <w:p w14:paraId="586FC75C" w14:textId="77777777" w:rsidR="00311DC5" w:rsidRPr="00912A5D" w:rsidRDefault="00311DC5" w:rsidP="00311DC5">
      <w:pPr>
        <w:pStyle w:val="EndnoteText"/>
        <w:widowControl w:val="0"/>
        <w:tabs>
          <w:tab w:val="clear" w:pos="567"/>
        </w:tabs>
        <w:rPr>
          <w:color w:val="000000"/>
          <w:szCs w:val="22"/>
          <w:lang w:val="fi-FI"/>
        </w:rPr>
      </w:pPr>
    </w:p>
    <w:p w14:paraId="586FC75D" w14:textId="77777777" w:rsidR="00311DC5" w:rsidRPr="00912A5D" w:rsidRDefault="00311DC5" w:rsidP="00311DC5">
      <w:pPr>
        <w:pStyle w:val="EndnoteText"/>
        <w:widowControl w:val="0"/>
        <w:tabs>
          <w:tab w:val="clear" w:pos="567"/>
        </w:tabs>
        <w:rPr>
          <w:color w:val="000000"/>
          <w:szCs w:val="22"/>
          <w:lang w:val="fi-FI"/>
        </w:rPr>
      </w:pPr>
      <w:r w:rsidRPr="00912A5D">
        <w:rPr>
          <w:i/>
          <w:color w:val="000000"/>
          <w:szCs w:val="22"/>
          <w:lang w:val="fi-FI"/>
        </w:rPr>
        <w:t xml:space="preserve">Krooninen vaihe, vasta diagnosoidut potilaat: </w:t>
      </w:r>
      <w:smartTag w:uri="urn:schemas-microsoft-com:office:smarttags" w:element="State">
        <w:r w:rsidRPr="00912A5D">
          <w:rPr>
            <w:color w:val="000000"/>
            <w:szCs w:val="22"/>
            <w:lang w:val="fi-FI"/>
          </w:rPr>
          <w:t>III</w:t>
        </w:r>
      </w:smartTag>
      <w:r w:rsidRPr="00912A5D">
        <w:rPr>
          <w:color w:val="000000"/>
          <w:szCs w:val="22"/>
          <w:lang w:val="fi-FI"/>
        </w:rPr>
        <w:t> vaiheen tutkimuksessa aikuispotilailla verrattiin pelkkää Glivec-hoitoa yhdistelmähoitoon, jossa potilaat saivat alfa-interferonia ja sytarabiinia. Potilailla oli mahdollisuus vaihtaa toiseen hoitoryhmään, jos heillä ei saavutettu lainkaan hoitovastetta (täydellisen hematologisen vasteen puuttuminen kuuden kuukauden kohdalla, valkosolujen määrän kasvu, huomattavan sytogeneettisen vasteen puuttuminen 24 kuukauden kohdalla), jos hoitovaste hävisi (täydellisen hematologisen tai huomattavan sytogeneettisen vasteen häviäminen) tai jos he sietivät hoidon huonosti. Glivec-ryhmässä potilaita hoidettiin 400 mg:n vuorokausiannoksella. Alfa-interferoniryhmässä potilaat saivat alfa-interferonia subkutaanisesti tavoiteannoksen 5 MIU/m</w:t>
      </w:r>
      <w:r w:rsidRPr="00912A5D">
        <w:rPr>
          <w:color w:val="000000"/>
          <w:szCs w:val="22"/>
          <w:vertAlign w:val="superscript"/>
          <w:lang w:val="fi-FI"/>
        </w:rPr>
        <w:t>2</w:t>
      </w:r>
      <w:r w:rsidRPr="00912A5D">
        <w:rPr>
          <w:color w:val="000000"/>
          <w:szCs w:val="22"/>
          <w:lang w:val="fi-FI"/>
        </w:rPr>
        <w:t>/vrk, sekä subkutaanisesti sytarabiinia 20 mg/m</w:t>
      </w:r>
      <w:r w:rsidRPr="00912A5D">
        <w:rPr>
          <w:color w:val="000000"/>
          <w:szCs w:val="22"/>
          <w:vertAlign w:val="superscript"/>
          <w:lang w:val="fi-FI"/>
        </w:rPr>
        <w:t>2</w:t>
      </w:r>
      <w:r w:rsidRPr="00912A5D">
        <w:rPr>
          <w:color w:val="000000"/>
          <w:szCs w:val="22"/>
          <w:lang w:val="fi-FI"/>
        </w:rPr>
        <w:t>/vrk 10 päivän ajan kuukaudessa.</w:t>
      </w:r>
    </w:p>
    <w:p w14:paraId="586FC75E" w14:textId="77777777" w:rsidR="00311DC5" w:rsidRPr="00912A5D" w:rsidRDefault="00311DC5" w:rsidP="00311DC5">
      <w:pPr>
        <w:pStyle w:val="EndnoteText"/>
        <w:widowControl w:val="0"/>
        <w:tabs>
          <w:tab w:val="clear" w:pos="567"/>
        </w:tabs>
        <w:rPr>
          <w:color w:val="000000"/>
          <w:szCs w:val="22"/>
          <w:lang w:val="fi-FI"/>
        </w:rPr>
      </w:pPr>
    </w:p>
    <w:p w14:paraId="586FC75F"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Kaikkiaan 1 106 potilasta satunnaistettiin, 553 potilasta, molempiin hoitoryhmiin. Potilaiden ominaisuudet lähtötilanteessa olivat hyvin samankaltaiset molemmissa hoitoryhmissä. Potilaiden iän mediaani oli 51 vuotta (vaihteluväli 18–70 vuotta) ja 21,9 % potilaista oli ≥ 60 vuotiaita. Potilaista 59 % oli miehiä ja 41 % naisia; 89,9 % valkoihoisia ja 4,7 % tummaihoisia. </w:t>
      </w:r>
      <w:r>
        <w:rPr>
          <w:color w:val="000000"/>
          <w:szCs w:val="22"/>
          <w:lang w:val="fi-FI"/>
        </w:rPr>
        <w:t>Seitsemän</w:t>
      </w:r>
      <w:r w:rsidRPr="00912A5D">
        <w:rPr>
          <w:color w:val="000000"/>
          <w:szCs w:val="22"/>
          <w:lang w:val="fi-FI"/>
        </w:rPr>
        <w:t xml:space="preserve"> vuotta viimeisen potilaan rekrytoinnin jälkeen ensisijaishoidon mediaanikesto Glivec-ryhmässä oli </w:t>
      </w:r>
      <w:r>
        <w:rPr>
          <w:color w:val="000000"/>
          <w:szCs w:val="22"/>
          <w:lang w:val="fi-FI"/>
        </w:rPr>
        <w:t>82</w:t>
      </w:r>
      <w:r w:rsidRPr="00912A5D">
        <w:rPr>
          <w:color w:val="000000"/>
          <w:szCs w:val="22"/>
          <w:lang w:val="fi-FI"/>
        </w:rPr>
        <w:t xml:space="preserve"> kk ja alfainterferoniryhmässä 8 kk. Toissijaisen Glivec-hoidon mediaanikesto oli </w:t>
      </w:r>
      <w:r>
        <w:rPr>
          <w:color w:val="000000"/>
          <w:szCs w:val="22"/>
          <w:lang w:val="fi-FI"/>
        </w:rPr>
        <w:t>64</w:t>
      </w:r>
      <w:r w:rsidRPr="00912A5D">
        <w:rPr>
          <w:color w:val="000000"/>
          <w:szCs w:val="22"/>
          <w:lang w:val="fi-FI"/>
        </w:rPr>
        <w:t xml:space="preserve"> kk. Gliveciä ensisijaishoitona saaneiden potilaiden saama keskimääräinen vuorokausiannos oli </w:t>
      </w:r>
      <w:r>
        <w:rPr>
          <w:color w:val="000000"/>
          <w:szCs w:val="22"/>
          <w:lang w:val="fi-FI"/>
        </w:rPr>
        <w:t>406</w:t>
      </w:r>
      <w:r w:rsidRPr="00912A5D">
        <w:rPr>
          <w:color w:val="000000"/>
          <w:szCs w:val="22"/>
          <w:lang w:val="fi-FI"/>
        </w:rPr>
        <w:t> </w:t>
      </w:r>
      <w:r w:rsidRPr="00912A5D">
        <w:rPr>
          <w:color w:val="000000"/>
          <w:lang w:val="fi-FI"/>
        </w:rPr>
        <w:t>±</w:t>
      </w:r>
      <w:r w:rsidRPr="00912A5D">
        <w:rPr>
          <w:color w:val="000000"/>
          <w:szCs w:val="22"/>
          <w:lang w:val="fi-FI"/>
        </w:rPr>
        <w:t> </w:t>
      </w:r>
      <w:r>
        <w:rPr>
          <w:color w:val="000000"/>
          <w:szCs w:val="22"/>
          <w:lang w:val="fi-FI"/>
        </w:rPr>
        <w:t>76</w:t>
      </w:r>
      <w:r w:rsidRPr="00912A5D">
        <w:rPr>
          <w:color w:val="000000"/>
          <w:szCs w:val="22"/>
          <w:lang w:val="fi-FI"/>
        </w:rPr>
        <w:t> mg. Tutkimuksen ensisijainen tehokkuuspäätemuuttuja oli havaittu aika ilman merkkejä taudin etenemisestä. Taudin etenemisellä tarkoitettiin mitä tahansa seuraavista tapahtumista: taudin eteneminen akseleraatiovaiheeseen tai blastikriisiin; kuolema; täydellisen hematologisen vasteen tai huomattavan sytogeneettisen vasteen häviäminen; tai valkosolujen lukumäärän kasvu asianmukaisesta hoidosta huolimatta potilailla, joilla ei ole saavutettu täydellistä hematologista vastetta. Pääasiallisia toissijaisia päätemuuttujia olivat huomattava sytogeneettinen vaste, hematologinen vaste, molekulaarinen vaste (arvioitu minimaalinen jäljellä oleva tauti), taudin etenemiseen akseleraatiovaiheeseen tai blastikriisiin kulunut aika, sekä eloonjääminen. Vastetta koskevat tiedot on esitetty Taulukossa </w:t>
      </w:r>
      <w:r w:rsidR="0086657A">
        <w:rPr>
          <w:color w:val="000000"/>
          <w:szCs w:val="22"/>
          <w:lang w:val="fi-FI"/>
        </w:rPr>
        <w:t>2</w:t>
      </w:r>
      <w:r w:rsidRPr="00912A5D">
        <w:rPr>
          <w:color w:val="000000"/>
          <w:szCs w:val="22"/>
          <w:lang w:val="fi-FI"/>
        </w:rPr>
        <w:t>.</w:t>
      </w:r>
    </w:p>
    <w:p w14:paraId="586FC760" w14:textId="77777777" w:rsidR="00311DC5" w:rsidRPr="00912A5D" w:rsidRDefault="00311DC5" w:rsidP="00311DC5">
      <w:pPr>
        <w:pStyle w:val="EndnoteText"/>
        <w:widowControl w:val="0"/>
        <w:tabs>
          <w:tab w:val="clear" w:pos="567"/>
        </w:tabs>
        <w:rPr>
          <w:color w:val="000000"/>
          <w:szCs w:val="22"/>
          <w:lang w:val="fi-FI"/>
        </w:rPr>
      </w:pPr>
    </w:p>
    <w:p w14:paraId="586FC761" w14:textId="77777777" w:rsidR="00311DC5" w:rsidRPr="00912A5D" w:rsidRDefault="00311DC5" w:rsidP="00331A48">
      <w:pPr>
        <w:pStyle w:val="EndnoteText"/>
        <w:keepNext/>
        <w:keepLines/>
        <w:widowControl w:val="0"/>
        <w:tabs>
          <w:tab w:val="clear" w:pos="567"/>
          <w:tab w:val="left" w:pos="1418"/>
        </w:tabs>
        <w:ind w:left="1418" w:hanging="1418"/>
        <w:rPr>
          <w:b/>
          <w:color w:val="000000"/>
          <w:szCs w:val="22"/>
          <w:lang w:val="fi-FI"/>
        </w:rPr>
      </w:pPr>
      <w:r w:rsidRPr="00912A5D">
        <w:rPr>
          <w:b/>
          <w:color w:val="000000"/>
          <w:szCs w:val="22"/>
          <w:lang w:val="fi-FI"/>
        </w:rPr>
        <w:lastRenderedPageBreak/>
        <w:t>Taulukko </w:t>
      </w:r>
      <w:r w:rsidR="0086657A">
        <w:rPr>
          <w:b/>
          <w:color w:val="000000"/>
          <w:szCs w:val="22"/>
          <w:lang w:val="fi-FI"/>
        </w:rPr>
        <w:t>2</w:t>
      </w:r>
      <w:r w:rsidRPr="00912A5D">
        <w:rPr>
          <w:b/>
          <w:color w:val="000000"/>
          <w:szCs w:val="22"/>
          <w:lang w:val="fi-FI"/>
        </w:rPr>
        <w:tab/>
        <w:t>Vasteet kliinisessä tutkimuksessa koskien vasta diagnosoitua kroonista myelooista leukemiaa (</w:t>
      </w:r>
      <w:r>
        <w:rPr>
          <w:b/>
          <w:color w:val="000000"/>
          <w:szCs w:val="22"/>
          <w:lang w:val="fi-FI"/>
        </w:rPr>
        <w:t>84</w:t>
      </w:r>
      <w:r w:rsidRPr="00912A5D">
        <w:rPr>
          <w:b/>
          <w:color w:val="000000"/>
          <w:szCs w:val="22"/>
          <w:lang w:val="fi-FI"/>
        </w:rPr>
        <w:t> kuukauden tiedot)</w:t>
      </w:r>
    </w:p>
    <w:p w14:paraId="586FC762" w14:textId="77777777" w:rsidR="00311DC5" w:rsidRPr="00912A5D" w:rsidRDefault="00311DC5" w:rsidP="00331A48">
      <w:pPr>
        <w:pStyle w:val="EndnoteText"/>
        <w:keepNext/>
        <w:widowControl w:val="0"/>
        <w:rPr>
          <w:color w:val="000000"/>
          <w:szCs w:val="22"/>
          <w:lang w:val="fi-FI"/>
        </w:rPr>
      </w:pPr>
    </w:p>
    <w:tbl>
      <w:tblPr>
        <w:tblW w:w="9322" w:type="dxa"/>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4428"/>
        <w:gridCol w:w="2484"/>
        <w:gridCol w:w="2410"/>
      </w:tblGrid>
      <w:tr w:rsidR="00311DC5" w:rsidRPr="00912A5D" w14:paraId="586FC766" w14:textId="77777777" w:rsidTr="00331A48">
        <w:trPr>
          <w:cantSplit/>
        </w:trPr>
        <w:tc>
          <w:tcPr>
            <w:tcW w:w="4428" w:type="dxa"/>
            <w:tcBorders>
              <w:top w:val="single" w:sz="4" w:space="0" w:color="auto"/>
              <w:left w:val="single" w:sz="4" w:space="0" w:color="auto"/>
              <w:bottom w:val="nil"/>
              <w:right w:val="nil"/>
            </w:tcBorders>
          </w:tcPr>
          <w:p w14:paraId="586FC763"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c>
          <w:tcPr>
            <w:tcW w:w="2484" w:type="dxa"/>
            <w:tcBorders>
              <w:top w:val="single" w:sz="4" w:space="0" w:color="auto"/>
              <w:left w:val="nil"/>
              <w:bottom w:val="nil"/>
              <w:right w:val="nil"/>
            </w:tcBorders>
          </w:tcPr>
          <w:p w14:paraId="586FC764" w14:textId="77777777" w:rsidR="00311DC5" w:rsidRPr="00912A5D" w:rsidRDefault="00311DC5" w:rsidP="00331A48">
            <w:pPr>
              <w:pStyle w:val="Table"/>
              <w:keepLines w:val="0"/>
              <w:widowControl w:val="0"/>
              <w:spacing w:before="0" w:after="0"/>
              <w:jc w:val="center"/>
              <w:rPr>
                <w:rFonts w:ascii="Times New Roman" w:hAnsi="Times New Roman"/>
                <w:b/>
                <w:color w:val="000000"/>
                <w:sz w:val="22"/>
                <w:szCs w:val="22"/>
                <w:lang w:val="fi-FI"/>
              </w:rPr>
            </w:pPr>
            <w:r w:rsidRPr="00912A5D">
              <w:rPr>
                <w:rFonts w:ascii="Times New Roman" w:hAnsi="Times New Roman"/>
                <w:b/>
                <w:color w:val="000000"/>
                <w:sz w:val="22"/>
                <w:szCs w:val="22"/>
                <w:lang w:val="fi-FI"/>
              </w:rPr>
              <w:t>Glivec</w:t>
            </w:r>
          </w:p>
        </w:tc>
        <w:tc>
          <w:tcPr>
            <w:tcW w:w="2410" w:type="dxa"/>
            <w:tcBorders>
              <w:top w:val="single" w:sz="4" w:space="0" w:color="auto"/>
              <w:left w:val="nil"/>
              <w:bottom w:val="nil"/>
              <w:right w:val="single" w:sz="4" w:space="0" w:color="auto"/>
            </w:tcBorders>
          </w:tcPr>
          <w:p w14:paraId="586FC765" w14:textId="77777777" w:rsidR="00311DC5" w:rsidRPr="00912A5D" w:rsidRDefault="00311DC5" w:rsidP="00331A48">
            <w:pPr>
              <w:pStyle w:val="Table"/>
              <w:keepLines w:val="0"/>
              <w:widowControl w:val="0"/>
              <w:spacing w:before="0" w:after="0"/>
              <w:jc w:val="center"/>
              <w:rPr>
                <w:rFonts w:ascii="Times New Roman" w:hAnsi="Times New Roman"/>
                <w:b/>
                <w:color w:val="000000"/>
                <w:sz w:val="22"/>
                <w:szCs w:val="22"/>
                <w:lang w:val="fi-FI"/>
              </w:rPr>
            </w:pPr>
            <w:r w:rsidRPr="00912A5D">
              <w:rPr>
                <w:rFonts w:ascii="Times New Roman" w:hAnsi="Times New Roman"/>
                <w:b/>
                <w:color w:val="000000"/>
                <w:sz w:val="22"/>
                <w:szCs w:val="22"/>
                <w:lang w:val="fi-FI"/>
              </w:rPr>
              <w:t>Alfainterferoni + sytarabiini</w:t>
            </w:r>
          </w:p>
        </w:tc>
      </w:tr>
      <w:tr w:rsidR="00311DC5" w:rsidRPr="00912A5D" w14:paraId="586FC76A" w14:textId="77777777" w:rsidTr="00331A48">
        <w:trPr>
          <w:cantSplit/>
        </w:trPr>
        <w:tc>
          <w:tcPr>
            <w:tcW w:w="4428" w:type="dxa"/>
            <w:tcBorders>
              <w:top w:val="nil"/>
              <w:left w:val="single" w:sz="4" w:space="0" w:color="auto"/>
              <w:bottom w:val="single" w:sz="4" w:space="0" w:color="auto"/>
              <w:right w:val="nil"/>
            </w:tcBorders>
          </w:tcPr>
          <w:p w14:paraId="586FC767" w14:textId="77777777" w:rsidR="00311DC5" w:rsidRPr="00912A5D" w:rsidRDefault="00311DC5" w:rsidP="00331A48">
            <w:pPr>
              <w:pStyle w:val="Table"/>
              <w:keepLines w:val="0"/>
              <w:widowControl w:val="0"/>
              <w:spacing w:before="0" w:after="0"/>
              <w:rPr>
                <w:rFonts w:ascii="Times New Roman" w:hAnsi="Times New Roman"/>
                <w:b/>
                <w:color w:val="000000"/>
                <w:sz w:val="22"/>
                <w:szCs w:val="22"/>
                <w:lang w:val="fi-FI"/>
              </w:rPr>
            </w:pPr>
            <w:r w:rsidRPr="00912A5D">
              <w:rPr>
                <w:rFonts w:ascii="Times New Roman" w:hAnsi="Times New Roman"/>
                <w:b/>
                <w:color w:val="000000"/>
                <w:sz w:val="22"/>
                <w:szCs w:val="22"/>
                <w:lang w:val="fi-FI"/>
              </w:rPr>
              <w:t>(Parhaat vasteet)</w:t>
            </w:r>
          </w:p>
        </w:tc>
        <w:tc>
          <w:tcPr>
            <w:tcW w:w="2484" w:type="dxa"/>
            <w:tcBorders>
              <w:top w:val="nil"/>
              <w:left w:val="nil"/>
              <w:bottom w:val="single" w:sz="4" w:space="0" w:color="auto"/>
              <w:right w:val="nil"/>
            </w:tcBorders>
          </w:tcPr>
          <w:p w14:paraId="586FC768"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n=553</w:t>
            </w:r>
          </w:p>
        </w:tc>
        <w:tc>
          <w:tcPr>
            <w:tcW w:w="2410" w:type="dxa"/>
            <w:tcBorders>
              <w:top w:val="nil"/>
              <w:left w:val="nil"/>
              <w:bottom w:val="single" w:sz="4" w:space="0" w:color="auto"/>
              <w:right w:val="single" w:sz="4" w:space="0" w:color="auto"/>
            </w:tcBorders>
          </w:tcPr>
          <w:p w14:paraId="586FC769"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n=553</w:t>
            </w:r>
          </w:p>
        </w:tc>
      </w:tr>
      <w:tr w:rsidR="00311DC5" w:rsidRPr="00912A5D" w14:paraId="586FC76E" w14:textId="77777777" w:rsidTr="00331A48">
        <w:trPr>
          <w:cantSplit/>
        </w:trPr>
        <w:tc>
          <w:tcPr>
            <w:tcW w:w="4428" w:type="dxa"/>
            <w:tcBorders>
              <w:top w:val="nil"/>
              <w:left w:val="single" w:sz="4" w:space="0" w:color="auto"/>
              <w:bottom w:val="nil"/>
              <w:right w:val="nil"/>
            </w:tcBorders>
          </w:tcPr>
          <w:p w14:paraId="586FC76B" w14:textId="77777777" w:rsidR="00311DC5" w:rsidRPr="00912A5D" w:rsidRDefault="00311DC5" w:rsidP="00331A48">
            <w:pPr>
              <w:pStyle w:val="Table"/>
              <w:keepLines w:val="0"/>
              <w:widowControl w:val="0"/>
              <w:spacing w:before="0" w:after="0"/>
              <w:rPr>
                <w:rFonts w:ascii="Times New Roman" w:hAnsi="Times New Roman"/>
                <w:b/>
                <w:color w:val="000000"/>
                <w:sz w:val="22"/>
                <w:szCs w:val="22"/>
                <w:lang w:val="fi-FI"/>
              </w:rPr>
            </w:pPr>
            <w:r w:rsidRPr="00912A5D">
              <w:rPr>
                <w:rFonts w:ascii="Times New Roman" w:hAnsi="Times New Roman"/>
                <w:b/>
                <w:color w:val="000000"/>
                <w:sz w:val="22"/>
                <w:szCs w:val="22"/>
                <w:lang w:val="fi-FI"/>
              </w:rPr>
              <w:t>Hematologinen vaste</w:t>
            </w:r>
          </w:p>
        </w:tc>
        <w:tc>
          <w:tcPr>
            <w:tcW w:w="2484" w:type="dxa"/>
            <w:tcBorders>
              <w:top w:val="nil"/>
              <w:left w:val="nil"/>
              <w:bottom w:val="nil"/>
              <w:right w:val="nil"/>
            </w:tcBorders>
          </w:tcPr>
          <w:p w14:paraId="586FC76C" w14:textId="77777777" w:rsidR="00311DC5" w:rsidRPr="00912A5D" w:rsidRDefault="00311DC5" w:rsidP="00331A48">
            <w:pPr>
              <w:pStyle w:val="Table"/>
              <w:keepLines w:val="0"/>
              <w:widowControl w:val="0"/>
              <w:spacing w:before="0" w:after="0"/>
              <w:jc w:val="center"/>
              <w:rPr>
                <w:rFonts w:ascii="Times New Roman" w:hAnsi="Times New Roman"/>
                <w:b/>
                <w:color w:val="000000"/>
                <w:sz w:val="22"/>
                <w:szCs w:val="22"/>
                <w:lang w:val="fi-FI"/>
              </w:rPr>
            </w:pPr>
          </w:p>
        </w:tc>
        <w:tc>
          <w:tcPr>
            <w:tcW w:w="2410" w:type="dxa"/>
            <w:tcBorders>
              <w:top w:val="nil"/>
              <w:left w:val="nil"/>
              <w:bottom w:val="nil"/>
              <w:right w:val="single" w:sz="4" w:space="0" w:color="auto"/>
            </w:tcBorders>
          </w:tcPr>
          <w:p w14:paraId="586FC76D" w14:textId="77777777" w:rsidR="00311DC5" w:rsidRPr="00912A5D" w:rsidRDefault="00311DC5" w:rsidP="00331A48">
            <w:pPr>
              <w:pStyle w:val="Table"/>
              <w:keepLines w:val="0"/>
              <w:widowControl w:val="0"/>
              <w:spacing w:before="0" w:after="0"/>
              <w:jc w:val="center"/>
              <w:rPr>
                <w:rFonts w:ascii="Times New Roman" w:hAnsi="Times New Roman"/>
                <w:b/>
                <w:color w:val="000000"/>
                <w:sz w:val="22"/>
                <w:szCs w:val="22"/>
                <w:lang w:val="fi-FI"/>
              </w:rPr>
            </w:pPr>
          </w:p>
        </w:tc>
      </w:tr>
      <w:tr w:rsidR="00311DC5" w:rsidRPr="00912A5D" w14:paraId="586FC772" w14:textId="77777777" w:rsidTr="00331A48">
        <w:trPr>
          <w:cantSplit/>
        </w:trPr>
        <w:tc>
          <w:tcPr>
            <w:tcW w:w="4428" w:type="dxa"/>
            <w:tcBorders>
              <w:top w:val="nil"/>
              <w:left w:val="single" w:sz="4" w:space="0" w:color="auto"/>
              <w:bottom w:val="nil"/>
              <w:right w:val="nil"/>
            </w:tcBorders>
          </w:tcPr>
          <w:p w14:paraId="586FC76F"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Täydellisten hematologisten vasteiden määrä n (%)</w:t>
            </w:r>
          </w:p>
        </w:tc>
        <w:tc>
          <w:tcPr>
            <w:tcW w:w="2484" w:type="dxa"/>
            <w:tcBorders>
              <w:top w:val="nil"/>
              <w:left w:val="nil"/>
              <w:bottom w:val="nil"/>
              <w:right w:val="nil"/>
            </w:tcBorders>
          </w:tcPr>
          <w:p w14:paraId="586FC770"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534 (96,6 %)*</w:t>
            </w:r>
          </w:p>
        </w:tc>
        <w:tc>
          <w:tcPr>
            <w:tcW w:w="2410" w:type="dxa"/>
            <w:tcBorders>
              <w:top w:val="nil"/>
              <w:left w:val="nil"/>
              <w:bottom w:val="nil"/>
              <w:right w:val="single" w:sz="4" w:space="0" w:color="auto"/>
            </w:tcBorders>
          </w:tcPr>
          <w:p w14:paraId="586FC771"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313 (56,6 %)*</w:t>
            </w:r>
          </w:p>
        </w:tc>
      </w:tr>
      <w:tr w:rsidR="00311DC5" w:rsidRPr="00912A5D" w14:paraId="586FC776" w14:textId="77777777" w:rsidTr="00331A48">
        <w:trPr>
          <w:cantSplit/>
        </w:trPr>
        <w:tc>
          <w:tcPr>
            <w:tcW w:w="4428" w:type="dxa"/>
            <w:tcBorders>
              <w:top w:val="nil"/>
              <w:left w:val="single" w:sz="4" w:space="0" w:color="auto"/>
              <w:bottom w:val="nil"/>
              <w:right w:val="nil"/>
            </w:tcBorders>
          </w:tcPr>
          <w:p w14:paraId="586FC773"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b/>
              <w:t>[95 %:n luottamusväli]</w:t>
            </w:r>
          </w:p>
        </w:tc>
        <w:tc>
          <w:tcPr>
            <w:tcW w:w="2484" w:type="dxa"/>
            <w:tcBorders>
              <w:top w:val="nil"/>
              <w:left w:val="nil"/>
              <w:bottom w:val="nil"/>
              <w:right w:val="nil"/>
            </w:tcBorders>
          </w:tcPr>
          <w:p w14:paraId="586FC774"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[94,7 %; 97,9 %]</w:t>
            </w:r>
          </w:p>
        </w:tc>
        <w:tc>
          <w:tcPr>
            <w:tcW w:w="2410" w:type="dxa"/>
            <w:tcBorders>
              <w:top w:val="nil"/>
              <w:left w:val="nil"/>
              <w:bottom w:val="nil"/>
              <w:right w:val="single" w:sz="4" w:space="0" w:color="auto"/>
            </w:tcBorders>
          </w:tcPr>
          <w:p w14:paraId="586FC775"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[52,4 %; 60,8 %]</w:t>
            </w:r>
          </w:p>
        </w:tc>
      </w:tr>
      <w:tr w:rsidR="00311DC5" w:rsidRPr="00912A5D" w14:paraId="586FC77A" w14:textId="77777777" w:rsidTr="00331A48">
        <w:trPr>
          <w:cantSplit/>
        </w:trPr>
        <w:tc>
          <w:tcPr>
            <w:tcW w:w="4428" w:type="dxa"/>
            <w:tcBorders>
              <w:top w:val="nil"/>
              <w:left w:val="single" w:sz="4" w:space="0" w:color="auto"/>
              <w:bottom w:val="nil"/>
              <w:right w:val="nil"/>
            </w:tcBorders>
          </w:tcPr>
          <w:p w14:paraId="586FC777"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c>
          <w:tcPr>
            <w:tcW w:w="2484" w:type="dxa"/>
            <w:tcBorders>
              <w:top w:val="nil"/>
              <w:left w:val="nil"/>
              <w:bottom w:val="nil"/>
              <w:right w:val="nil"/>
            </w:tcBorders>
          </w:tcPr>
          <w:p w14:paraId="586FC778"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c>
          <w:tcPr>
            <w:tcW w:w="2410" w:type="dxa"/>
            <w:tcBorders>
              <w:top w:val="nil"/>
              <w:left w:val="nil"/>
              <w:bottom w:val="nil"/>
              <w:right w:val="single" w:sz="4" w:space="0" w:color="auto"/>
            </w:tcBorders>
          </w:tcPr>
          <w:p w14:paraId="586FC779"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r>
      <w:tr w:rsidR="00311DC5" w:rsidRPr="00912A5D" w14:paraId="586FC77E" w14:textId="77777777" w:rsidTr="00331A48">
        <w:trPr>
          <w:cantSplit/>
        </w:trPr>
        <w:tc>
          <w:tcPr>
            <w:tcW w:w="4428" w:type="dxa"/>
            <w:tcBorders>
              <w:top w:val="nil"/>
              <w:left w:val="single" w:sz="4" w:space="0" w:color="auto"/>
              <w:bottom w:val="nil"/>
              <w:right w:val="nil"/>
            </w:tcBorders>
          </w:tcPr>
          <w:p w14:paraId="586FC77B" w14:textId="77777777" w:rsidR="00311DC5" w:rsidRPr="00912A5D" w:rsidRDefault="00311DC5" w:rsidP="00331A48">
            <w:pPr>
              <w:pStyle w:val="Table"/>
              <w:keepLines w:val="0"/>
              <w:widowControl w:val="0"/>
              <w:spacing w:before="0" w:after="0"/>
              <w:rPr>
                <w:rFonts w:ascii="Times New Roman" w:hAnsi="Times New Roman"/>
                <w:b/>
                <w:color w:val="000000"/>
                <w:sz w:val="22"/>
                <w:szCs w:val="22"/>
                <w:lang w:val="fi-FI"/>
              </w:rPr>
            </w:pPr>
            <w:r w:rsidRPr="00912A5D">
              <w:rPr>
                <w:rFonts w:ascii="Times New Roman" w:hAnsi="Times New Roman"/>
                <w:b/>
                <w:color w:val="000000"/>
                <w:sz w:val="22"/>
                <w:szCs w:val="22"/>
                <w:lang w:val="fi-FI"/>
              </w:rPr>
              <w:t>Sytogeneettinen vaste</w:t>
            </w:r>
          </w:p>
        </w:tc>
        <w:tc>
          <w:tcPr>
            <w:tcW w:w="2484" w:type="dxa"/>
            <w:tcBorders>
              <w:top w:val="nil"/>
              <w:left w:val="nil"/>
              <w:bottom w:val="nil"/>
              <w:right w:val="nil"/>
            </w:tcBorders>
          </w:tcPr>
          <w:p w14:paraId="586FC77C" w14:textId="77777777" w:rsidR="00311DC5" w:rsidRPr="00912A5D" w:rsidRDefault="00311DC5" w:rsidP="00331A48">
            <w:pPr>
              <w:pStyle w:val="Table"/>
              <w:keepLines w:val="0"/>
              <w:widowControl w:val="0"/>
              <w:spacing w:before="0" w:after="0"/>
              <w:rPr>
                <w:rFonts w:ascii="Times New Roman" w:hAnsi="Times New Roman"/>
                <w:b/>
                <w:color w:val="000000"/>
                <w:sz w:val="22"/>
                <w:szCs w:val="22"/>
                <w:lang w:val="fi-FI"/>
              </w:rPr>
            </w:pPr>
          </w:p>
        </w:tc>
        <w:tc>
          <w:tcPr>
            <w:tcW w:w="2410" w:type="dxa"/>
            <w:tcBorders>
              <w:top w:val="nil"/>
              <w:left w:val="nil"/>
              <w:bottom w:val="nil"/>
              <w:right w:val="single" w:sz="4" w:space="0" w:color="auto"/>
            </w:tcBorders>
          </w:tcPr>
          <w:p w14:paraId="586FC77D" w14:textId="77777777" w:rsidR="00311DC5" w:rsidRPr="00912A5D" w:rsidRDefault="00311DC5" w:rsidP="00331A48">
            <w:pPr>
              <w:pStyle w:val="Table"/>
              <w:keepLines w:val="0"/>
              <w:widowControl w:val="0"/>
              <w:spacing w:before="0" w:after="0"/>
              <w:rPr>
                <w:rFonts w:ascii="Times New Roman" w:hAnsi="Times New Roman"/>
                <w:b/>
                <w:color w:val="000000"/>
                <w:sz w:val="22"/>
                <w:szCs w:val="22"/>
                <w:lang w:val="fi-FI"/>
              </w:rPr>
            </w:pPr>
          </w:p>
        </w:tc>
      </w:tr>
      <w:tr w:rsidR="00311DC5" w:rsidRPr="00912A5D" w14:paraId="586FC782" w14:textId="77777777" w:rsidTr="00331A48">
        <w:trPr>
          <w:cantSplit/>
        </w:trPr>
        <w:tc>
          <w:tcPr>
            <w:tcW w:w="4428" w:type="dxa"/>
            <w:tcBorders>
              <w:top w:val="nil"/>
              <w:left w:val="single" w:sz="4" w:space="0" w:color="auto"/>
              <w:bottom w:val="nil"/>
              <w:right w:val="nil"/>
            </w:tcBorders>
          </w:tcPr>
          <w:p w14:paraId="586FC77F"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Huomattava vaste n (%)</w:t>
            </w:r>
          </w:p>
        </w:tc>
        <w:tc>
          <w:tcPr>
            <w:tcW w:w="2484" w:type="dxa"/>
            <w:tcBorders>
              <w:top w:val="nil"/>
              <w:left w:val="nil"/>
              <w:bottom w:val="nil"/>
              <w:right w:val="nil"/>
            </w:tcBorders>
          </w:tcPr>
          <w:p w14:paraId="586FC780"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490 (88,6 %)*</w:t>
            </w:r>
          </w:p>
        </w:tc>
        <w:tc>
          <w:tcPr>
            <w:tcW w:w="2410" w:type="dxa"/>
            <w:tcBorders>
              <w:top w:val="nil"/>
              <w:left w:val="nil"/>
              <w:bottom w:val="nil"/>
              <w:right w:val="single" w:sz="4" w:space="0" w:color="auto"/>
            </w:tcBorders>
          </w:tcPr>
          <w:p w14:paraId="586FC781"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129 (23,3 %)*</w:t>
            </w:r>
          </w:p>
        </w:tc>
      </w:tr>
      <w:tr w:rsidR="00311DC5" w:rsidRPr="00912A5D" w14:paraId="586FC786" w14:textId="77777777" w:rsidTr="00331A48">
        <w:trPr>
          <w:cantSplit/>
        </w:trPr>
        <w:tc>
          <w:tcPr>
            <w:tcW w:w="4428" w:type="dxa"/>
            <w:tcBorders>
              <w:top w:val="nil"/>
              <w:left w:val="single" w:sz="4" w:space="0" w:color="auto"/>
              <w:bottom w:val="nil"/>
              <w:right w:val="nil"/>
            </w:tcBorders>
          </w:tcPr>
          <w:p w14:paraId="586FC783"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b/>
              <w:t>[95 %:n luottamusväli]</w:t>
            </w:r>
          </w:p>
        </w:tc>
        <w:tc>
          <w:tcPr>
            <w:tcW w:w="2484" w:type="dxa"/>
            <w:tcBorders>
              <w:top w:val="nil"/>
              <w:left w:val="nil"/>
              <w:bottom w:val="nil"/>
              <w:right w:val="nil"/>
            </w:tcBorders>
          </w:tcPr>
          <w:p w14:paraId="586FC784"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[85,7 %; 91,1 %]</w:t>
            </w:r>
          </w:p>
        </w:tc>
        <w:tc>
          <w:tcPr>
            <w:tcW w:w="2410" w:type="dxa"/>
            <w:tcBorders>
              <w:top w:val="nil"/>
              <w:left w:val="nil"/>
              <w:bottom w:val="nil"/>
              <w:right w:val="single" w:sz="4" w:space="0" w:color="auto"/>
            </w:tcBorders>
          </w:tcPr>
          <w:p w14:paraId="586FC785"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[19,9 %; 27,1 %]</w:t>
            </w:r>
          </w:p>
        </w:tc>
      </w:tr>
      <w:tr w:rsidR="00311DC5" w:rsidRPr="00912A5D" w14:paraId="586FC78A" w14:textId="77777777" w:rsidTr="00331A48">
        <w:trPr>
          <w:cantSplit/>
        </w:trPr>
        <w:tc>
          <w:tcPr>
            <w:tcW w:w="4428" w:type="dxa"/>
            <w:tcBorders>
              <w:top w:val="nil"/>
              <w:left w:val="single" w:sz="4" w:space="0" w:color="auto"/>
              <w:bottom w:val="nil"/>
              <w:right w:val="nil"/>
            </w:tcBorders>
          </w:tcPr>
          <w:p w14:paraId="586FC787"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b/>
              <w:t>Täydellinen sytogeneettinen vaste n (%)</w:t>
            </w:r>
          </w:p>
        </w:tc>
        <w:tc>
          <w:tcPr>
            <w:tcW w:w="2484" w:type="dxa"/>
            <w:tcBorders>
              <w:top w:val="nil"/>
              <w:left w:val="nil"/>
              <w:bottom w:val="nil"/>
              <w:right w:val="nil"/>
            </w:tcBorders>
          </w:tcPr>
          <w:p w14:paraId="586FC788"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456</w:t>
            </w:r>
            <w:r w:rsidRPr="00912A5D">
              <w:rPr>
                <w:rFonts w:ascii="Times New Roman" w:hAnsi="Times New Roman"/>
                <w:color w:val="000000"/>
                <w:sz w:val="22"/>
                <w:szCs w:val="22"/>
                <w:lang w:val="fi-FI"/>
              </w:rPr>
              <w:t> (82,</w:t>
            </w:r>
            <w:r>
              <w:rPr>
                <w:rFonts w:ascii="Times New Roman" w:hAnsi="Times New Roman"/>
                <w:color w:val="000000"/>
                <w:sz w:val="22"/>
                <w:szCs w:val="22"/>
                <w:lang w:val="fi-FI"/>
              </w:rPr>
              <w:t>5</w:t>
            </w:r>
            <w:r w:rsidRPr="00912A5D">
              <w:rPr>
                <w:rFonts w:ascii="Times New Roman" w:hAnsi="Times New Roman"/>
                <w:color w:val="000000"/>
                <w:sz w:val="22"/>
                <w:szCs w:val="22"/>
                <w:lang w:val="fi-FI"/>
              </w:rPr>
              <w:t> %)*</w:t>
            </w:r>
          </w:p>
        </w:tc>
        <w:tc>
          <w:tcPr>
            <w:tcW w:w="2410" w:type="dxa"/>
            <w:tcBorders>
              <w:top w:val="nil"/>
              <w:left w:val="nil"/>
              <w:bottom w:val="nil"/>
              <w:right w:val="single" w:sz="4" w:space="0" w:color="auto"/>
            </w:tcBorders>
          </w:tcPr>
          <w:p w14:paraId="586FC789"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64 (11,6 %)*</w:t>
            </w:r>
          </w:p>
        </w:tc>
      </w:tr>
      <w:tr w:rsidR="00311DC5" w:rsidRPr="00912A5D" w14:paraId="586FC78E" w14:textId="77777777" w:rsidTr="00331A48">
        <w:trPr>
          <w:cantSplit/>
        </w:trPr>
        <w:tc>
          <w:tcPr>
            <w:tcW w:w="4428" w:type="dxa"/>
            <w:tcBorders>
              <w:top w:val="nil"/>
              <w:left w:val="single" w:sz="4" w:space="0" w:color="auto"/>
              <w:bottom w:val="nil"/>
              <w:right w:val="nil"/>
            </w:tcBorders>
          </w:tcPr>
          <w:p w14:paraId="586FC78B"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ab/>
              <w:t>Osittainen sytogeneettinen vaste n (%)</w:t>
            </w:r>
          </w:p>
        </w:tc>
        <w:tc>
          <w:tcPr>
            <w:tcW w:w="2484" w:type="dxa"/>
            <w:tcBorders>
              <w:top w:val="nil"/>
              <w:left w:val="nil"/>
              <w:bottom w:val="nil"/>
              <w:right w:val="nil"/>
            </w:tcBorders>
          </w:tcPr>
          <w:p w14:paraId="586FC78C"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34</w:t>
            </w:r>
            <w:r w:rsidRPr="00912A5D">
              <w:rPr>
                <w:rFonts w:ascii="Times New Roman" w:hAnsi="Times New Roman"/>
                <w:color w:val="000000"/>
                <w:sz w:val="22"/>
                <w:szCs w:val="22"/>
                <w:lang w:val="fi-FI"/>
              </w:rPr>
              <w:t> (6,</w:t>
            </w:r>
            <w:r>
              <w:rPr>
                <w:rFonts w:ascii="Times New Roman" w:hAnsi="Times New Roman"/>
                <w:color w:val="000000"/>
                <w:sz w:val="22"/>
                <w:szCs w:val="22"/>
                <w:lang w:val="fi-FI"/>
              </w:rPr>
              <w:t>1</w:t>
            </w:r>
            <w:r w:rsidRPr="00912A5D">
              <w:rPr>
                <w:rFonts w:ascii="Times New Roman" w:hAnsi="Times New Roman"/>
                <w:color w:val="000000"/>
                <w:sz w:val="22"/>
                <w:szCs w:val="22"/>
                <w:lang w:val="fi-FI"/>
              </w:rPr>
              <w:t> %)</w:t>
            </w:r>
          </w:p>
        </w:tc>
        <w:tc>
          <w:tcPr>
            <w:tcW w:w="2410" w:type="dxa"/>
            <w:tcBorders>
              <w:top w:val="nil"/>
              <w:left w:val="nil"/>
              <w:bottom w:val="nil"/>
              <w:right w:val="single" w:sz="4" w:space="0" w:color="auto"/>
            </w:tcBorders>
          </w:tcPr>
          <w:p w14:paraId="586FC78D"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sidRPr="00912A5D">
              <w:rPr>
                <w:rFonts w:ascii="Times New Roman" w:hAnsi="Times New Roman"/>
                <w:color w:val="000000"/>
                <w:sz w:val="22"/>
                <w:szCs w:val="22"/>
                <w:lang w:val="fi-FI"/>
              </w:rPr>
              <w:t>65 (11,8 %)</w:t>
            </w:r>
          </w:p>
        </w:tc>
      </w:tr>
      <w:tr w:rsidR="00311DC5" w:rsidRPr="00912A5D" w14:paraId="586FC792" w14:textId="77777777" w:rsidTr="00331A48">
        <w:trPr>
          <w:cantSplit/>
        </w:trPr>
        <w:tc>
          <w:tcPr>
            <w:tcW w:w="4428" w:type="dxa"/>
            <w:tcBorders>
              <w:top w:val="nil"/>
              <w:left w:val="single" w:sz="4" w:space="0" w:color="auto"/>
              <w:bottom w:val="nil"/>
              <w:right w:val="nil"/>
            </w:tcBorders>
          </w:tcPr>
          <w:p w14:paraId="586FC78F"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c>
          <w:tcPr>
            <w:tcW w:w="2484" w:type="dxa"/>
            <w:tcBorders>
              <w:top w:val="nil"/>
              <w:left w:val="nil"/>
              <w:bottom w:val="nil"/>
              <w:right w:val="nil"/>
            </w:tcBorders>
          </w:tcPr>
          <w:p w14:paraId="586FC790"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c>
          <w:tcPr>
            <w:tcW w:w="2410" w:type="dxa"/>
            <w:tcBorders>
              <w:top w:val="nil"/>
              <w:left w:val="nil"/>
              <w:bottom w:val="nil"/>
              <w:right w:val="single" w:sz="4" w:space="0" w:color="auto"/>
            </w:tcBorders>
          </w:tcPr>
          <w:p w14:paraId="586FC791"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r>
      <w:tr w:rsidR="00311DC5" w:rsidRPr="00912A5D" w14:paraId="586FC796" w14:textId="77777777" w:rsidTr="00331A48">
        <w:trPr>
          <w:cantSplit/>
        </w:trPr>
        <w:tc>
          <w:tcPr>
            <w:tcW w:w="4428" w:type="dxa"/>
            <w:tcBorders>
              <w:top w:val="nil"/>
              <w:left w:val="single" w:sz="4" w:space="0" w:color="auto"/>
              <w:bottom w:val="nil"/>
              <w:right w:val="nil"/>
            </w:tcBorders>
          </w:tcPr>
          <w:p w14:paraId="586FC793"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b/>
                <w:color w:val="000000"/>
                <w:sz w:val="22"/>
                <w:szCs w:val="22"/>
                <w:lang w:val="fi-FI"/>
              </w:rPr>
              <w:t>Molekulaarinen vaste</w:t>
            </w:r>
            <w:r w:rsidRPr="0012589E">
              <w:rPr>
                <w:rFonts w:ascii="Times New Roman" w:hAnsi="Times New Roman"/>
                <w:color w:val="000000"/>
                <w:sz w:val="22"/>
                <w:szCs w:val="22"/>
                <w:lang w:val="fi-FI"/>
              </w:rPr>
              <w:t>**</w:t>
            </w:r>
          </w:p>
        </w:tc>
        <w:tc>
          <w:tcPr>
            <w:tcW w:w="2484" w:type="dxa"/>
            <w:tcBorders>
              <w:top w:val="nil"/>
              <w:left w:val="nil"/>
              <w:bottom w:val="nil"/>
              <w:right w:val="nil"/>
            </w:tcBorders>
          </w:tcPr>
          <w:p w14:paraId="586FC794"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c>
          <w:tcPr>
            <w:tcW w:w="2410" w:type="dxa"/>
            <w:tcBorders>
              <w:top w:val="nil"/>
              <w:left w:val="nil"/>
              <w:bottom w:val="nil"/>
              <w:right w:val="single" w:sz="4" w:space="0" w:color="auto"/>
            </w:tcBorders>
          </w:tcPr>
          <w:p w14:paraId="586FC795"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p>
        </w:tc>
      </w:tr>
      <w:tr w:rsidR="00311DC5" w:rsidRPr="00912A5D" w14:paraId="586FC79A" w14:textId="77777777" w:rsidTr="00331A48">
        <w:trPr>
          <w:cantSplit/>
        </w:trPr>
        <w:tc>
          <w:tcPr>
            <w:tcW w:w="4428" w:type="dxa"/>
            <w:tcBorders>
              <w:top w:val="nil"/>
              <w:left w:val="single" w:sz="4" w:space="0" w:color="auto"/>
              <w:bottom w:val="nil"/>
              <w:right w:val="nil"/>
            </w:tcBorders>
          </w:tcPr>
          <w:p w14:paraId="586FC797"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Huomattava vaste 12 kuukauden kohdalla (%)</w:t>
            </w:r>
          </w:p>
        </w:tc>
        <w:tc>
          <w:tcPr>
            <w:tcW w:w="2484" w:type="dxa"/>
            <w:tcBorders>
              <w:top w:val="nil"/>
              <w:left w:val="nil"/>
              <w:bottom w:val="nil"/>
              <w:right w:val="nil"/>
            </w:tcBorders>
          </w:tcPr>
          <w:p w14:paraId="586FC798"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153/305=50,2 %</w:t>
            </w:r>
          </w:p>
        </w:tc>
        <w:tc>
          <w:tcPr>
            <w:tcW w:w="2410" w:type="dxa"/>
            <w:tcBorders>
              <w:top w:val="nil"/>
              <w:left w:val="nil"/>
              <w:bottom w:val="nil"/>
              <w:right w:val="single" w:sz="4" w:space="0" w:color="auto"/>
            </w:tcBorders>
          </w:tcPr>
          <w:p w14:paraId="586FC799"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8/83=9,6 %</w:t>
            </w:r>
          </w:p>
        </w:tc>
      </w:tr>
      <w:tr w:rsidR="00311DC5" w:rsidRPr="00912A5D" w14:paraId="586FC79E" w14:textId="77777777" w:rsidTr="00331A48">
        <w:trPr>
          <w:cantSplit/>
        </w:trPr>
        <w:tc>
          <w:tcPr>
            <w:tcW w:w="4428" w:type="dxa"/>
            <w:tcBorders>
              <w:top w:val="nil"/>
              <w:left w:val="single" w:sz="4" w:space="0" w:color="auto"/>
              <w:bottom w:val="nil"/>
              <w:right w:val="nil"/>
            </w:tcBorders>
          </w:tcPr>
          <w:p w14:paraId="586FC79B"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Huomattava vaste 24 kuukauden kohdalla (%)</w:t>
            </w:r>
          </w:p>
        </w:tc>
        <w:tc>
          <w:tcPr>
            <w:tcW w:w="2484" w:type="dxa"/>
            <w:tcBorders>
              <w:top w:val="nil"/>
              <w:left w:val="nil"/>
              <w:bottom w:val="nil"/>
              <w:right w:val="nil"/>
            </w:tcBorders>
          </w:tcPr>
          <w:p w14:paraId="586FC79C"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73/107=70,2 %</w:t>
            </w:r>
          </w:p>
        </w:tc>
        <w:tc>
          <w:tcPr>
            <w:tcW w:w="2410" w:type="dxa"/>
            <w:tcBorders>
              <w:top w:val="nil"/>
              <w:left w:val="nil"/>
              <w:bottom w:val="nil"/>
              <w:right w:val="single" w:sz="4" w:space="0" w:color="auto"/>
            </w:tcBorders>
          </w:tcPr>
          <w:p w14:paraId="586FC79D" w14:textId="77777777" w:rsidR="00311DC5" w:rsidRPr="00912A5D" w:rsidRDefault="00311DC5" w:rsidP="00331A48">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3/12=25 %</w:t>
            </w:r>
          </w:p>
        </w:tc>
      </w:tr>
      <w:tr w:rsidR="00311DC5" w:rsidRPr="00912A5D" w14:paraId="586FC7A2" w14:textId="77777777" w:rsidTr="00331A48">
        <w:trPr>
          <w:cantSplit/>
        </w:trPr>
        <w:tc>
          <w:tcPr>
            <w:tcW w:w="4428" w:type="dxa"/>
            <w:tcBorders>
              <w:top w:val="nil"/>
              <w:left w:val="single" w:sz="4" w:space="0" w:color="auto"/>
              <w:bottom w:val="nil"/>
              <w:right w:val="nil"/>
            </w:tcBorders>
          </w:tcPr>
          <w:p w14:paraId="586FC79F" w14:textId="77777777" w:rsidR="00311DC5" w:rsidRPr="00912A5D" w:rsidRDefault="00311DC5" w:rsidP="00331A48">
            <w:pPr>
              <w:pStyle w:val="Table"/>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Huomattava vaste </w:t>
            </w:r>
            <w:r>
              <w:rPr>
                <w:rFonts w:ascii="Times New Roman" w:hAnsi="Times New Roman"/>
                <w:color w:val="000000"/>
                <w:sz w:val="22"/>
                <w:szCs w:val="22"/>
                <w:lang w:val="fi-FI"/>
              </w:rPr>
              <w:t>84</w:t>
            </w:r>
            <w:r w:rsidRPr="00912A5D">
              <w:rPr>
                <w:rFonts w:ascii="Times New Roman" w:hAnsi="Times New Roman"/>
                <w:color w:val="000000"/>
                <w:sz w:val="22"/>
                <w:szCs w:val="22"/>
                <w:lang w:val="fi-FI"/>
              </w:rPr>
              <w:t> kuukauden kohdalla (%)</w:t>
            </w:r>
          </w:p>
        </w:tc>
        <w:tc>
          <w:tcPr>
            <w:tcW w:w="2484" w:type="dxa"/>
            <w:tcBorders>
              <w:top w:val="nil"/>
              <w:left w:val="nil"/>
              <w:bottom w:val="nil"/>
              <w:right w:val="nil"/>
            </w:tcBorders>
          </w:tcPr>
          <w:p w14:paraId="586FC7A0" w14:textId="77777777" w:rsidR="00311DC5" w:rsidRPr="00912A5D" w:rsidDel="00534896" w:rsidRDefault="00311DC5" w:rsidP="00331A48">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102/116=87,9 %</w:t>
            </w:r>
          </w:p>
        </w:tc>
        <w:tc>
          <w:tcPr>
            <w:tcW w:w="2410" w:type="dxa"/>
            <w:tcBorders>
              <w:top w:val="nil"/>
              <w:left w:val="nil"/>
              <w:bottom w:val="nil"/>
              <w:right w:val="single" w:sz="4" w:space="0" w:color="auto"/>
            </w:tcBorders>
          </w:tcPr>
          <w:p w14:paraId="586FC7A1" w14:textId="77777777" w:rsidR="00311DC5" w:rsidRPr="00912A5D" w:rsidDel="00534896" w:rsidRDefault="00311DC5" w:rsidP="00331A48">
            <w:pPr>
              <w:pStyle w:val="Table"/>
              <w:keepLines w:val="0"/>
              <w:widowControl w:val="0"/>
              <w:spacing w:before="0" w:after="0"/>
              <w:jc w:val="center"/>
              <w:rPr>
                <w:rFonts w:ascii="Times New Roman" w:hAnsi="Times New Roman"/>
                <w:color w:val="000000"/>
                <w:sz w:val="22"/>
                <w:szCs w:val="22"/>
                <w:lang w:val="fi-FI"/>
              </w:rPr>
            </w:pPr>
            <w:r>
              <w:rPr>
                <w:rFonts w:ascii="Times New Roman" w:hAnsi="Times New Roman"/>
                <w:color w:val="000000"/>
                <w:sz w:val="22"/>
                <w:szCs w:val="22"/>
                <w:lang w:val="fi-FI"/>
              </w:rPr>
              <w:t>3/4=75 %</w:t>
            </w:r>
          </w:p>
        </w:tc>
      </w:tr>
      <w:tr w:rsidR="00311DC5" w:rsidRPr="00912A5D" w14:paraId="586FC7A9" w14:textId="77777777" w:rsidTr="00331A48">
        <w:trPr>
          <w:cantSplit/>
        </w:trPr>
        <w:tc>
          <w:tcPr>
            <w:tcW w:w="9322" w:type="dxa"/>
            <w:gridSpan w:val="3"/>
            <w:tcBorders>
              <w:top w:val="single" w:sz="4" w:space="0" w:color="auto"/>
              <w:left w:val="single" w:sz="4" w:space="0" w:color="auto"/>
              <w:bottom w:val="single" w:sz="4" w:space="0" w:color="auto"/>
              <w:right w:val="single" w:sz="4" w:space="0" w:color="auto"/>
            </w:tcBorders>
          </w:tcPr>
          <w:p w14:paraId="586FC7A3" w14:textId="77777777" w:rsidR="00311DC5" w:rsidRPr="00912A5D" w:rsidRDefault="00311DC5" w:rsidP="008238ED">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 p&lt;0,001, Fisherin eksakti testi</w:t>
            </w:r>
          </w:p>
          <w:p w14:paraId="586FC7A4" w14:textId="77777777" w:rsidR="00311DC5" w:rsidRPr="00912A5D" w:rsidRDefault="00311DC5" w:rsidP="008238ED">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 </w:t>
            </w:r>
            <w:r>
              <w:rPr>
                <w:rFonts w:ascii="Times New Roman" w:hAnsi="Times New Roman"/>
                <w:color w:val="000000"/>
                <w:sz w:val="22"/>
                <w:szCs w:val="22"/>
                <w:lang w:val="fi-FI"/>
              </w:rPr>
              <w:t>molekulaarinen vaste prosentteina perustuvat saatavilla oleviin näytteisiin</w:t>
            </w:r>
          </w:p>
          <w:p w14:paraId="586FC7A5" w14:textId="77777777" w:rsidR="00311DC5" w:rsidRPr="00912A5D" w:rsidRDefault="00311DC5" w:rsidP="008238ED">
            <w:pPr>
              <w:pStyle w:val="Table"/>
              <w:keepNext w:val="0"/>
              <w:keepLines w:val="0"/>
              <w:widowControl w:val="0"/>
              <w:spacing w:before="0" w:after="0"/>
              <w:rPr>
                <w:rFonts w:ascii="Times New Roman" w:hAnsi="Times New Roman"/>
                <w:b/>
                <w:color w:val="000000"/>
                <w:sz w:val="22"/>
                <w:szCs w:val="22"/>
                <w:lang w:val="fi-FI"/>
              </w:rPr>
            </w:pPr>
            <w:r w:rsidRPr="00912A5D">
              <w:rPr>
                <w:rFonts w:ascii="Times New Roman" w:hAnsi="Times New Roman"/>
                <w:b/>
                <w:color w:val="000000"/>
                <w:sz w:val="22"/>
                <w:szCs w:val="22"/>
                <w:lang w:val="fi-FI"/>
              </w:rPr>
              <w:t>Hematologisen vasteen kriteerit (kaikki vasteet varmistetaan </w:t>
            </w:r>
            <w:r w:rsidRPr="00912A5D">
              <w:rPr>
                <w:rFonts w:ascii="Times New Roman" w:hAnsi="Times New Roman"/>
                <w:b/>
                <w:color w:val="000000"/>
                <w:sz w:val="22"/>
                <w:szCs w:val="22"/>
                <w:lang w:val="fi-FI"/>
              </w:rPr>
              <w:sym w:font="Symbol" w:char="00B3"/>
            </w:r>
            <w:r w:rsidRPr="00912A5D">
              <w:rPr>
                <w:rFonts w:ascii="Times New Roman" w:hAnsi="Times New Roman"/>
                <w:b/>
                <w:color w:val="000000"/>
                <w:sz w:val="22"/>
                <w:szCs w:val="22"/>
                <w:lang w:val="fi-FI"/>
              </w:rPr>
              <w:t> 4 viikon jälkeen):</w:t>
            </w:r>
          </w:p>
          <w:p w14:paraId="586FC7A6" w14:textId="77777777" w:rsidR="00311DC5" w:rsidRPr="00912A5D" w:rsidRDefault="00311DC5" w:rsidP="008238ED">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Valkosolumäärä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verihiutaleiden määrä &lt; 450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myelosyyttejä + metamyelosyyttejä &lt; 5 % veressä, ei blasteja eikä promyelosyyttejä veressä, basofiileja &lt; 20 %, ei luuytimenulkoista sairautta.</w:t>
            </w:r>
          </w:p>
          <w:p w14:paraId="586FC7A7" w14:textId="77777777" w:rsidR="00311DC5" w:rsidRPr="00912A5D" w:rsidRDefault="00311DC5" w:rsidP="008238ED">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b/>
                <w:color w:val="000000"/>
                <w:sz w:val="22"/>
                <w:szCs w:val="22"/>
                <w:lang w:val="fi-FI"/>
              </w:rPr>
              <w:t xml:space="preserve">Sytogeneettisen vasteen kriteerit: </w:t>
            </w:r>
            <w:r w:rsidRPr="00912A5D">
              <w:rPr>
                <w:rFonts w:ascii="Times New Roman" w:hAnsi="Times New Roman"/>
                <w:color w:val="000000"/>
                <w:sz w:val="22"/>
                <w:szCs w:val="22"/>
                <w:lang w:val="fi-FI"/>
              </w:rPr>
              <w:t>täydellinen (0 % Ph+ -metafaaseja), osittainen (1–35 %), vähäinen (36–65 %) tai minimaalinen (66–95 %). Huomattava vaste (0–35 %) kattaa sekä täydellisen että osittaisen vasteen.</w:t>
            </w:r>
          </w:p>
          <w:p w14:paraId="586FC7A8" w14:textId="77777777" w:rsidR="00311DC5" w:rsidRPr="00912A5D" w:rsidRDefault="00311DC5" w:rsidP="008238ED">
            <w:pPr>
              <w:pStyle w:val="Table"/>
              <w:keepNext w:val="0"/>
              <w:keepLines w:val="0"/>
              <w:widowControl w:val="0"/>
              <w:spacing w:before="0" w:after="0"/>
              <w:rPr>
                <w:rFonts w:ascii="Times New Roman" w:hAnsi="Times New Roman"/>
                <w:color w:val="000000"/>
                <w:sz w:val="22"/>
                <w:szCs w:val="22"/>
                <w:lang w:val="fi-FI"/>
              </w:rPr>
            </w:pPr>
            <w:r w:rsidRPr="00912A5D">
              <w:rPr>
                <w:rFonts w:ascii="Times New Roman" w:hAnsi="Times New Roman"/>
                <w:b/>
                <w:color w:val="000000"/>
                <w:sz w:val="22"/>
                <w:szCs w:val="22"/>
                <w:lang w:val="fi-FI"/>
              </w:rPr>
              <w:t>Huomattavan molekulaarisen vasteen kriteerit</w:t>
            </w:r>
            <w:r w:rsidRPr="00912A5D">
              <w:rPr>
                <w:rFonts w:ascii="Times New Roman" w:hAnsi="Times New Roman"/>
                <w:color w:val="000000"/>
                <w:sz w:val="22"/>
                <w:szCs w:val="22"/>
                <w:lang w:val="fi-FI"/>
              </w:rPr>
              <w:t>: perifeerisessä veressä ≥ 3 logaritmin väheneminen Bcr-Abl transkriptien määrässä (mitattuna reaaliaikaisella kvantitatiivisella käänteiskopioijaentsyymi-</w:t>
            </w:r>
            <w:smartTag w:uri="urn:schemas-microsoft-com:office:smarttags" w:element="State">
              <w:r w:rsidRPr="00912A5D">
                <w:rPr>
                  <w:rFonts w:ascii="Times New Roman" w:hAnsi="Times New Roman"/>
                  <w:color w:val="000000"/>
                  <w:sz w:val="22"/>
                  <w:szCs w:val="22"/>
                  <w:lang w:val="fi-FI"/>
                </w:rPr>
                <w:t>PCR</w:t>
              </w:r>
            </w:smartTag>
            <w:r w:rsidRPr="00912A5D">
              <w:rPr>
                <w:rFonts w:ascii="Times New Roman" w:hAnsi="Times New Roman"/>
                <w:color w:val="000000"/>
                <w:sz w:val="22"/>
                <w:szCs w:val="22"/>
                <w:lang w:val="fi-FI"/>
              </w:rPr>
              <w:t>-menetelmällä) standardoituun lähtötilanteeseen verrattuna.</w:t>
            </w:r>
          </w:p>
        </w:tc>
      </w:tr>
    </w:tbl>
    <w:p w14:paraId="586FC7AA" w14:textId="77777777" w:rsidR="00311DC5" w:rsidRPr="00912A5D" w:rsidRDefault="00311DC5" w:rsidP="00311DC5">
      <w:pPr>
        <w:pStyle w:val="EndnoteText"/>
        <w:widowControl w:val="0"/>
        <w:rPr>
          <w:color w:val="000000"/>
          <w:szCs w:val="22"/>
          <w:lang w:val="fi-FI"/>
        </w:rPr>
      </w:pPr>
    </w:p>
    <w:p w14:paraId="586FC7AB" w14:textId="77777777" w:rsidR="00311DC5" w:rsidRPr="00912A5D" w:rsidRDefault="00311DC5" w:rsidP="00311DC5">
      <w:pPr>
        <w:pStyle w:val="EndnoteText"/>
        <w:rPr>
          <w:color w:val="000000"/>
          <w:lang w:val="fi-FI"/>
        </w:rPr>
      </w:pPr>
      <w:r w:rsidRPr="00912A5D">
        <w:rPr>
          <w:color w:val="000000"/>
          <w:lang w:val="fi-FI"/>
        </w:rPr>
        <w:t xml:space="preserve">Ensisijaishoidon aikaansaamat täydelliset hematologiset vasteet, huomattavat sytogeneettiset vasteet ja täydelliset sytogeneettiset vasteet arvioitiin Kaplan-Meierin menetelmällä, jossa hoitoon vastaamattomat potilaat jätettiin pois laskuista viimeisenä tutkimuspäivänä. Tällä menetelmällä saadut arviot ensisijaishoitona käytetyn Glivecin aikaansaamista kumulatiivisista vasteista </w:t>
      </w:r>
      <w:r w:rsidRPr="00912A5D">
        <w:rPr>
          <w:color w:val="000000"/>
          <w:szCs w:val="22"/>
          <w:lang w:val="fi-FI"/>
        </w:rPr>
        <w:t xml:space="preserve">paranivat 12 ja </w:t>
      </w:r>
      <w:r>
        <w:rPr>
          <w:color w:val="000000"/>
          <w:szCs w:val="22"/>
          <w:lang w:val="fi-FI"/>
        </w:rPr>
        <w:t>84</w:t>
      </w:r>
      <w:r w:rsidRPr="00912A5D">
        <w:rPr>
          <w:color w:val="000000"/>
          <w:szCs w:val="22"/>
          <w:lang w:val="fi-FI"/>
        </w:rPr>
        <w:t xml:space="preserve"> hoitokuukauden välisenä aikana seuraavasti: täydelliset hematologiset vasteet 96,4 %:sta 98,4 %:iin ja täydelliset sytogeneettiset vasteet 69,5 %:sta </w:t>
      </w:r>
      <w:r>
        <w:rPr>
          <w:color w:val="000000"/>
          <w:szCs w:val="22"/>
          <w:lang w:val="fi-FI"/>
        </w:rPr>
        <w:t>87,2</w:t>
      </w:r>
      <w:r w:rsidRPr="00912A5D">
        <w:rPr>
          <w:color w:val="000000"/>
          <w:szCs w:val="22"/>
          <w:lang w:val="fi-FI"/>
        </w:rPr>
        <w:t> %:iin</w:t>
      </w:r>
      <w:r w:rsidRPr="00912A5D">
        <w:rPr>
          <w:color w:val="000000"/>
          <w:lang w:val="fi-FI"/>
        </w:rPr>
        <w:t>.</w:t>
      </w:r>
    </w:p>
    <w:p w14:paraId="586FC7AC" w14:textId="77777777" w:rsidR="00311DC5" w:rsidRPr="00912A5D" w:rsidRDefault="00311DC5" w:rsidP="00311DC5">
      <w:pPr>
        <w:pStyle w:val="EndnoteText"/>
        <w:rPr>
          <w:color w:val="000000"/>
          <w:lang w:val="fi-FI"/>
        </w:rPr>
      </w:pPr>
    </w:p>
    <w:p w14:paraId="586FC7AD" w14:textId="77777777" w:rsidR="00311DC5" w:rsidRPr="00912A5D" w:rsidRDefault="00311DC5" w:rsidP="00311DC5">
      <w:pPr>
        <w:pStyle w:val="EndnoteText"/>
        <w:rPr>
          <w:color w:val="000000"/>
          <w:lang w:val="fi-FI"/>
        </w:rPr>
      </w:pPr>
      <w:r>
        <w:rPr>
          <w:color w:val="000000"/>
          <w:lang w:val="fi-FI"/>
        </w:rPr>
        <w:t>Seitsemän</w:t>
      </w:r>
      <w:r w:rsidRPr="00912A5D">
        <w:rPr>
          <w:color w:val="000000"/>
          <w:lang w:val="fi-FI"/>
        </w:rPr>
        <w:t xml:space="preserve"> vuoden seurannassa taudin etenemiseen liittyviä tapahtumia esiintyi </w:t>
      </w:r>
      <w:r>
        <w:rPr>
          <w:color w:val="000000"/>
          <w:lang w:val="fi-FI"/>
        </w:rPr>
        <w:t>93</w:t>
      </w:r>
      <w:r w:rsidRPr="00912A5D">
        <w:rPr>
          <w:color w:val="000000"/>
          <w:lang w:val="fi-FI"/>
        </w:rPr>
        <w:t>:lla (</w:t>
      </w:r>
      <w:r>
        <w:rPr>
          <w:color w:val="000000"/>
          <w:lang w:val="fi-FI"/>
        </w:rPr>
        <w:t>16,8</w:t>
      </w:r>
      <w:r w:rsidRPr="00912A5D">
        <w:rPr>
          <w:color w:val="000000"/>
          <w:lang w:val="fi-FI"/>
        </w:rPr>
        <w:t xml:space="preserve"> %) Glivec-ryhmän potilaista: akseleraatiovaiheeseen/blastikriisivaiheeseen siirtyi </w:t>
      </w:r>
      <w:r>
        <w:rPr>
          <w:color w:val="000000"/>
          <w:lang w:val="fi-FI"/>
        </w:rPr>
        <w:t>37</w:t>
      </w:r>
      <w:r w:rsidRPr="00912A5D">
        <w:rPr>
          <w:color w:val="000000"/>
          <w:lang w:val="fi-FI"/>
        </w:rPr>
        <w:t> potilasta (</w:t>
      </w:r>
      <w:r>
        <w:rPr>
          <w:color w:val="000000"/>
          <w:lang w:val="fi-FI"/>
        </w:rPr>
        <w:t>6,7</w:t>
      </w:r>
      <w:r w:rsidRPr="00912A5D">
        <w:rPr>
          <w:color w:val="000000"/>
          <w:lang w:val="fi-FI"/>
        </w:rPr>
        <w:t xml:space="preserve"> %), huomattava sytogeneettinen vaste menetettiin </w:t>
      </w:r>
      <w:r>
        <w:rPr>
          <w:color w:val="000000"/>
          <w:lang w:val="fi-FI"/>
        </w:rPr>
        <w:t>31</w:t>
      </w:r>
      <w:r w:rsidRPr="00912A5D">
        <w:rPr>
          <w:color w:val="000000"/>
          <w:lang w:val="fi-FI"/>
        </w:rPr>
        <w:t> potilaalla (</w:t>
      </w:r>
      <w:r>
        <w:rPr>
          <w:color w:val="000000"/>
          <w:lang w:val="fi-FI"/>
        </w:rPr>
        <w:t>5,6</w:t>
      </w:r>
      <w:r w:rsidRPr="00912A5D">
        <w:rPr>
          <w:color w:val="000000"/>
          <w:lang w:val="fi-FI"/>
        </w:rPr>
        <w:t xml:space="preserve"> %), täydellinen hematologinen vaste menetettiin tai valkosolumäärä nousi </w:t>
      </w:r>
      <w:r>
        <w:rPr>
          <w:color w:val="000000"/>
          <w:lang w:val="fi-FI"/>
        </w:rPr>
        <w:t>15</w:t>
      </w:r>
      <w:r w:rsidRPr="00912A5D">
        <w:rPr>
          <w:color w:val="000000"/>
          <w:lang w:val="fi-FI"/>
        </w:rPr>
        <w:t> potilaalla (</w:t>
      </w:r>
      <w:r>
        <w:rPr>
          <w:color w:val="000000"/>
          <w:lang w:val="fi-FI"/>
        </w:rPr>
        <w:t>2,7 </w:t>
      </w:r>
      <w:r w:rsidRPr="00912A5D">
        <w:rPr>
          <w:color w:val="000000"/>
          <w:lang w:val="fi-FI"/>
        </w:rPr>
        <w:t xml:space="preserve">%), ja </w:t>
      </w:r>
      <w:r>
        <w:rPr>
          <w:color w:val="000000"/>
          <w:lang w:val="fi-FI"/>
        </w:rPr>
        <w:t>10</w:t>
      </w:r>
      <w:r w:rsidRPr="00912A5D">
        <w:rPr>
          <w:color w:val="000000"/>
          <w:lang w:val="fi-FI"/>
        </w:rPr>
        <w:t> potilasta (</w:t>
      </w:r>
      <w:r>
        <w:rPr>
          <w:color w:val="000000"/>
          <w:lang w:val="fi-FI"/>
        </w:rPr>
        <w:t>1,8</w:t>
      </w:r>
      <w:r w:rsidRPr="00912A5D">
        <w:rPr>
          <w:color w:val="000000"/>
          <w:lang w:val="fi-FI"/>
        </w:rPr>
        <w:t xml:space="preserve"> %) menehtyi jonkin muun syyn kuin </w:t>
      </w:r>
      <w:smartTag w:uri="urn:schemas-microsoft-com:office:smarttags" w:element="State">
        <w:r w:rsidRPr="00912A5D">
          <w:rPr>
            <w:color w:val="000000"/>
            <w:lang w:val="fi-FI"/>
          </w:rPr>
          <w:t>KML</w:t>
        </w:r>
      </w:smartTag>
      <w:r w:rsidRPr="00912A5D">
        <w:rPr>
          <w:color w:val="000000"/>
          <w:lang w:val="fi-FI"/>
        </w:rPr>
        <w:t xml:space="preserve">:n takia. Sitä vastoin interferonia ja sytarabiinia saaneiden potilaiden ryhmässä esiintyi </w:t>
      </w:r>
      <w:r>
        <w:rPr>
          <w:color w:val="000000"/>
          <w:lang w:val="fi-FI"/>
        </w:rPr>
        <w:t>165</w:t>
      </w:r>
      <w:r w:rsidRPr="00912A5D">
        <w:rPr>
          <w:color w:val="000000"/>
          <w:lang w:val="fi-FI"/>
        </w:rPr>
        <w:t> tapahtumaa (</w:t>
      </w:r>
      <w:r>
        <w:rPr>
          <w:color w:val="000000"/>
          <w:lang w:val="fi-FI"/>
        </w:rPr>
        <w:t>29,8</w:t>
      </w:r>
      <w:r w:rsidRPr="00912A5D">
        <w:rPr>
          <w:color w:val="000000"/>
          <w:lang w:val="fi-FI"/>
        </w:rPr>
        <w:t xml:space="preserve"> %), ja näistä tapahtumista </w:t>
      </w:r>
      <w:r>
        <w:rPr>
          <w:color w:val="000000"/>
          <w:lang w:val="fi-FI"/>
        </w:rPr>
        <w:t>130</w:t>
      </w:r>
      <w:r w:rsidRPr="00912A5D">
        <w:rPr>
          <w:color w:val="000000"/>
          <w:lang w:val="fi-FI"/>
        </w:rPr>
        <w:t> ilmaantui, kun alfainterferonia ja sytarabiinia käytettiin ensisijaishoitona.</w:t>
      </w:r>
    </w:p>
    <w:p w14:paraId="586FC7AE" w14:textId="77777777" w:rsidR="00311DC5" w:rsidRPr="00912A5D" w:rsidRDefault="00311DC5" w:rsidP="00311DC5">
      <w:pPr>
        <w:pStyle w:val="EndnoteText"/>
        <w:widowControl w:val="0"/>
        <w:rPr>
          <w:color w:val="000000"/>
          <w:lang w:val="fi-FI"/>
        </w:rPr>
      </w:pPr>
    </w:p>
    <w:p w14:paraId="586FC7AF" w14:textId="77777777" w:rsidR="00311DC5" w:rsidRPr="00912A5D" w:rsidRDefault="00311DC5" w:rsidP="00311DC5">
      <w:pPr>
        <w:pStyle w:val="EndnoteText"/>
        <w:widowControl w:val="0"/>
        <w:tabs>
          <w:tab w:val="clear" w:pos="567"/>
        </w:tabs>
        <w:rPr>
          <w:rStyle w:val="EndnoteTextChar"/>
          <w:color w:val="000000"/>
          <w:szCs w:val="22"/>
          <w:lang w:val="fi-FI"/>
        </w:rPr>
      </w:pPr>
      <w:r w:rsidRPr="00912A5D">
        <w:rPr>
          <w:color w:val="000000"/>
          <w:szCs w:val="22"/>
          <w:lang w:val="fi-FI"/>
        </w:rPr>
        <w:t xml:space="preserve">Alfainterferoniryhmään verrattuna Glivec-ryhmässä oli </w:t>
      </w:r>
      <w:r>
        <w:rPr>
          <w:color w:val="000000"/>
          <w:szCs w:val="22"/>
          <w:lang w:val="fi-FI"/>
        </w:rPr>
        <w:t>84</w:t>
      </w:r>
      <w:r w:rsidRPr="00912A5D">
        <w:rPr>
          <w:color w:val="000000"/>
          <w:szCs w:val="22"/>
          <w:lang w:val="fi-FI"/>
        </w:rPr>
        <w:t> kuukauden jälkeen merkitsevästi enemmän potilaita, joiden tauti ei ollut edennyt akseleraatiovaiheeseen tai blastikriisivaiheeseen (</w:t>
      </w:r>
      <w:r>
        <w:rPr>
          <w:color w:val="000000"/>
          <w:szCs w:val="22"/>
          <w:lang w:val="fi-FI"/>
        </w:rPr>
        <w:t>92,5</w:t>
      </w:r>
      <w:r w:rsidRPr="00912A5D">
        <w:rPr>
          <w:color w:val="000000"/>
          <w:szCs w:val="22"/>
          <w:lang w:val="fi-FI"/>
        </w:rPr>
        <w:t xml:space="preserve"> % vs. </w:t>
      </w:r>
      <w:r>
        <w:rPr>
          <w:color w:val="000000"/>
          <w:szCs w:val="22"/>
          <w:lang w:val="fi-FI"/>
        </w:rPr>
        <w:t>85,1</w:t>
      </w:r>
      <w:r w:rsidRPr="00912A5D">
        <w:rPr>
          <w:color w:val="000000"/>
          <w:szCs w:val="22"/>
          <w:lang w:val="fi-FI"/>
        </w:rPr>
        <w:t xml:space="preserve"> %; p&lt;0,001). Taudin vuotuiset etenemisprosentit akseleraatiovaiheeseen tai blastikriisivaiheeseen pienenivät hoidon jatkuessa, ja neljäntenä ja viidentenä hoitovuotena vuotuinen etenemisprosentti oli alle 1 %. Arvioiden mukaan </w:t>
      </w:r>
      <w:r>
        <w:rPr>
          <w:color w:val="000000"/>
          <w:szCs w:val="22"/>
          <w:lang w:val="fi-FI"/>
        </w:rPr>
        <w:t>84</w:t>
      </w:r>
      <w:r w:rsidRPr="00912A5D">
        <w:rPr>
          <w:color w:val="000000"/>
          <w:szCs w:val="22"/>
          <w:lang w:val="fi-FI"/>
        </w:rPr>
        <w:t xml:space="preserve"> kuukauden elossaolo ilman taudin etenemistä oli Glivec-ryhmässä </w:t>
      </w:r>
      <w:r>
        <w:rPr>
          <w:color w:val="000000"/>
          <w:szCs w:val="22"/>
          <w:lang w:val="fi-FI"/>
        </w:rPr>
        <w:t>81,2</w:t>
      </w:r>
      <w:r w:rsidRPr="00912A5D">
        <w:rPr>
          <w:color w:val="000000"/>
          <w:szCs w:val="22"/>
          <w:lang w:val="fi-FI"/>
        </w:rPr>
        <w:t xml:space="preserve"> % ja verrokkiryhmässä </w:t>
      </w:r>
      <w:r>
        <w:rPr>
          <w:color w:val="000000"/>
          <w:szCs w:val="22"/>
          <w:lang w:val="fi-FI"/>
        </w:rPr>
        <w:t>60,6</w:t>
      </w:r>
      <w:r w:rsidRPr="00912A5D">
        <w:rPr>
          <w:color w:val="000000"/>
          <w:szCs w:val="22"/>
          <w:lang w:val="fi-FI"/>
        </w:rPr>
        <w:t xml:space="preserve"> % (p&lt;0,001). Taudin vuotuiset etenemisprosentit </w:t>
      </w:r>
      <w:r w:rsidRPr="00912A5D">
        <w:rPr>
          <w:rStyle w:val="EndnoteTextChar"/>
          <w:color w:val="000000"/>
          <w:szCs w:val="22"/>
          <w:lang w:val="fi-FI"/>
        </w:rPr>
        <w:t>pienenivät Glivec-ryhmässä ajan mittaan taudin etenemistyypistä riippumatta.</w:t>
      </w:r>
    </w:p>
    <w:p w14:paraId="586FC7B0" w14:textId="77777777" w:rsidR="00311DC5" w:rsidRPr="00912A5D" w:rsidRDefault="00311DC5" w:rsidP="00311DC5">
      <w:pPr>
        <w:pStyle w:val="EndnoteText"/>
        <w:widowControl w:val="0"/>
        <w:tabs>
          <w:tab w:val="clear" w:pos="567"/>
        </w:tabs>
        <w:rPr>
          <w:color w:val="000000"/>
          <w:szCs w:val="22"/>
          <w:lang w:val="fi-FI"/>
        </w:rPr>
      </w:pPr>
    </w:p>
    <w:p w14:paraId="586FC7B1" w14:textId="77777777" w:rsidR="00311DC5" w:rsidRPr="00912A5D" w:rsidRDefault="00311DC5" w:rsidP="00311DC5">
      <w:pPr>
        <w:pStyle w:val="EndnoteText"/>
        <w:rPr>
          <w:color w:val="000000"/>
          <w:lang w:val="fi-FI"/>
        </w:rPr>
      </w:pPr>
      <w:r w:rsidRPr="00912A5D">
        <w:rPr>
          <w:color w:val="000000"/>
          <w:lang w:val="fi-FI"/>
        </w:rPr>
        <w:lastRenderedPageBreak/>
        <w:t xml:space="preserve">Glivec-hoitoa saaneista potilaista menehtyi yhteensä </w:t>
      </w:r>
      <w:r>
        <w:rPr>
          <w:color w:val="000000"/>
          <w:lang w:val="fi-FI"/>
        </w:rPr>
        <w:t>71</w:t>
      </w:r>
      <w:r w:rsidRPr="00912A5D">
        <w:rPr>
          <w:color w:val="000000"/>
          <w:lang w:val="fi-FI"/>
        </w:rPr>
        <w:t> (</w:t>
      </w:r>
      <w:r>
        <w:rPr>
          <w:color w:val="000000"/>
          <w:lang w:val="fi-FI"/>
        </w:rPr>
        <w:t>12,8</w:t>
      </w:r>
      <w:r w:rsidRPr="00912A5D">
        <w:rPr>
          <w:color w:val="000000"/>
          <w:lang w:val="fi-FI"/>
        </w:rPr>
        <w:t xml:space="preserve"> %) ja alfainterferonia ja sytarabiinia saaneista potilaista </w:t>
      </w:r>
      <w:r>
        <w:rPr>
          <w:color w:val="000000"/>
          <w:lang w:val="fi-FI"/>
        </w:rPr>
        <w:t>85</w:t>
      </w:r>
      <w:r w:rsidRPr="00912A5D">
        <w:rPr>
          <w:color w:val="000000"/>
          <w:lang w:val="fi-FI"/>
        </w:rPr>
        <w:t> (</w:t>
      </w:r>
      <w:r>
        <w:rPr>
          <w:color w:val="000000"/>
          <w:lang w:val="fi-FI"/>
        </w:rPr>
        <w:t>15,4</w:t>
      </w:r>
      <w:r w:rsidRPr="00912A5D">
        <w:rPr>
          <w:color w:val="000000"/>
          <w:lang w:val="fi-FI"/>
        </w:rPr>
        <w:t xml:space="preserve"> %). Arvioitu kokonaiselossaolo </w:t>
      </w:r>
      <w:r>
        <w:rPr>
          <w:color w:val="000000"/>
          <w:lang w:val="fi-FI"/>
        </w:rPr>
        <w:t>84</w:t>
      </w:r>
      <w:r w:rsidRPr="00912A5D">
        <w:rPr>
          <w:color w:val="000000"/>
          <w:lang w:val="fi-FI"/>
        </w:rPr>
        <w:t xml:space="preserve"> kuukauden kohdalla oli Glivec-hoitoon satunnaistetussa ryhmässä </w:t>
      </w:r>
      <w:r>
        <w:rPr>
          <w:color w:val="000000"/>
          <w:lang w:val="fi-FI"/>
        </w:rPr>
        <w:t>86,4</w:t>
      </w:r>
      <w:r w:rsidRPr="00912A5D">
        <w:rPr>
          <w:color w:val="000000"/>
          <w:lang w:val="fi-FI"/>
        </w:rPr>
        <w:t> % (</w:t>
      </w:r>
      <w:r>
        <w:rPr>
          <w:color w:val="000000"/>
          <w:lang w:val="fi-FI"/>
        </w:rPr>
        <w:t>83</w:t>
      </w:r>
      <w:r w:rsidRPr="00912A5D">
        <w:rPr>
          <w:color w:val="000000"/>
          <w:lang w:val="fi-FI"/>
        </w:rPr>
        <w:t>, </w:t>
      </w:r>
      <w:r>
        <w:rPr>
          <w:color w:val="000000"/>
          <w:lang w:val="fi-FI"/>
        </w:rPr>
        <w:t>90</w:t>
      </w:r>
      <w:r w:rsidRPr="00912A5D">
        <w:rPr>
          <w:color w:val="000000"/>
          <w:lang w:val="fi-FI"/>
        </w:rPr>
        <w:t xml:space="preserve">) ja alfainterferoni- ja sytarabiinihoitoon satunnaistetussa ryhmässä </w:t>
      </w:r>
      <w:r>
        <w:rPr>
          <w:color w:val="000000"/>
          <w:lang w:val="fi-FI"/>
        </w:rPr>
        <w:t>83,3</w:t>
      </w:r>
      <w:r w:rsidRPr="00912A5D">
        <w:rPr>
          <w:color w:val="000000"/>
          <w:lang w:val="fi-FI"/>
        </w:rPr>
        <w:t> % (</w:t>
      </w:r>
      <w:r>
        <w:rPr>
          <w:color w:val="000000"/>
          <w:lang w:val="fi-FI"/>
        </w:rPr>
        <w:t>80</w:t>
      </w:r>
      <w:r w:rsidRPr="00912A5D">
        <w:rPr>
          <w:color w:val="000000"/>
          <w:lang w:val="fi-FI"/>
        </w:rPr>
        <w:t>, </w:t>
      </w:r>
      <w:r>
        <w:rPr>
          <w:color w:val="000000"/>
          <w:lang w:val="fi-FI"/>
        </w:rPr>
        <w:t>87</w:t>
      </w:r>
      <w:r w:rsidRPr="00912A5D">
        <w:rPr>
          <w:color w:val="000000"/>
          <w:lang w:val="fi-FI"/>
        </w:rPr>
        <w:t>) (p=0,0</w:t>
      </w:r>
      <w:r>
        <w:rPr>
          <w:color w:val="000000"/>
          <w:lang w:val="fi-FI"/>
        </w:rPr>
        <w:t>73</w:t>
      </w:r>
      <w:r w:rsidRPr="00912A5D">
        <w:rPr>
          <w:color w:val="000000"/>
          <w:lang w:val="fi-FI"/>
        </w:rPr>
        <w:t xml:space="preserve">, log rank -testi). Tähän lopputapahtumaan (tapahtumaan kulunut aika) vaikuttaa voimakkaasti se, että niin monet alfainterferoni- ja sytarabiinihoitoon satunnaistetut potilaat siirtyivät Glivec-hoitoon. Glivec-hoidon vaikutusta elossaoloon vasta diagnosoidussa kroonisen vaiheen </w:t>
      </w:r>
      <w:smartTag w:uri="urn:schemas-microsoft-com:office:smarttags" w:element="State">
        <w:r w:rsidRPr="00912A5D">
          <w:rPr>
            <w:color w:val="000000"/>
            <w:lang w:val="fi-FI"/>
          </w:rPr>
          <w:t>KML</w:t>
        </w:r>
      </w:smartTag>
      <w:r w:rsidRPr="00912A5D">
        <w:rPr>
          <w:color w:val="000000"/>
          <w:lang w:val="fi-FI"/>
        </w:rPr>
        <w:t xml:space="preserve">:ssa on tutkittu tarkemmin yllä raportoitujen Glivec-tietojen retrospektiivisessä analyysissa, kun mukaan otettiin myös primaariset tiedot toisesta vaiheen </w:t>
      </w:r>
      <w:smartTag w:uri="urn:schemas-microsoft-com:office:smarttags" w:element="State">
        <w:r w:rsidRPr="00912A5D">
          <w:rPr>
            <w:color w:val="000000"/>
            <w:lang w:val="fi-FI"/>
          </w:rPr>
          <w:t>III</w:t>
        </w:r>
      </w:smartTag>
      <w:r w:rsidRPr="00912A5D">
        <w:rPr>
          <w:color w:val="000000"/>
          <w:lang w:val="fi-FI"/>
        </w:rPr>
        <w:t xml:space="preserve"> tutkimuksesta, jossa interferonin ja sytarabiinin yhdistelmää (n=325) annettiin täysin samalla tavalla. Tässä retrospektiivisessä analyysissa Glivec todettiin interferonin ja sytarabiinin yhdistelmää paremmaksi (p&lt;0,001); 42 kuukauden kuluttua 47 (8,5 %) Gliveciä saaneista potilaista ja 63 (19,4 %) interferonia ja sytarabiinia saaneista potilaista oli menehtynyt.</w:t>
      </w:r>
    </w:p>
    <w:p w14:paraId="586FC7B2" w14:textId="77777777" w:rsidR="00311DC5" w:rsidRPr="00912A5D" w:rsidRDefault="00311DC5" w:rsidP="00311DC5">
      <w:pPr>
        <w:pStyle w:val="EndnoteText"/>
        <w:rPr>
          <w:color w:val="000000"/>
          <w:lang w:val="fi-FI"/>
        </w:rPr>
      </w:pPr>
    </w:p>
    <w:p w14:paraId="586FC7B3" w14:textId="77777777" w:rsidR="00311DC5" w:rsidRPr="00912A5D" w:rsidRDefault="00311DC5" w:rsidP="00311DC5">
      <w:pPr>
        <w:pStyle w:val="EndnoteText"/>
        <w:rPr>
          <w:color w:val="000000"/>
          <w:szCs w:val="22"/>
          <w:lang w:val="fi-FI"/>
        </w:rPr>
      </w:pPr>
      <w:r w:rsidRPr="00912A5D">
        <w:rPr>
          <w:color w:val="000000"/>
          <w:lang w:val="fi-FI"/>
        </w:rPr>
        <w:t xml:space="preserve">Sytogeneettisen ja molekulaarisen vasteen voimakkuudella oli selkeä vaikutus Gliveciä saaneiden potilaiden pitkäaikaistuloksiin. Arvioiden mukaan täydellisen sytogeneettisen vasteen (osittaisen sytogeneettisen vasteen) 12 kuukauden kohdalla saavuttaneista potilaista </w:t>
      </w:r>
      <w:r>
        <w:rPr>
          <w:color w:val="000000"/>
          <w:lang w:val="fi-FI"/>
        </w:rPr>
        <w:t>96</w:t>
      </w:r>
      <w:r w:rsidRPr="00912A5D">
        <w:rPr>
          <w:color w:val="000000"/>
          <w:lang w:val="fi-FI"/>
        </w:rPr>
        <w:t xml:space="preserve"> %:lla (93 %:lla) tauti ei ollut edennyt </w:t>
      </w:r>
      <w:r>
        <w:rPr>
          <w:color w:val="000000"/>
          <w:lang w:val="fi-FI"/>
        </w:rPr>
        <w:t>84</w:t>
      </w:r>
      <w:r w:rsidRPr="00912A5D">
        <w:rPr>
          <w:color w:val="000000"/>
          <w:lang w:val="fi-FI"/>
        </w:rPr>
        <w:t xml:space="preserve"> kuukauden kohdalla akseleraatiovaiheeseen/blastikriisivaiheeseen. Potilaista, jotka eivät olleet saavuttaneet huomattavaa sytogeneettistä vastetta 12 kuukauden kohdalla, vain 81 %:n tauti ei ollut muuttunut </w:t>
      </w:r>
      <w:r>
        <w:rPr>
          <w:color w:val="000000"/>
          <w:lang w:val="fi-FI"/>
        </w:rPr>
        <w:t>84</w:t>
      </w:r>
      <w:r w:rsidRPr="00912A5D">
        <w:rPr>
          <w:color w:val="000000"/>
          <w:lang w:val="fi-FI"/>
        </w:rPr>
        <w:t xml:space="preserve"> kuukauden kohdalla pitkälle edenneeksi </w:t>
      </w:r>
      <w:smartTag w:uri="urn:schemas-microsoft-com:office:smarttags" w:element="State">
        <w:r w:rsidRPr="00912A5D">
          <w:rPr>
            <w:color w:val="000000"/>
            <w:lang w:val="fi-FI"/>
          </w:rPr>
          <w:t>KML</w:t>
        </w:r>
      </w:smartTag>
      <w:r w:rsidRPr="00912A5D">
        <w:rPr>
          <w:color w:val="000000"/>
          <w:lang w:val="fi-FI"/>
        </w:rPr>
        <w:t>:ksi (p&lt;0,001 yhteensä, p=0,2</w:t>
      </w:r>
      <w:r>
        <w:rPr>
          <w:color w:val="000000"/>
          <w:lang w:val="fi-FI"/>
        </w:rPr>
        <w:t>5</w:t>
      </w:r>
      <w:r w:rsidRPr="00912A5D">
        <w:rPr>
          <w:color w:val="000000"/>
          <w:lang w:val="fi-FI"/>
        </w:rPr>
        <w:t xml:space="preserve"> täydellinen vs. osittainen sytogeneettinen vaste). </w:t>
      </w:r>
      <w:r w:rsidRPr="00FE4298">
        <w:rPr>
          <w:color w:val="000000"/>
          <w:szCs w:val="22"/>
          <w:lang w:val="fi-FI"/>
        </w:rPr>
        <w:t>Jos potila</w:t>
      </w:r>
      <w:r>
        <w:rPr>
          <w:color w:val="000000"/>
          <w:szCs w:val="22"/>
          <w:lang w:val="fi-FI"/>
        </w:rPr>
        <w:t>alla</w:t>
      </w:r>
      <w:r w:rsidRPr="00FE4298">
        <w:rPr>
          <w:color w:val="000000"/>
          <w:szCs w:val="22"/>
          <w:lang w:val="fi-FI"/>
        </w:rPr>
        <w:t xml:space="preserve"> todettiin 12 kuukauden kohdalla vähintään 3 logaritmin väheneminen Bcr-Abl-transkriptien määrässä, todennäköisyys, että</w:t>
      </w:r>
      <w:r w:rsidRPr="00912A5D">
        <w:rPr>
          <w:color w:val="000000"/>
          <w:szCs w:val="22"/>
          <w:lang w:val="fi-FI"/>
        </w:rPr>
        <w:t xml:space="preserve"> hänen tautinsa ei ollut edennyt akseleraatiovaiheeseen tai blastikriisivaiheeseen </w:t>
      </w:r>
      <w:r>
        <w:rPr>
          <w:color w:val="000000"/>
          <w:szCs w:val="22"/>
          <w:lang w:val="fi-FI"/>
        </w:rPr>
        <w:t>84</w:t>
      </w:r>
      <w:r w:rsidRPr="00912A5D">
        <w:rPr>
          <w:color w:val="000000"/>
          <w:szCs w:val="22"/>
          <w:lang w:val="fi-FI"/>
        </w:rPr>
        <w:t xml:space="preserve"> kuukauden kohdalla, oli </w:t>
      </w:r>
      <w:r>
        <w:rPr>
          <w:color w:val="000000"/>
          <w:szCs w:val="22"/>
          <w:lang w:val="fi-FI"/>
        </w:rPr>
        <w:t>99</w:t>
      </w:r>
      <w:r w:rsidRPr="00912A5D">
        <w:rPr>
          <w:color w:val="000000"/>
          <w:szCs w:val="22"/>
          <w:lang w:val="fi-FI"/>
        </w:rPr>
        <w:t> %. Myös 18 kuukauden kohdalla tehty analyysi antoi samansuuntaista näyttöä.</w:t>
      </w:r>
    </w:p>
    <w:p w14:paraId="586FC7B4" w14:textId="77777777" w:rsidR="00311DC5" w:rsidRPr="00912A5D" w:rsidRDefault="00311DC5" w:rsidP="00311DC5">
      <w:pPr>
        <w:pStyle w:val="EndnoteText"/>
        <w:widowControl w:val="0"/>
        <w:tabs>
          <w:tab w:val="clear" w:pos="567"/>
        </w:tabs>
        <w:rPr>
          <w:color w:val="000000"/>
          <w:szCs w:val="22"/>
          <w:lang w:val="fi-FI"/>
        </w:rPr>
      </w:pPr>
    </w:p>
    <w:p w14:paraId="586FC7B5"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Tässä tutkimuksessa oli sallittu annoksen suurentaminen 400 mg:sta vuorokaudessa 600 mg:aan ja sen jälkeen 600 mg:sta 800 mg:aan vuorokaudessa. 42 kuukauden seurannan jälkeen 11 potilaalla varmistettiin (4 viikon sisällä) sytogeneettisen vasteen häviäminen. Näistä 11 potilaasta 4:llä annosta suurennettiin 800 mg:aan vuorokaudessa, joista kaksi sai sytogeneettisen vasteen takaisin (1 osittainen ja 1 täydellinen, jolla myös havaittiin molekulaarinen vaste). Niillä 7 potilaalla, joilla annosta ei suurennettu, ainoastaan yksi sai takaisin täydellisen sytogeneettisen vasteen. Eräiden haittavaikutusten osuus oli suurempi niillä 40 potilailla, joilla annosta suurennettiin 800 mg:aan, verrattuna potilasjoukkoon ennen annoksen suurentamista (n=551). Yleisempiä haittavaikutuksia olivat ruuansulatuskanavan verenvuodot, sidekalvotulehdukset ja transaminaasi- ja bilirubiiniarvojen kohoaminen. Muita haittavaikutuksia raportoitiin joko vähemmän tai yhtä yleisesti.</w:t>
      </w:r>
    </w:p>
    <w:p w14:paraId="586FC7B6" w14:textId="77777777" w:rsidR="00311DC5" w:rsidRPr="00912A5D" w:rsidRDefault="00311DC5" w:rsidP="00311DC5">
      <w:pPr>
        <w:pStyle w:val="EndnoteText"/>
        <w:widowControl w:val="0"/>
        <w:tabs>
          <w:tab w:val="clear" w:pos="567"/>
        </w:tabs>
        <w:rPr>
          <w:i/>
          <w:color w:val="000000"/>
          <w:szCs w:val="22"/>
          <w:lang w:val="fi-FI"/>
        </w:rPr>
      </w:pPr>
    </w:p>
    <w:p w14:paraId="586FC7B7" w14:textId="77777777" w:rsidR="00311DC5" w:rsidRPr="00912A5D" w:rsidRDefault="00311DC5" w:rsidP="00311DC5">
      <w:pPr>
        <w:pStyle w:val="EndnoteText"/>
        <w:widowControl w:val="0"/>
        <w:tabs>
          <w:tab w:val="clear" w:pos="567"/>
        </w:tabs>
        <w:rPr>
          <w:color w:val="000000"/>
          <w:szCs w:val="22"/>
          <w:lang w:val="fi-FI"/>
        </w:rPr>
      </w:pPr>
      <w:r w:rsidRPr="00912A5D">
        <w:rPr>
          <w:i/>
          <w:color w:val="000000"/>
          <w:szCs w:val="22"/>
          <w:lang w:val="fi-FI"/>
        </w:rPr>
        <w:t xml:space="preserve">Krooninen vaihe, epäonnistunut interferonihoito: </w:t>
      </w:r>
      <w:r w:rsidRPr="00912A5D">
        <w:rPr>
          <w:color w:val="000000"/>
          <w:szCs w:val="22"/>
          <w:lang w:val="fi-FI"/>
        </w:rPr>
        <w:t xml:space="preserve">532 aikuispotilasta hoidettiin 400 mg aloitusannoksena. Potilaat jakautuivat kolmeen pääryhmään: hematologinen epäonnistuminen (29 %), sytogeneettinen epäonnistuminen (35 %) tai interferoni-intoleranssi (36 %). Potilaat olivat saaneet aiemmin interferonihoitoa, jonka mediaanikesto oli 14 kuukautta annoksilla </w:t>
      </w:r>
      <w:r w:rsidRPr="00912A5D">
        <w:rPr>
          <w:color w:val="000000"/>
          <w:szCs w:val="22"/>
          <w:lang w:val="fi-FI"/>
        </w:rPr>
        <w:sym w:font="Symbol" w:char="F0B3"/>
      </w:r>
      <w:r w:rsidRPr="00912A5D">
        <w:rPr>
          <w:color w:val="000000"/>
          <w:szCs w:val="22"/>
          <w:lang w:val="fi-FI"/>
        </w:rPr>
        <w:t> 25 x 10</w:t>
      </w:r>
      <w:r w:rsidRPr="00912A5D">
        <w:rPr>
          <w:color w:val="000000"/>
          <w:szCs w:val="22"/>
          <w:vertAlign w:val="superscript"/>
          <w:lang w:val="fi-FI"/>
        </w:rPr>
        <w:t>6</w:t>
      </w:r>
      <w:r w:rsidRPr="00912A5D">
        <w:rPr>
          <w:color w:val="000000"/>
          <w:szCs w:val="22"/>
          <w:lang w:val="fi-FI"/>
        </w:rPr>
        <w:t xml:space="preserve"> IU/viikko; kaikkien sairaus oli myöhäisessä kroonisessa vaiheessa, ja taudin toteamisesta kulunut mediaaniaika oli 32 kuukautta. Tutkimuksen ensisijainen tehokkuusmuuttuja oli huomattavan sytogeneettisen vasteen osuus (täydellinen + osittainen vaste, 0–35 % Ph+-metafaaseja luuytimessä).</w:t>
      </w:r>
    </w:p>
    <w:p w14:paraId="586FC7B8" w14:textId="77777777" w:rsidR="00311DC5" w:rsidRPr="00912A5D" w:rsidRDefault="00311DC5" w:rsidP="00311DC5">
      <w:pPr>
        <w:pStyle w:val="EndnoteText"/>
        <w:widowControl w:val="0"/>
        <w:tabs>
          <w:tab w:val="clear" w:pos="567"/>
        </w:tabs>
        <w:rPr>
          <w:color w:val="000000"/>
          <w:szCs w:val="22"/>
          <w:lang w:val="fi-FI"/>
        </w:rPr>
      </w:pPr>
    </w:p>
    <w:p w14:paraId="586FC7B9"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Tässä tutkimuksessa 65 % potilaista saavutti huomattavan sytogeneettisen vasteen, joka oli täydellinen 53 %:lla (varmistettu 43 %:lla) potilaista (Taulukko </w:t>
      </w:r>
      <w:r w:rsidR="0086657A">
        <w:rPr>
          <w:color w:val="000000"/>
          <w:szCs w:val="22"/>
          <w:lang w:val="fi-FI"/>
        </w:rPr>
        <w:t>3</w:t>
      </w:r>
      <w:r w:rsidRPr="00912A5D">
        <w:rPr>
          <w:color w:val="000000"/>
          <w:szCs w:val="22"/>
          <w:lang w:val="fi-FI"/>
        </w:rPr>
        <w:t>). Täydellinen hematologinen vaste saavutettiin 95 %:lla potilaista.</w:t>
      </w:r>
    </w:p>
    <w:p w14:paraId="586FC7BA" w14:textId="77777777" w:rsidR="00311DC5" w:rsidRPr="00912A5D" w:rsidRDefault="00311DC5" w:rsidP="00311DC5">
      <w:pPr>
        <w:pStyle w:val="EndnoteText"/>
        <w:widowControl w:val="0"/>
        <w:tabs>
          <w:tab w:val="clear" w:pos="567"/>
        </w:tabs>
        <w:rPr>
          <w:color w:val="000000"/>
          <w:szCs w:val="22"/>
          <w:lang w:val="fi-FI"/>
        </w:rPr>
      </w:pPr>
    </w:p>
    <w:p w14:paraId="586FC7BB" w14:textId="77777777" w:rsidR="00311DC5" w:rsidRPr="00912A5D" w:rsidRDefault="00311DC5" w:rsidP="00311DC5">
      <w:pPr>
        <w:pStyle w:val="EndnoteText"/>
        <w:widowControl w:val="0"/>
        <w:tabs>
          <w:tab w:val="clear" w:pos="567"/>
        </w:tabs>
        <w:rPr>
          <w:color w:val="000000"/>
          <w:szCs w:val="22"/>
          <w:lang w:val="fi-FI"/>
        </w:rPr>
      </w:pPr>
      <w:r w:rsidRPr="00912A5D">
        <w:rPr>
          <w:i/>
          <w:color w:val="000000"/>
          <w:szCs w:val="22"/>
          <w:lang w:val="fi-FI"/>
        </w:rPr>
        <w:t>Akseleraatiovaihe</w:t>
      </w:r>
      <w:r w:rsidRPr="00912A5D">
        <w:rPr>
          <w:color w:val="000000"/>
          <w:szCs w:val="22"/>
          <w:lang w:val="fi-FI"/>
        </w:rPr>
        <w:t>: Tutkimukseen otettiin 235 akseleraatiovaiheen aikuispotilasta. Ensimmäisten 77</w:t>
      </w:r>
      <w:r>
        <w:rPr>
          <w:color w:val="000000"/>
          <w:szCs w:val="22"/>
          <w:lang w:val="fi-FI"/>
        </w:rPr>
        <w:t> </w:t>
      </w:r>
      <w:r w:rsidRPr="00912A5D">
        <w:rPr>
          <w:color w:val="000000"/>
          <w:szCs w:val="22"/>
          <w:lang w:val="fi-FI"/>
        </w:rPr>
        <w:t>potilaan aloitusannos oli 400 mg; sittemmin tutkimussuunnitelmaa muutettiin suuremman annoksen sallivaksi, ja loppujen 158:n potilaan aloitusannos oli 600 mg.</w:t>
      </w:r>
    </w:p>
    <w:p w14:paraId="586FC7BC" w14:textId="77777777" w:rsidR="00311DC5" w:rsidRPr="00912A5D" w:rsidRDefault="00311DC5" w:rsidP="00311DC5">
      <w:pPr>
        <w:pStyle w:val="EndnoteText"/>
        <w:widowControl w:val="0"/>
        <w:tabs>
          <w:tab w:val="clear" w:pos="567"/>
        </w:tabs>
        <w:rPr>
          <w:color w:val="000000"/>
          <w:szCs w:val="22"/>
          <w:lang w:val="fi-FI"/>
        </w:rPr>
      </w:pPr>
    </w:p>
    <w:p w14:paraId="586FC7BD"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Ensisijainen tehokkuusmuuttuja oli hematologisen vasteen osuus. Hematologinen vaste ilmoitettiin joko täydellisenä hematologisena vasteena, leukemian olemassaoloa koskevan näytön puuttumisena (esim. blastien poistuminen luuytimestä ja verestä siten, ettei täyttä ääreisveren toipumista kuitenkaan saavutettu kuten täydellisessä vasteessa) tai paluuna kroonisen myelooisen leukemian krooniseen vaiheeseen. Varmistettu hematologinen vaste saavutettiin 71,5 %:lla potilaista (Taulukko </w:t>
      </w:r>
      <w:r w:rsidR="0086657A">
        <w:rPr>
          <w:color w:val="000000"/>
          <w:szCs w:val="22"/>
          <w:lang w:val="fi-FI"/>
        </w:rPr>
        <w:t>3</w:t>
      </w:r>
      <w:r w:rsidRPr="00912A5D">
        <w:rPr>
          <w:color w:val="000000"/>
          <w:szCs w:val="22"/>
          <w:lang w:val="fi-FI"/>
        </w:rPr>
        <w:t xml:space="preserve">). Tärkeää on se, että 27,7 % potilaista saavutti myös huomattavan sytogeneettisen vasteen, joka oli täydellinen </w:t>
      </w:r>
      <w:r w:rsidRPr="00912A5D">
        <w:rPr>
          <w:color w:val="000000"/>
          <w:szCs w:val="22"/>
          <w:lang w:val="fi-FI"/>
        </w:rPr>
        <w:lastRenderedPageBreak/>
        <w:t>20,4 %:lla (varmistettu 16 %:lla) potilaista. 600 mg:n annosta saaneiden potilaiden osalta arvioidut tämän hetkiset mediaani elossaoloajat olivat seuraavat: elossa ilman taudin etenemistä 22,9 % ja kaikkiaan 42,5 %.</w:t>
      </w:r>
    </w:p>
    <w:p w14:paraId="586FC7BE" w14:textId="77777777" w:rsidR="00311DC5" w:rsidRPr="00912A5D" w:rsidRDefault="00311DC5" w:rsidP="00311DC5">
      <w:pPr>
        <w:pStyle w:val="EndnoteText"/>
        <w:widowControl w:val="0"/>
        <w:tabs>
          <w:tab w:val="clear" w:pos="567"/>
        </w:tabs>
        <w:rPr>
          <w:color w:val="000000"/>
          <w:szCs w:val="22"/>
          <w:lang w:val="fi-FI"/>
        </w:rPr>
      </w:pPr>
    </w:p>
    <w:p w14:paraId="586FC7BF" w14:textId="77777777" w:rsidR="00311DC5" w:rsidRPr="00912A5D" w:rsidRDefault="00311DC5" w:rsidP="00311DC5">
      <w:pPr>
        <w:pStyle w:val="EndnoteText"/>
        <w:widowControl w:val="0"/>
        <w:tabs>
          <w:tab w:val="clear" w:pos="567"/>
        </w:tabs>
        <w:rPr>
          <w:color w:val="000000"/>
          <w:szCs w:val="22"/>
          <w:lang w:val="fi-FI"/>
        </w:rPr>
      </w:pPr>
      <w:r w:rsidRPr="00912A5D">
        <w:rPr>
          <w:i/>
          <w:color w:val="000000"/>
          <w:szCs w:val="22"/>
          <w:lang w:val="fi-FI"/>
        </w:rPr>
        <w:t>Myelooinen blastikriisi:</w:t>
      </w:r>
      <w:r w:rsidRPr="00912A5D">
        <w:rPr>
          <w:color w:val="000000"/>
          <w:szCs w:val="22"/>
          <w:lang w:val="fi-FI"/>
        </w:rPr>
        <w:t xml:space="preserve"> Tutkimukseen otettiin 260 myelooista blastikriisiä sairastavaa potilasta. Heistä 95 (37 %) oli saanut aiemmin kemoterapiaa joko akseleraatiovaiheen tai blastikriisin hoitona (”aiemmin hoidetut potilaat”), kun taas 165 (63 %) ei ollut saanut aiempaa hoitoa (”hoitamattomat potilaat”). Ensimmäisten 37 potilaan aloitusannos oli 400 mg; sittemmin tutkimussuunnitelmaa muutettiin suuremman annoksen sallivaksi, ja loppujen 223</w:t>
      </w:r>
      <w:r>
        <w:rPr>
          <w:color w:val="000000"/>
          <w:szCs w:val="22"/>
          <w:lang w:val="fi-FI"/>
        </w:rPr>
        <w:t> </w:t>
      </w:r>
      <w:r w:rsidRPr="00912A5D">
        <w:rPr>
          <w:color w:val="000000"/>
          <w:szCs w:val="22"/>
          <w:lang w:val="fi-FI"/>
        </w:rPr>
        <w:t>potilaan aloitusannos oli 600 mg.</w:t>
      </w:r>
    </w:p>
    <w:p w14:paraId="586FC7C0" w14:textId="77777777" w:rsidR="00311DC5" w:rsidRPr="00912A5D" w:rsidRDefault="00311DC5" w:rsidP="00311DC5">
      <w:pPr>
        <w:pStyle w:val="EndnoteText"/>
        <w:widowControl w:val="0"/>
        <w:tabs>
          <w:tab w:val="clear" w:pos="567"/>
        </w:tabs>
        <w:rPr>
          <w:color w:val="000000"/>
          <w:szCs w:val="22"/>
          <w:lang w:val="fi-FI"/>
        </w:rPr>
      </w:pPr>
    </w:p>
    <w:p w14:paraId="586FC7C1"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Ensisijainen tehokkuusmuuttuja oli hematologisen vasteen osuus. Hematologinen vaste ilmoitettiin joko täydellisenä hematologisena vasteena, leukemian olemassaoloa koskevan näytön puuttumisena tai paluuna kroonisen myelooisen leukemian krooniseen vaiheeseen käyttäen samoja kriteerejä kuin akseleraatiovaihetta koskevissa tutkimuksissa. Tässä tutkimuksessa hematologisen vasteen saavutti 31 % potilaista (36 % aiemmin hoitamattomista potilaista ja 22 % aiemmin hoidetuista potilaista). Lisäksi vaste oli yleisempi 600 mg:n annosta saaneilla potilailla (33 %) kuin 400 mg:n annosta saaneilla potilailla (16 %, p=0,0220). Senhetkinen arvio potilaiden mediaanielossaolosta oli aiemmin hoitamattomien potilaiden osalta 7,7 kuukautta ja hoidettujen potilaiden osalta 4,7 kuukautta.</w:t>
      </w:r>
    </w:p>
    <w:p w14:paraId="586FC7C2" w14:textId="77777777" w:rsidR="00311DC5" w:rsidRPr="00912A5D" w:rsidRDefault="00311DC5" w:rsidP="00311DC5">
      <w:pPr>
        <w:pStyle w:val="EndnoteText"/>
        <w:widowControl w:val="0"/>
        <w:tabs>
          <w:tab w:val="clear" w:pos="567"/>
        </w:tabs>
        <w:rPr>
          <w:color w:val="000000"/>
          <w:szCs w:val="22"/>
          <w:lang w:val="fi-FI"/>
        </w:rPr>
      </w:pPr>
    </w:p>
    <w:p w14:paraId="586FC7C3" w14:textId="77777777" w:rsidR="00311DC5" w:rsidRPr="00912A5D" w:rsidRDefault="00311DC5" w:rsidP="00311DC5">
      <w:pPr>
        <w:pStyle w:val="EndnoteText"/>
        <w:widowControl w:val="0"/>
        <w:tabs>
          <w:tab w:val="clear" w:pos="567"/>
        </w:tabs>
        <w:rPr>
          <w:color w:val="000000"/>
          <w:szCs w:val="22"/>
          <w:lang w:val="fi-FI"/>
        </w:rPr>
      </w:pPr>
      <w:r w:rsidRPr="00912A5D">
        <w:rPr>
          <w:i/>
          <w:color w:val="000000"/>
          <w:szCs w:val="22"/>
          <w:lang w:val="fi-FI"/>
        </w:rPr>
        <w:t>Lymfaattinen blastikriisi</w:t>
      </w:r>
      <w:r w:rsidRPr="00912A5D">
        <w:rPr>
          <w:color w:val="000000"/>
          <w:szCs w:val="22"/>
          <w:lang w:val="fi-FI"/>
        </w:rPr>
        <w:t>: I vaiheen tutkimuksiin otettiin rajoitettu määrä potilaita (n=10). Hematologisen vasteen osuus oli 70 % ja kesto 2–3 kuukautta.</w:t>
      </w:r>
    </w:p>
    <w:p w14:paraId="586FC7C4" w14:textId="77777777" w:rsidR="00311DC5" w:rsidRPr="00912A5D" w:rsidRDefault="00311DC5" w:rsidP="00311DC5">
      <w:pPr>
        <w:pStyle w:val="EndnoteText"/>
        <w:widowControl w:val="0"/>
        <w:tabs>
          <w:tab w:val="clear" w:pos="567"/>
        </w:tabs>
        <w:rPr>
          <w:color w:val="000000"/>
          <w:szCs w:val="22"/>
          <w:lang w:val="fi-FI"/>
        </w:rPr>
      </w:pPr>
    </w:p>
    <w:p w14:paraId="586FC7C5" w14:textId="77777777" w:rsidR="00311DC5" w:rsidRPr="00912A5D" w:rsidRDefault="00311DC5" w:rsidP="00331A48">
      <w:pPr>
        <w:pStyle w:val="EndnoteText"/>
        <w:keepNext/>
        <w:keepLines/>
        <w:widowControl w:val="0"/>
        <w:tabs>
          <w:tab w:val="clear" w:pos="567"/>
        </w:tabs>
        <w:ind w:left="1418" w:hanging="1418"/>
        <w:rPr>
          <w:color w:val="000000"/>
          <w:szCs w:val="22"/>
          <w:lang w:val="fi-FI"/>
        </w:rPr>
      </w:pPr>
      <w:r w:rsidRPr="00912A5D">
        <w:rPr>
          <w:b/>
          <w:color w:val="000000"/>
          <w:szCs w:val="22"/>
          <w:lang w:val="fi-FI"/>
        </w:rPr>
        <w:lastRenderedPageBreak/>
        <w:t>Taulukko </w:t>
      </w:r>
      <w:r w:rsidR="0086657A">
        <w:rPr>
          <w:b/>
          <w:color w:val="000000"/>
          <w:szCs w:val="22"/>
          <w:lang w:val="fi-FI"/>
        </w:rPr>
        <w:t>3</w:t>
      </w:r>
      <w:r w:rsidRPr="00912A5D">
        <w:rPr>
          <w:b/>
          <w:color w:val="000000"/>
          <w:szCs w:val="22"/>
          <w:lang w:val="fi-FI"/>
        </w:rPr>
        <w:tab/>
        <w:t>Vasteet kliinisissä tutkimuksissa koskien kroonista myelooista leukemiaa aikuisilla</w:t>
      </w:r>
    </w:p>
    <w:p w14:paraId="586FC7C6" w14:textId="77777777" w:rsidR="00311DC5" w:rsidRPr="00912A5D" w:rsidRDefault="00311DC5" w:rsidP="00331A48">
      <w:pPr>
        <w:pStyle w:val="EndnoteText"/>
        <w:keepNext/>
        <w:widowControl w:val="0"/>
        <w:tabs>
          <w:tab w:val="clear" w:pos="567"/>
        </w:tabs>
        <w:rPr>
          <w:color w:val="000000"/>
          <w:szCs w:val="22"/>
          <w:lang w:val="fi-FI"/>
        </w:rPr>
      </w:pP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1985"/>
        <w:gridCol w:w="1985"/>
        <w:gridCol w:w="1842"/>
      </w:tblGrid>
      <w:tr w:rsidR="00311DC5" w:rsidRPr="00912A5D" w14:paraId="586FC7D3" w14:textId="77777777" w:rsidTr="00331A48">
        <w:trPr>
          <w:cantSplit/>
        </w:trPr>
        <w:tc>
          <w:tcPr>
            <w:tcW w:w="3510" w:type="dxa"/>
            <w:tcBorders>
              <w:bottom w:val="nil"/>
            </w:tcBorders>
          </w:tcPr>
          <w:p w14:paraId="586FC7C7" w14:textId="77777777" w:rsidR="00311DC5" w:rsidRPr="00912A5D" w:rsidRDefault="00311DC5" w:rsidP="00331A48">
            <w:pPr>
              <w:pStyle w:val="EndnoteText"/>
              <w:keepNext/>
              <w:widowControl w:val="0"/>
              <w:tabs>
                <w:tab w:val="clear" w:pos="567"/>
              </w:tabs>
              <w:rPr>
                <w:color w:val="000000"/>
                <w:szCs w:val="22"/>
                <w:lang w:val="fi-FI"/>
              </w:rPr>
            </w:pPr>
          </w:p>
        </w:tc>
        <w:tc>
          <w:tcPr>
            <w:tcW w:w="1985" w:type="dxa"/>
            <w:tcBorders>
              <w:bottom w:val="nil"/>
            </w:tcBorders>
          </w:tcPr>
          <w:p w14:paraId="586FC7C8"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Tutkimus 0110</w:t>
            </w:r>
            <w:r w:rsidRPr="00912A5D">
              <w:rPr>
                <w:color w:val="000000"/>
                <w:szCs w:val="22"/>
                <w:lang w:val="fi-FI"/>
              </w:rPr>
              <w:br/>
              <w:t>37 kuukauden tiedot</w:t>
            </w:r>
          </w:p>
          <w:p w14:paraId="586FC7C9"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Krooninen vaihe, epäonnistunut interferonihoito</w:t>
            </w:r>
          </w:p>
          <w:p w14:paraId="586FC7CA"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(n=532)</w:t>
            </w:r>
          </w:p>
        </w:tc>
        <w:tc>
          <w:tcPr>
            <w:tcW w:w="1985" w:type="dxa"/>
            <w:tcBorders>
              <w:bottom w:val="nil"/>
            </w:tcBorders>
          </w:tcPr>
          <w:p w14:paraId="586FC7CB"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Tutkimus 0109</w:t>
            </w:r>
          </w:p>
          <w:p w14:paraId="586FC7CC"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40,5 kuukauden tiedot</w:t>
            </w:r>
          </w:p>
          <w:p w14:paraId="586FC7CD"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Akseleraatiovaihe</w:t>
            </w:r>
          </w:p>
          <w:p w14:paraId="586FC7CE"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(n=235)</w:t>
            </w:r>
          </w:p>
        </w:tc>
        <w:tc>
          <w:tcPr>
            <w:tcW w:w="1842" w:type="dxa"/>
            <w:tcBorders>
              <w:bottom w:val="nil"/>
            </w:tcBorders>
          </w:tcPr>
          <w:p w14:paraId="586FC7CF"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Tutkimus 0102</w:t>
            </w:r>
          </w:p>
          <w:p w14:paraId="586FC7D0"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38 kuukauden tiedot</w:t>
            </w:r>
          </w:p>
          <w:p w14:paraId="586FC7D1"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Myelooinen blastikriisi</w:t>
            </w:r>
          </w:p>
          <w:p w14:paraId="586FC7D2"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(n=260)</w:t>
            </w:r>
          </w:p>
        </w:tc>
      </w:tr>
      <w:tr w:rsidR="00311DC5" w:rsidRPr="00912A5D" w14:paraId="586FC7D6" w14:textId="77777777" w:rsidTr="00331A48">
        <w:trPr>
          <w:cantSplit/>
        </w:trPr>
        <w:tc>
          <w:tcPr>
            <w:tcW w:w="3510" w:type="dxa"/>
            <w:tcBorders>
              <w:bottom w:val="nil"/>
            </w:tcBorders>
          </w:tcPr>
          <w:p w14:paraId="586FC7D4" w14:textId="77777777" w:rsidR="00311DC5" w:rsidRPr="00912A5D" w:rsidRDefault="00311DC5" w:rsidP="00331A48">
            <w:pPr>
              <w:pStyle w:val="EndnoteText"/>
              <w:keepNext/>
              <w:widowControl w:val="0"/>
              <w:tabs>
                <w:tab w:val="clear" w:pos="567"/>
              </w:tabs>
              <w:jc w:val="center"/>
              <w:rPr>
                <w:color w:val="000000"/>
                <w:szCs w:val="22"/>
                <w:lang w:val="fi-FI"/>
              </w:rPr>
            </w:pPr>
          </w:p>
        </w:tc>
        <w:tc>
          <w:tcPr>
            <w:tcW w:w="5812" w:type="dxa"/>
            <w:gridSpan w:val="3"/>
            <w:tcBorders>
              <w:bottom w:val="nil"/>
            </w:tcBorders>
          </w:tcPr>
          <w:p w14:paraId="586FC7D5"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 potilaista (95 %:n luottamusväli)</w:t>
            </w:r>
          </w:p>
        </w:tc>
      </w:tr>
      <w:tr w:rsidR="00311DC5" w:rsidRPr="00912A5D" w14:paraId="586FC7DB" w14:textId="77777777" w:rsidTr="00331A48">
        <w:trPr>
          <w:cantSplit/>
        </w:trPr>
        <w:tc>
          <w:tcPr>
            <w:tcW w:w="3510" w:type="dxa"/>
            <w:tcBorders>
              <w:bottom w:val="nil"/>
            </w:tcBorders>
          </w:tcPr>
          <w:p w14:paraId="586FC7D7"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lang w:val="fi-FI"/>
              </w:rPr>
              <w:t>Hematologinen vaste</w:t>
            </w:r>
            <w:r w:rsidRPr="00912A5D">
              <w:rPr>
                <w:color w:val="000000"/>
                <w:position w:val="8"/>
                <w:szCs w:val="22"/>
                <w:vertAlign w:val="superscript"/>
                <w:lang w:val="fi-FI"/>
              </w:rPr>
              <w:t>1</w:t>
            </w:r>
          </w:p>
        </w:tc>
        <w:tc>
          <w:tcPr>
            <w:tcW w:w="1985" w:type="dxa"/>
            <w:tcBorders>
              <w:bottom w:val="nil"/>
            </w:tcBorders>
          </w:tcPr>
          <w:p w14:paraId="586FC7D8"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95 % (92,3–96,3)</w:t>
            </w:r>
          </w:p>
        </w:tc>
        <w:tc>
          <w:tcPr>
            <w:tcW w:w="1985" w:type="dxa"/>
            <w:tcBorders>
              <w:bottom w:val="nil"/>
            </w:tcBorders>
          </w:tcPr>
          <w:p w14:paraId="586FC7D9"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71 % (65,3–77,2)</w:t>
            </w:r>
          </w:p>
        </w:tc>
        <w:tc>
          <w:tcPr>
            <w:tcW w:w="1842" w:type="dxa"/>
            <w:tcBorders>
              <w:bottom w:val="nil"/>
            </w:tcBorders>
          </w:tcPr>
          <w:p w14:paraId="586FC7DA"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31 % (25,2–36,8)</w:t>
            </w:r>
          </w:p>
        </w:tc>
      </w:tr>
      <w:tr w:rsidR="00311DC5" w:rsidRPr="00912A5D" w14:paraId="586FC7E0" w14:textId="77777777" w:rsidTr="00331A48">
        <w:trPr>
          <w:cantSplit/>
        </w:trPr>
        <w:tc>
          <w:tcPr>
            <w:tcW w:w="3510" w:type="dxa"/>
            <w:tcBorders>
              <w:top w:val="nil"/>
              <w:bottom w:val="nil"/>
            </w:tcBorders>
          </w:tcPr>
          <w:p w14:paraId="586FC7DC" w14:textId="77777777" w:rsidR="00311DC5" w:rsidRPr="00912A5D" w:rsidRDefault="00311DC5" w:rsidP="00331A48">
            <w:pPr>
              <w:pStyle w:val="EndnoteText"/>
              <w:keepNext/>
              <w:widowControl w:val="0"/>
              <w:tabs>
                <w:tab w:val="clear" w:pos="567"/>
              </w:tabs>
              <w:ind w:left="284"/>
              <w:rPr>
                <w:color w:val="000000"/>
                <w:szCs w:val="22"/>
                <w:lang w:val="fi-FI"/>
              </w:rPr>
            </w:pPr>
            <w:r w:rsidRPr="00912A5D">
              <w:rPr>
                <w:color w:val="000000"/>
                <w:szCs w:val="22"/>
                <w:lang w:val="fi-FI"/>
              </w:rPr>
              <w:t>Täydellinen hematologinen vaste (</w:t>
            </w:r>
            <w:smartTag w:uri="urn:schemas-microsoft-com:office:smarttags" w:element="State">
              <w:r w:rsidRPr="00912A5D">
                <w:rPr>
                  <w:color w:val="000000"/>
                  <w:szCs w:val="22"/>
                  <w:lang w:val="fi-FI"/>
                </w:rPr>
                <w:t>CHR</w:t>
              </w:r>
            </w:smartTag>
            <w:r w:rsidRPr="00912A5D">
              <w:rPr>
                <w:color w:val="000000"/>
                <w:szCs w:val="22"/>
                <w:lang w:val="fi-FI"/>
              </w:rPr>
              <w:t>)</w:t>
            </w:r>
          </w:p>
        </w:tc>
        <w:tc>
          <w:tcPr>
            <w:tcW w:w="1985" w:type="dxa"/>
            <w:tcBorders>
              <w:top w:val="nil"/>
              <w:bottom w:val="nil"/>
            </w:tcBorders>
          </w:tcPr>
          <w:p w14:paraId="586FC7DD"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95 %</w:t>
            </w:r>
          </w:p>
        </w:tc>
        <w:tc>
          <w:tcPr>
            <w:tcW w:w="1985" w:type="dxa"/>
            <w:tcBorders>
              <w:top w:val="nil"/>
              <w:bottom w:val="nil"/>
            </w:tcBorders>
          </w:tcPr>
          <w:p w14:paraId="586FC7DE"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42 %</w:t>
            </w:r>
          </w:p>
        </w:tc>
        <w:tc>
          <w:tcPr>
            <w:tcW w:w="1842" w:type="dxa"/>
            <w:tcBorders>
              <w:top w:val="nil"/>
              <w:bottom w:val="nil"/>
            </w:tcBorders>
          </w:tcPr>
          <w:p w14:paraId="586FC7DF"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8 %</w:t>
            </w:r>
          </w:p>
        </w:tc>
      </w:tr>
      <w:tr w:rsidR="00311DC5" w:rsidRPr="00912A5D" w14:paraId="586FC7E5" w14:textId="77777777" w:rsidTr="00331A48">
        <w:trPr>
          <w:cantSplit/>
        </w:trPr>
        <w:tc>
          <w:tcPr>
            <w:tcW w:w="3510" w:type="dxa"/>
            <w:tcBorders>
              <w:top w:val="nil"/>
              <w:bottom w:val="nil"/>
            </w:tcBorders>
          </w:tcPr>
          <w:p w14:paraId="586FC7E1" w14:textId="77777777" w:rsidR="00311DC5" w:rsidRPr="00912A5D" w:rsidRDefault="00311DC5" w:rsidP="00331A48">
            <w:pPr>
              <w:pStyle w:val="EndnoteText"/>
              <w:keepNext/>
              <w:widowControl w:val="0"/>
              <w:tabs>
                <w:tab w:val="clear" w:pos="567"/>
              </w:tabs>
              <w:ind w:left="284"/>
              <w:rPr>
                <w:color w:val="000000"/>
                <w:szCs w:val="22"/>
                <w:lang w:val="fi-FI"/>
              </w:rPr>
            </w:pPr>
            <w:r w:rsidRPr="00912A5D">
              <w:rPr>
                <w:color w:val="000000"/>
                <w:szCs w:val="22"/>
                <w:lang w:val="fi-FI"/>
              </w:rPr>
              <w:t>Ei näyttöä leukemiasta (NEL)</w:t>
            </w:r>
          </w:p>
        </w:tc>
        <w:tc>
          <w:tcPr>
            <w:tcW w:w="1985" w:type="dxa"/>
            <w:tcBorders>
              <w:top w:val="nil"/>
              <w:bottom w:val="nil"/>
            </w:tcBorders>
          </w:tcPr>
          <w:p w14:paraId="586FC7E2"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Ei sovellettavissa</w:t>
            </w:r>
          </w:p>
        </w:tc>
        <w:tc>
          <w:tcPr>
            <w:tcW w:w="1985" w:type="dxa"/>
            <w:tcBorders>
              <w:top w:val="nil"/>
              <w:bottom w:val="nil"/>
            </w:tcBorders>
          </w:tcPr>
          <w:p w14:paraId="586FC7E3"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12 %</w:t>
            </w:r>
          </w:p>
        </w:tc>
        <w:tc>
          <w:tcPr>
            <w:tcW w:w="1842" w:type="dxa"/>
            <w:tcBorders>
              <w:top w:val="nil"/>
              <w:bottom w:val="nil"/>
            </w:tcBorders>
          </w:tcPr>
          <w:p w14:paraId="586FC7E4"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5 %</w:t>
            </w:r>
          </w:p>
        </w:tc>
      </w:tr>
      <w:tr w:rsidR="00311DC5" w:rsidRPr="00912A5D" w14:paraId="586FC7EA" w14:textId="77777777" w:rsidTr="00331A48">
        <w:trPr>
          <w:cantSplit/>
        </w:trPr>
        <w:tc>
          <w:tcPr>
            <w:tcW w:w="3510" w:type="dxa"/>
            <w:tcBorders>
              <w:top w:val="nil"/>
              <w:bottom w:val="nil"/>
            </w:tcBorders>
          </w:tcPr>
          <w:p w14:paraId="586FC7E6" w14:textId="77777777" w:rsidR="00311DC5" w:rsidRPr="00912A5D" w:rsidRDefault="00311DC5" w:rsidP="00331A48">
            <w:pPr>
              <w:pStyle w:val="EndnoteText"/>
              <w:keepNext/>
              <w:widowControl w:val="0"/>
              <w:tabs>
                <w:tab w:val="clear" w:pos="567"/>
              </w:tabs>
              <w:ind w:left="284"/>
              <w:rPr>
                <w:color w:val="000000"/>
                <w:szCs w:val="22"/>
                <w:lang w:val="fi-FI"/>
              </w:rPr>
            </w:pPr>
            <w:r w:rsidRPr="00912A5D">
              <w:rPr>
                <w:color w:val="000000"/>
                <w:szCs w:val="22"/>
                <w:lang w:val="fi-FI"/>
              </w:rPr>
              <w:t>Paluu krooniseen vaiheeseen (</w:t>
            </w:r>
            <w:smartTag w:uri="urn:schemas-microsoft-com:office:smarttags" w:element="State">
              <w:r w:rsidRPr="00912A5D">
                <w:rPr>
                  <w:color w:val="000000"/>
                  <w:szCs w:val="22"/>
                  <w:lang w:val="fi-FI"/>
                </w:rPr>
                <w:t>RTC</w:t>
              </w:r>
            </w:smartTag>
            <w:r w:rsidRPr="00912A5D">
              <w:rPr>
                <w:color w:val="000000"/>
                <w:szCs w:val="22"/>
                <w:lang w:val="fi-FI"/>
              </w:rPr>
              <w:t>)</w:t>
            </w:r>
          </w:p>
        </w:tc>
        <w:tc>
          <w:tcPr>
            <w:tcW w:w="1985" w:type="dxa"/>
            <w:tcBorders>
              <w:top w:val="nil"/>
              <w:bottom w:val="nil"/>
            </w:tcBorders>
          </w:tcPr>
          <w:p w14:paraId="586FC7E7"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Ei sovellettavissa</w:t>
            </w:r>
          </w:p>
        </w:tc>
        <w:tc>
          <w:tcPr>
            <w:tcW w:w="1985" w:type="dxa"/>
            <w:tcBorders>
              <w:top w:val="nil"/>
              <w:bottom w:val="nil"/>
            </w:tcBorders>
          </w:tcPr>
          <w:p w14:paraId="586FC7E8"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17 %</w:t>
            </w:r>
          </w:p>
        </w:tc>
        <w:tc>
          <w:tcPr>
            <w:tcW w:w="1842" w:type="dxa"/>
            <w:tcBorders>
              <w:top w:val="nil"/>
              <w:bottom w:val="nil"/>
            </w:tcBorders>
          </w:tcPr>
          <w:p w14:paraId="586FC7E9"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18 %</w:t>
            </w:r>
          </w:p>
        </w:tc>
      </w:tr>
      <w:tr w:rsidR="00311DC5" w:rsidRPr="00912A5D" w14:paraId="586FC7EF" w14:textId="77777777" w:rsidTr="00331A48">
        <w:trPr>
          <w:cantSplit/>
        </w:trPr>
        <w:tc>
          <w:tcPr>
            <w:tcW w:w="3510" w:type="dxa"/>
            <w:tcBorders>
              <w:bottom w:val="nil"/>
            </w:tcBorders>
          </w:tcPr>
          <w:p w14:paraId="586FC7EB"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lang w:val="fi-FI"/>
              </w:rPr>
              <w:t>Huomattava sytogeneettinen vaste</w:t>
            </w:r>
            <w:r w:rsidRPr="00912A5D">
              <w:rPr>
                <w:color w:val="000000"/>
                <w:position w:val="8"/>
                <w:szCs w:val="22"/>
                <w:vertAlign w:val="superscript"/>
                <w:lang w:val="fi-FI"/>
              </w:rPr>
              <w:t>2</w:t>
            </w:r>
          </w:p>
        </w:tc>
        <w:tc>
          <w:tcPr>
            <w:tcW w:w="1985" w:type="dxa"/>
            <w:tcBorders>
              <w:bottom w:val="nil"/>
            </w:tcBorders>
          </w:tcPr>
          <w:p w14:paraId="586FC7EC"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65 % (61,2–69,5)</w:t>
            </w:r>
          </w:p>
        </w:tc>
        <w:tc>
          <w:tcPr>
            <w:tcW w:w="1985" w:type="dxa"/>
            <w:tcBorders>
              <w:bottom w:val="nil"/>
            </w:tcBorders>
          </w:tcPr>
          <w:p w14:paraId="586FC7ED"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28 % (22,0–33,9)</w:t>
            </w:r>
          </w:p>
        </w:tc>
        <w:tc>
          <w:tcPr>
            <w:tcW w:w="1842" w:type="dxa"/>
            <w:tcBorders>
              <w:bottom w:val="nil"/>
            </w:tcBorders>
          </w:tcPr>
          <w:p w14:paraId="586FC7EE"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15 % (11,2–20,4)</w:t>
            </w:r>
          </w:p>
        </w:tc>
      </w:tr>
      <w:tr w:rsidR="00311DC5" w:rsidRPr="00912A5D" w14:paraId="586FC7F4" w14:textId="77777777" w:rsidTr="00331A48">
        <w:trPr>
          <w:cantSplit/>
        </w:trPr>
        <w:tc>
          <w:tcPr>
            <w:tcW w:w="3510" w:type="dxa"/>
            <w:tcBorders>
              <w:top w:val="nil"/>
              <w:bottom w:val="nil"/>
            </w:tcBorders>
          </w:tcPr>
          <w:p w14:paraId="586FC7F0" w14:textId="77777777" w:rsidR="00311DC5" w:rsidRPr="00912A5D" w:rsidRDefault="00311DC5" w:rsidP="00331A48">
            <w:pPr>
              <w:pStyle w:val="EndnoteText"/>
              <w:keepNext/>
              <w:widowControl w:val="0"/>
              <w:tabs>
                <w:tab w:val="clear" w:pos="567"/>
              </w:tabs>
              <w:ind w:left="284"/>
              <w:rPr>
                <w:color w:val="000000"/>
                <w:szCs w:val="22"/>
                <w:lang w:val="fi-FI"/>
              </w:rPr>
            </w:pPr>
            <w:r w:rsidRPr="00912A5D">
              <w:rPr>
                <w:color w:val="000000"/>
                <w:szCs w:val="22"/>
                <w:lang w:val="fi-FI"/>
              </w:rPr>
              <w:t>Täydellinen</w:t>
            </w:r>
          </w:p>
        </w:tc>
        <w:tc>
          <w:tcPr>
            <w:tcW w:w="1985" w:type="dxa"/>
            <w:tcBorders>
              <w:top w:val="nil"/>
              <w:bottom w:val="nil"/>
            </w:tcBorders>
          </w:tcPr>
          <w:p w14:paraId="586FC7F1"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53 %</w:t>
            </w:r>
          </w:p>
        </w:tc>
        <w:tc>
          <w:tcPr>
            <w:tcW w:w="1985" w:type="dxa"/>
            <w:tcBorders>
              <w:top w:val="nil"/>
              <w:bottom w:val="nil"/>
            </w:tcBorders>
          </w:tcPr>
          <w:p w14:paraId="586FC7F2"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20 %</w:t>
            </w:r>
          </w:p>
        </w:tc>
        <w:tc>
          <w:tcPr>
            <w:tcW w:w="1842" w:type="dxa"/>
            <w:tcBorders>
              <w:top w:val="nil"/>
              <w:bottom w:val="nil"/>
            </w:tcBorders>
          </w:tcPr>
          <w:p w14:paraId="586FC7F3"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7 %</w:t>
            </w:r>
          </w:p>
        </w:tc>
      </w:tr>
      <w:tr w:rsidR="00311DC5" w:rsidRPr="00912A5D" w14:paraId="586FC7F9" w14:textId="77777777" w:rsidTr="00331A48">
        <w:trPr>
          <w:cantSplit/>
        </w:trPr>
        <w:tc>
          <w:tcPr>
            <w:tcW w:w="3510" w:type="dxa"/>
            <w:tcBorders>
              <w:top w:val="nil"/>
              <w:bottom w:val="nil"/>
            </w:tcBorders>
          </w:tcPr>
          <w:p w14:paraId="586FC7F5" w14:textId="77777777" w:rsidR="00311DC5" w:rsidRPr="00912A5D" w:rsidRDefault="00311DC5" w:rsidP="00331A48">
            <w:pPr>
              <w:pStyle w:val="EndnoteText"/>
              <w:keepNext/>
              <w:widowControl w:val="0"/>
              <w:tabs>
                <w:tab w:val="clear" w:pos="567"/>
              </w:tabs>
              <w:ind w:left="284"/>
              <w:rPr>
                <w:color w:val="000000"/>
                <w:szCs w:val="22"/>
                <w:lang w:val="fi-FI"/>
              </w:rPr>
            </w:pPr>
            <w:r w:rsidRPr="00912A5D">
              <w:rPr>
                <w:color w:val="000000"/>
                <w:szCs w:val="22"/>
                <w:lang w:val="fi-FI"/>
              </w:rPr>
              <w:t>(Varmistettu</w:t>
            </w:r>
            <w:r w:rsidRPr="00912A5D">
              <w:rPr>
                <w:color w:val="000000"/>
                <w:position w:val="8"/>
                <w:szCs w:val="22"/>
                <w:vertAlign w:val="superscript"/>
                <w:lang w:val="fi-FI"/>
              </w:rPr>
              <w:t>3</w:t>
            </w:r>
            <w:r w:rsidRPr="00912A5D">
              <w:rPr>
                <w:color w:val="000000"/>
                <w:szCs w:val="22"/>
                <w:lang w:val="fi-FI"/>
              </w:rPr>
              <w:t>) [95 %:n luottamusväli]</w:t>
            </w:r>
          </w:p>
        </w:tc>
        <w:tc>
          <w:tcPr>
            <w:tcW w:w="1985" w:type="dxa"/>
            <w:tcBorders>
              <w:top w:val="nil"/>
              <w:bottom w:val="nil"/>
            </w:tcBorders>
          </w:tcPr>
          <w:p w14:paraId="586FC7F6"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(43 %) [38,6–47,2]</w:t>
            </w:r>
          </w:p>
        </w:tc>
        <w:tc>
          <w:tcPr>
            <w:tcW w:w="1985" w:type="dxa"/>
            <w:tcBorders>
              <w:top w:val="nil"/>
              <w:bottom w:val="nil"/>
            </w:tcBorders>
          </w:tcPr>
          <w:p w14:paraId="586FC7F7"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(16 %) [11,3–21,0]</w:t>
            </w:r>
          </w:p>
        </w:tc>
        <w:tc>
          <w:tcPr>
            <w:tcW w:w="1842" w:type="dxa"/>
            <w:tcBorders>
              <w:top w:val="nil"/>
              <w:bottom w:val="nil"/>
            </w:tcBorders>
          </w:tcPr>
          <w:p w14:paraId="586FC7F8"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(2 %) [0,6–4,4]</w:t>
            </w:r>
          </w:p>
        </w:tc>
      </w:tr>
      <w:tr w:rsidR="00311DC5" w:rsidRPr="00912A5D" w14:paraId="586FC7FE" w14:textId="77777777" w:rsidTr="00331A48">
        <w:trPr>
          <w:cantSplit/>
        </w:trPr>
        <w:tc>
          <w:tcPr>
            <w:tcW w:w="3510" w:type="dxa"/>
            <w:tcBorders>
              <w:top w:val="nil"/>
              <w:bottom w:val="single" w:sz="4" w:space="0" w:color="auto"/>
            </w:tcBorders>
          </w:tcPr>
          <w:p w14:paraId="586FC7FA" w14:textId="77777777" w:rsidR="00311DC5" w:rsidRPr="00912A5D" w:rsidRDefault="00311DC5" w:rsidP="00331A48">
            <w:pPr>
              <w:pStyle w:val="EndnoteText"/>
              <w:keepNext/>
              <w:widowControl w:val="0"/>
              <w:tabs>
                <w:tab w:val="clear" w:pos="567"/>
              </w:tabs>
              <w:ind w:left="284"/>
              <w:rPr>
                <w:color w:val="000000"/>
                <w:szCs w:val="22"/>
                <w:lang w:val="fi-FI"/>
              </w:rPr>
            </w:pPr>
            <w:r w:rsidRPr="00912A5D">
              <w:rPr>
                <w:color w:val="000000"/>
                <w:szCs w:val="22"/>
                <w:lang w:val="fi-FI"/>
              </w:rPr>
              <w:t>Osittainen</w:t>
            </w:r>
          </w:p>
        </w:tc>
        <w:tc>
          <w:tcPr>
            <w:tcW w:w="1985" w:type="dxa"/>
            <w:tcBorders>
              <w:top w:val="nil"/>
              <w:bottom w:val="single" w:sz="4" w:space="0" w:color="auto"/>
            </w:tcBorders>
          </w:tcPr>
          <w:p w14:paraId="586FC7FB"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12 %</w:t>
            </w:r>
          </w:p>
        </w:tc>
        <w:tc>
          <w:tcPr>
            <w:tcW w:w="1985" w:type="dxa"/>
            <w:tcBorders>
              <w:top w:val="nil"/>
              <w:bottom w:val="single" w:sz="4" w:space="0" w:color="auto"/>
            </w:tcBorders>
          </w:tcPr>
          <w:p w14:paraId="586FC7FC"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7 %</w:t>
            </w:r>
          </w:p>
        </w:tc>
        <w:tc>
          <w:tcPr>
            <w:tcW w:w="1842" w:type="dxa"/>
            <w:tcBorders>
              <w:top w:val="nil"/>
              <w:bottom w:val="single" w:sz="4" w:space="0" w:color="auto"/>
            </w:tcBorders>
          </w:tcPr>
          <w:p w14:paraId="586FC7FD"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8 %</w:t>
            </w:r>
          </w:p>
        </w:tc>
      </w:tr>
      <w:tr w:rsidR="00311DC5" w:rsidRPr="00912A5D" w14:paraId="586FC809" w14:textId="77777777" w:rsidTr="00331A48">
        <w:trPr>
          <w:cantSplit/>
        </w:trPr>
        <w:tc>
          <w:tcPr>
            <w:tcW w:w="9322" w:type="dxa"/>
            <w:gridSpan w:val="4"/>
            <w:tcBorders>
              <w:top w:val="nil"/>
            </w:tcBorders>
          </w:tcPr>
          <w:p w14:paraId="586FC7FF" w14:textId="77777777" w:rsidR="00311DC5" w:rsidRPr="00912A5D" w:rsidRDefault="00311DC5" w:rsidP="008238ED">
            <w:pPr>
              <w:pStyle w:val="Table"/>
              <w:keepNext w:val="0"/>
              <w:keepLines w:val="0"/>
              <w:widowControl w:val="0"/>
              <w:tabs>
                <w:tab w:val="clear" w:pos="284"/>
              </w:tabs>
              <w:spacing w:before="0" w:after="0"/>
              <w:rPr>
                <w:rFonts w:ascii="Times New Roman" w:hAnsi="Times New Roman"/>
                <w:b/>
                <w:color w:val="000000"/>
                <w:sz w:val="22"/>
                <w:szCs w:val="22"/>
                <w:lang w:val="fi-FI"/>
              </w:rPr>
            </w:pPr>
            <w:r w:rsidRPr="00912A5D">
              <w:rPr>
                <w:rFonts w:ascii="Times New Roman" w:hAnsi="Times New Roman"/>
                <w:b/>
                <w:color w:val="000000"/>
                <w:position w:val="10"/>
                <w:sz w:val="22"/>
                <w:szCs w:val="22"/>
                <w:vertAlign w:val="superscript"/>
                <w:lang w:val="fi-FI"/>
              </w:rPr>
              <w:t>1</w:t>
            </w:r>
            <w:r w:rsidRPr="00912A5D">
              <w:rPr>
                <w:rFonts w:ascii="Times New Roman" w:hAnsi="Times New Roman"/>
                <w:b/>
                <w:color w:val="000000"/>
                <w:sz w:val="22"/>
                <w:szCs w:val="22"/>
                <w:lang w:val="fi-FI"/>
              </w:rPr>
              <w:t>Hematologisen vasteen kriteerit (kaikki vasteet varmistetaan ≥ 4 viikon jälkeen):</w:t>
            </w:r>
          </w:p>
          <w:p w14:paraId="586FC800" w14:textId="77777777" w:rsidR="00311DC5" w:rsidRPr="00912A5D" w:rsidRDefault="00311DC5" w:rsidP="008238ED">
            <w:pPr>
              <w:pStyle w:val="Table"/>
              <w:keepNext w:val="0"/>
              <w:keepLines w:val="0"/>
              <w:widowControl w:val="0"/>
              <w:tabs>
                <w:tab w:val="clear" w:pos="284"/>
              </w:tabs>
              <w:spacing w:before="0" w:after="0"/>
              <w:ind w:left="567" w:hanging="567"/>
              <w:rPr>
                <w:rFonts w:ascii="Times New Roman" w:hAnsi="Times New Roman"/>
                <w:color w:val="000000"/>
                <w:sz w:val="22"/>
                <w:szCs w:val="22"/>
                <w:lang w:val="fi-FI"/>
              </w:rPr>
            </w:pPr>
            <w:r w:rsidRPr="00912A5D">
              <w:rPr>
                <w:rFonts w:ascii="Times New Roman" w:hAnsi="Times New Roman"/>
                <w:color w:val="000000"/>
                <w:sz w:val="22"/>
                <w:szCs w:val="22"/>
                <w:lang w:val="fi-FI"/>
              </w:rPr>
              <w:t>Täydellinen hematologinen vaste (</w:t>
            </w:r>
            <w:smartTag w:uri="urn:schemas-microsoft-com:office:smarttags" w:element="State">
              <w:r w:rsidRPr="00912A5D">
                <w:rPr>
                  <w:rFonts w:ascii="Times New Roman" w:hAnsi="Times New Roman"/>
                  <w:color w:val="000000"/>
                  <w:sz w:val="22"/>
                  <w:szCs w:val="22"/>
                  <w:lang w:val="fi-FI"/>
                </w:rPr>
                <w:t>CHR</w:t>
              </w:r>
            </w:smartTag>
            <w:r w:rsidRPr="00912A5D">
              <w:rPr>
                <w:rFonts w:ascii="Times New Roman" w:hAnsi="Times New Roman"/>
                <w:color w:val="000000"/>
                <w:sz w:val="22"/>
                <w:szCs w:val="22"/>
                <w:lang w:val="fi-FI"/>
              </w:rPr>
              <w:t>):</w:t>
            </w:r>
          </w:p>
          <w:p w14:paraId="586FC801" w14:textId="77777777" w:rsidR="00311DC5" w:rsidRPr="00912A5D" w:rsidRDefault="00311DC5" w:rsidP="008238ED">
            <w:pPr>
              <w:pStyle w:val="Table"/>
              <w:keepNext w:val="0"/>
              <w:keepLines w:val="0"/>
              <w:widowControl w:val="0"/>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Tutkimus 0110 [valkosolumäärä &lt; 10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trombosyyttiarvo &lt; 450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myelosyyttejä + metamyelosyyttejä &lt; 5 % veressä, ei blasteja eikä promyelosyyttejä veressä, basofiileja &lt; 20 %, ei luuytimenulkoista sairautta] ja tutkimuksissa 0102 ja 0109 [ANC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1,5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100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ei blasteja veressä, luuydinblasteja &lt; 5 % eikä luuytimenulkoista sairautta]</w:t>
            </w:r>
          </w:p>
          <w:p w14:paraId="586FC802" w14:textId="77777777" w:rsidR="00311DC5" w:rsidRPr="00912A5D" w:rsidRDefault="00311DC5" w:rsidP="008238ED">
            <w:pPr>
              <w:pStyle w:val="Table"/>
              <w:keepNext w:val="0"/>
              <w:keepLines w:val="0"/>
              <w:widowControl w:val="0"/>
              <w:tabs>
                <w:tab w:val="clear" w:pos="284"/>
              </w:tabs>
              <w:spacing w:before="0" w:after="0"/>
              <w:ind w:left="284" w:hanging="284"/>
              <w:rPr>
                <w:rFonts w:ascii="Times New Roman" w:hAnsi="Times New Roman"/>
                <w:color w:val="000000"/>
                <w:sz w:val="22"/>
                <w:szCs w:val="22"/>
                <w:lang w:val="fi-FI"/>
              </w:rPr>
            </w:pPr>
            <w:r w:rsidRPr="00912A5D">
              <w:rPr>
                <w:rFonts w:ascii="Times New Roman" w:hAnsi="Times New Roman"/>
                <w:color w:val="000000"/>
                <w:sz w:val="22"/>
                <w:szCs w:val="22"/>
                <w:lang w:val="fi-FI"/>
              </w:rPr>
              <w:t>Ei näyttöä leukemiasta (NEL):</w:t>
            </w:r>
          </w:p>
          <w:p w14:paraId="586FC803" w14:textId="77777777" w:rsidR="00311DC5" w:rsidRPr="00912A5D" w:rsidRDefault="00311DC5" w:rsidP="008238ED">
            <w:pPr>
              <w:pStyle w:val="Table"/>
              <w:keepNext w:val="0"/>
              <w:keepLines w:val="0"/>
              <w:widowControl w:val="0"/>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Samat kriteerit kuin täydellisessä hematologisesssa vasteessa, mutta ANC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1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 xml:space="preserve">/l ja trombosyyttiarvo </w:t>
            </w:r>
            <w:r w:rsidRPr="00912A5D">
              <w:rPr>
                <w:rFonts w:ascii="Times New Roman" w:hAnsi="Times New Roman"/>
                <w:color w:val="000000"/>
                <w:sz w:val="22"/>
                <w:szCs w:val="22"/>
                <w:lang w:val="fi-FI"/>
              </w:rPr>
              <w:sym w:font="Symbol" w:char="F0B3"/>
            </w:r>
            <w:r w:rsidRPr="00912A5D">
              <w:rPr>
                <w:rFonts w:ascii="Times New Roman" w:hAnsi="Times New Roman"/>
                <w:color w:val="000000"/>
                <w:sz w:val="22"/>
                <w:szCs w:val="22"/>
                <w:lang w:val="fi-FI"/>
              </w:rPr>
              <w:t> 20 x 10</w:t>
            </w:r>
            <w:r w:rsidRPr="00912A5D">
              <w:rPr>
                <w:rFonts w:ascii="Times New Roman" w:hAnsi="Times New Roman"/>
                <w:color w:val="000000"/>
                <w:sz w:val="22"/>
                <w:szCs w:val="22"/>
                <w:vertAlign w:val="superscript"/>
                <w:lang w:val="fi-FI"/>
              </w:rPr>
              <w:t>9</w:t>
            </w:r>
            <w:r w:rsidRPr="00912A5D">
              <w:rPr>
                <w:rFonts w:ascii="Times New Roman" w:hAnsi="Times New Roman"/>
                <w:color w:val="000000"/>
                <w:sz w:val="22"/>
                <w:szCs w:val="22"/>
                <w:lang w:val="fi-FI"/>
              </w:rPr>
              <w:t>/l (vain 0102 ja 0109)</w:t>
            </w:r>
          </w:p>
          <w:p w14:paraId="586FC804" w14:textId="77777777" w:rsidR="00311DC5" w:rsidRPr="00912A5D" w:rsidRDefault="00311DC5" w:rsidP="008238ED">
            <w:pPr>
              <w:pStyle w:val="Table"/>
              <w:keepNext w:val="0"/>
              <w:keepLines w:val="0"/>
              <w:widowControl w:val="0"/>
              <w:tabs>
                <w:tab w:val="clear" w:pos="284"/>
              </w:tabs>
              <w:spacing w:before="0" w:after="0"/>
              <w:ind w:left="567" w:hanging="567"/>
              <w:rPr>
                <w:rFonts w:ascii="Times New Roman" w:hAnsi="Times New Roman"/>
                <w:color w:val="000000"/>
                <w:sz w:val="22"/>
                <w:szCs w:val="22"/>
                <w:lang w:val="fi-FI"/>
              </w:rPr>
            </w:pPr>
            <w:r w:rsidRPr="00912A5D">
              <w:rPr>
                <w:rFonts w:ascii="Times New Roman" w:hAnsi="Times New Roman"/>
                <w:color w:val="000000"/>
                <w:sz w:val="22"/>
                <w:szCs w:val="22"/>
                <w:lang w:val="fi-FI"/>
              </w:rPr>
              <w:t>Paluu krooniseen vaiheeseen (</w:t>
            </w:r>
            <w:smartTag w:uri="urn:schemas-microsoft-com:office:smarttags" w:element="State">
              <w:r w:rsidRPr="00912A5D">
                <w:rPr>
                  <w:rFonts w:ascii="Times New Roman" w:hAnsi="Times New Roman"/>
                  <w:color w:val="000000"/>
                  <w:sz w:val="22"/>
                  <w:szCs w:val="22"/>
                  <w:lang w:val="fi-FI"/>
                </w:rPr>
                <w:t>RTC</w:t>
              </w:r>
            </w:smartTag>
            <w:r w:rsidRPr="00912A5D">
              <w:rPr>
                <w:rFonts w:ascii="Times New Roman" w:hAnsi="Times New Roman"/>
                <w:color w:val="000000"/>
                <w:sz w:val="22"/>
                <w:szCs w:val="22"/>
                <w:lang w:val="fi-FI"/>
              </w:rPr>
              <w:t>):</w:t>
            </w:r>
          </w:p>
          <w:p w14:paraId="586FC805" w14:textId="77777777" w:rsidR="00311DC5" w:rsidRPr="00912A5D" w:rsidRDefault="00311DC5" w:rsidP="008238ED">
            <w:pPr>
              <w:pStyle w:val="Table"/>
              <w:keepNext w:val="0"/>
              <w:keepLines w:val="0"/>
              <w:widowControl w:val="0"/>
              <w:tabs>
                <w:tab w:val="clear" w:pos="284"/>
              </w:tabs>
              <w:spacing w:before="0" w:after="0"/>
              <w:rPr>
                <w:rFonts w:ascii="Times New Roman" w:hAnsi="Times New Roman"/>
                <w:color w:val="000000"/>
                <w:sz w:val="22"/>
                <w:szCs w:val="22"/>
                <w:lang w:val="fi-FI"/>
              </w:rPr>
            </w:pPr>
            <w:r w:rsidRPr="00912A5D">
              <w:rPr>
                <w:rFonts w:ascii="Times New Roman" w:hAnsi="Times New Roman"/>
                <w:color w:val="000000"/>
                <w:sz w:val="22"/>
                <w:szCs w:val="22"/>
                <w:lang w:val="fi-FI"/>
              </w:rPr>
              <w:t>luuydin- ja ääreisveriblasteja &lt; 15 %, luuytimessä ja ääreisveressä blasteja + promyelosyyttejä &lt; 30 %, ääreisveressä basofiilejä &lt; 20 %, ei luuytimenulkoista sairautta lukuun ottamatta pernaa ja maksaa (vain 0102 ja 0109).</w:t>
            </w:r>
          </w:p>
          <w:p w14:paraId="586FC806" w14:textId="77777777" w:rsidR="00311DC5" w:rsidRPr="00912A5D" w:rsidRDefault="00311DC5" w:rsidP="008238ED">
            <w:pPr>
              <w:pStyle w:val="Table"/>
              <w:keepNext w:val="0"/>
              <w:keepLines w:val="0"/>
              <w:widowControl w:val="0"/>
              <w:tabs>
                <w:tab w:val="clear" w:pos="284"/>
              </w:tabs>
              <w:spacing w:before="0" w:after="0"/>
              <w:rPr>
                <w:rFonts w:ascii="Times New Roman" w:hAnsi="Times New Roman"/>
                <w:color w:val="000000"/>
                <w:sz w:val="22"/>
                <w:szCs w:val="22"/>
                <w:lang w:val="fi-FI"/>
              </w:rPr>
            </w:pPr>
            <w:r w:rsidRPr="00912A5D">
              <w:rPr>
                <w:rFonts w:ascii="Times New Roman" w:hAnsi="Times New Roman"/>
                <w:b/>
                <w:color w:val="000000"/>
                <w:position w:val="10"/>
                <w:sz w:val="22"/>
                <w:szCs w:val="22"/>
                <w:vertAlign w:val="superscript"/>
                <w:lang w:val="fi-FI"/>
              </w:rPr>
              <w:t>2</w:t>
            </w:r>
            <w:r w:rsidRPr="00912A5D">
              <w:rPr>
                <w:rFonts w:ascii="Times New Roman" w:hAnsi="Times New Roman"/>
                <w:b/>
                <w:color w:val="000000"/>
                <w:sz w:val="22"/>
                <w:szCs w:val="22"/>
                <w:lang w:val="fi-FI"/>
              </w:rPr>
              <w:t>Sytogeneettisen vasteen kriteerit:</w:t>
            </w:r>
          </w:p>
          <w:p w14:paraId="586FC807" w14:textId="77777777" w:rsidR="00311DC5" w:rsidRPr="00912A5D" w:rsidRDefault="00311DC5" w:rsidP="008238ED">
            <w:pPr>
              <w:pStyle w:val="EndnoteText"/>
              <w:widowControl w:val="0"/>
              <w:tabs>
                <w:tab w:val="clear" w:pos="567"/>
              </w:tabs>
              <w:rPr>
                <w:color w:val="000000"/>
                <w:szCs w:val="22"/>
                <w:lang w:val="fi-FI"/>
              </w:rPr>
            </w:pPr>
            <w:r w:rsidRPr="00912A5D">
              <w:rPr>
                <w:color w:val="000000"/>
                <w:szCs w:val="22"/>
                <w:lang w:val="fi-FI"/>
              </w:rPr>
              <w:t>Huomattavassa vasteessa yhdistyvät sekä täydellinen että osittainen vaste: Täydellinen (0 % Ph+-metafaaseja), osittainen (1–35 %).</w:t>
            </w:r>
          </w:p>
          <w:p w14:paraId="586FC808" w14:textId="77777777" w:rsidR="00311DC5" w:rsidRPr="00912A5D" w:rsidRDefault="00311DC5" w:rsidP="008238ED">
            <w:pPr>
              <w:pStyle w:val="EndnoteText"/>
              <w:widowControl w:val="0"/>
              <w:tabs>
                <w:tab w:val="clear" w:pos="567"/>
              </w:tabs>
              <w:rPr>
                <w:color w:val="000000"/>
                <w:szCs w:val="22"/>
                <w:lang w:val="fi-FI"/>
              </w:rPr>
            </w:pPr>
            <w:r w:rsidRPr="00912A5D">
              <w:rPr>
                <w:color w:val="000000"/>
                <w:position w:val="10"/>
                <w:szCs w:val="22"/>
                <w:vertAlign w:val="superscript"/>
                <w:lang w:val="fi-FI"/>
              </w:rPr>
              <w:t>3</w:t>
            </w:r>
            <w:r w:rsidRPr="00912A5D">
              <w:rPr>
                <w:color w:val="000000"/>
                <w:szCs w:val="22"/>
                <w:lang w:val="fi-FI"/>
              </w:rPr>
              <w:t>Täydellinen sytogeneettinen vaste, joka varmistettiin toisella luuytimen sytogeneettisellä tutkimuksella aikaisintaan kuukauden päästä ensimmäisestä luuytimen tutkimuksesta.</w:t>
            </w:r>
          </w:p>
        </w:tc>
      </w:tr>
    </w:tbl>
    <w:p w14:paraId="586FC80A" w14:textId="77777777" w:rsidR="00311DC5" w:rsidRPr="00912A5D" w:rsidRDefault="00311DC5" w:rsidP="00311DC5">
      <w:pPr>
        <w:pStyle w:val="EndnoteText"/>
        <w:widowControl w:val="0"/>
        <w:tabs>
          <w:tab w:val="clear" w:pos="567"/>
        </w:tabs>
        <w:rPr>
          <w:color w:val="000000"/>
          <w:szCs w:val="22"/>
          <w:lang w:val="fi-FI"/>
        </w:rPr>
      </w:pPr>
    </w:p>
    <w:p w14:paraId="586FC80B" w14:textId="77777777" w:rsidR="00311DC5" w:rsidRPr="00912A5D" w:rsidRDefault="00311DC5" w:rsidP="00311DC5">
      <w:pPr>
        <w:pStyle w:val="EndnoteText"/>
        <w:widowControl w:val="0"/>
        <w:tabs>
          <w:tab w:val="clear" w:pos="567"/>
        </w:tabs>
        <w:rPr>
          <w:color w:val="000000"/>
          <w:szCs w:val="22"/>
          <w:lang w:val="fi-FI"/>
        </w:rPr>
      </w:pPr>
      <w:r w:rsidRPr="00912A5D">
        <w:rPr>
          <w:i/>
          <w:color w:val="000000"/>
          <w:szCs w:val="22"/>
          <w:lang w:val="fi-FI"/>
        </w:rPr>
        <w:t>Lapsipotilaat:</w:t>
      </w:r>
      <w:r w:rsidRPr="00912A5D">
        <w:rPr>
          <w:color w:val="000000"/>
          <w:szCs w:val="22"/>
          <w:lang w:val="fi-FI"/>
        </w:rPr>
        <w:t xml:space="preserve"> I faasin suurenevin annoksin tehtyyn tutkimukseen osallistui yhteensä 26 alle 18-vuotiasta lasta, joilla oli joko kroonisen vaiheen </w:t>
      </w:r>
      <w:smartTag w:uri="urn:schemas-microsoft-com:office:smarttags" w:element="State">
        <w:r w:rsidRPr="00912A5D">
          <w:rPr>
            <w:color w:val="000000"/>
            <w:szCs w:val="22"/>
            <w:lang w:val="fi-FI"/>
          </w:rPr>
          <w:t>KML</w:t>
        </w:r>
      </w:smartTag>
      <w:r w:rsidRPr="00912A5D">
        <w:rPr>
          <w:color w:val="000000"/>
          <w:szCs w:val="22"/>
          <w:lang w:val="fi-FI"/>
        </w:rPr>
        <w:t xml:space="preserve"> (n=11) tai blastikriisissä oleva </w:t>
      </w:r>
      <w:smartTag w:uri="urn:schemas-microsoft-com:office:smarttags" w:element="State">
        <w:r w:rsidRPr="00912A5D">
          <w:rPr>
            <w:color w:val="000000"/>
            <w:szCs w:val="22"/>
            <w:lang w:val="fi-FI"/>
          </w:rPr>
          <w:t>KML</w:t>
        </w:r>
      </w:smartTag>
      <w:r w:rsidRPr="00912A5D">
        <w:rPr>
          <w:color w:val="000000"/>
          <w:szCs w:val="22"/>
          <w:lang w:val="fi-FI"/>
        </w:rPr>
        <w:t xml:space="preserve"> tai Philadelphia-krom</w:t>
      </w:r>
      <w:r>
        <w:rPr>
          <w:color w:val="000000"/>
          <w:szCs w:val="22"/>
          <w:lang w:val="fi-FI"/>
        </w:rPr>
        <w:t>o</w:t>
      </w:r>
      <w:r w:rsidRPr="00912A5D">
        <w:rPr>
          <w:color w:val="000000"/>
          <w:szCs w:val="22"/>
          <w:lang w:val="fi-FI"/>
        </w:rPr>
        <w:t>somipositiivinen akuutti leukemia (n=15). Tutkimukseen osallistuneita potilaita oli ennen tutkimusta hoidettu tehokkaasti. 46 %:lle potilaista oli tehty luuydinsiirto ja 73 %:lle oli annettu kemoterapiaa useilla eri lääkeaineilla. Potilaat saivat Gliveciä 260 mg/m</w:t>
      </w:r>
      <w:r w:rsidRPr="00912A5D">
        <w:rPr>
          <w:color w:val="000000"/>
          <w:szCs w:val="22"/>
          <w:vertAlign w:val="superscript"/>
          <w:lang w:val="fi-FI"/>
        </w:rPr>
        <w:t>2</w:t>
      </w:r>
      <w:r w:rsidRPr="00912A5D">
        <w:rPr>
          <w:color w:val="000000"/>
          <w:szCs w:val="22"/>
          <w:lang w:val="fi-FI"/>
        </w:rPr>
        <w:t>/vrk (n=5), 340 mg/m</w:t>
      </w:r>
      <w:r w:rsidRPr="00912A5D">
        <w:rPr>
          <w:color w:val="000000"/>
          <w:szCs w:val="22"/>
          <w:vertAlign w:val="superscript"/>
          <w:lang w:val="fi-FI"/>
        </w:rPr>
        <w:t>2</w:t>
      </w:r>
      <w:r w:rsidRPr="00912A5D">
        <w:rPr>
          <w:color w:val="000000"/>
          <w:szCs w:val="22"/>
          <w:lang w:val="fi-FI"/>
        </w:rPr>
        <w:t>/vrk (n=9), 440 mg/m</w:t>
      </w:r>
      <w:r w:rsidRPr="00912A5D">
        <w:rPr>
          <w:color w:val="000000"/>
          <w:szCs w:val="22"/>
          <w:vertAlign w:val="superscript"/>
          <w:lang w:val="fi-FI"/>
        </w:rPr>
        <w:t>2</w:t>
      </w:r>
      <w:r w:rsidRPr="00912A5D">
        <w:rPr>
          <w:color w:val="000000"/>
          <w:szCs w:val="22"/>
          <w:lang w:val="fi-FI"/>
        </w:rPr>
        <w:t>/vrk (n=7) ja 570 mg/m</w:t>
      </w:r>
      <w:r w:rsidRPr="00912A5D">
        <w:rPr>
          <w:color w:val="000000"/>
          <w:szCs w:val="22"/>
          <w:vertAlign w:val="superscript"/>
          <w:lang w:val="fi-FI"/>
        </w:rPr>
        <w:t>2</w:t>
      </w:r>
      <w:r w:rsidRPr="00912A5D">
        <w:rPr>
          <w:color w:val="000000"/>
          <w:szCs w:val="22"/>
          <w:lang w:val="fi-FI"/>
        </w:rPr>
        <w:t>/vrk (n=5). 9 kroonisen vaiheen KML:aa sairastavasta potilaasta, joiden sytogeneettiset tiedot ovat käytettävissä, 4 potilasta (44 %) saavutti täydellisen sytogeneettisen vasteen ja 3 potilasta (33 %) osittaisen sytogeneettisen vasteen. Huomattavan sytogeneettisen vasteen saavutti siis 77 % potilaista.</w:t>
      </w:r>
    </w:p>
    <w:p w14:paraId="586FC80C" w14:textId="77777777" w:rsidR="00311DC5" w:rsidRPr="00912A5D" w:rsidRDefault="00311DC5" w:rsidP="00311DC5">
      <w:pPr>
        <w:pStyle w:val="EndnoteText"/>
        <w:widowControl w:val="0"/>
        <w:tabs>
          <w:tab w:val="clear" w:pos="567"/>
        </w:tabs>
        <w:rPr>
          <w:color w:val="000000"/>
          <w:szCs w:val="22"/>
          <w:lang w:val="fi-FI"/>
        </w:rPr>
      </w:pPr>
    </w:p>
    <w:p w14:paraId="586FC80D"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 xml:space="preserve">II faasin avoimeen, yhdellä hoitoryhmällä toteutettavaan monikeskustutkimukseen osallistui yhteensä 51 lasta, joilla oli äskettäin diagnosoitu ja hoitamaton kroonisen vaiheen </w:t>
      </w:r>
      <w:smartTag w:uri="urn:schemas-microsoft-com:office:smarttags" w:element="State">
        <w:r w:rsidRPr="00912A5D">
          <w:rPr>
            <w:color w:val="000000"/>
            <w:szCs w:val="22"/>
            <w:lang w:val="fi-FI"/>
          </w:rPr>
          <w:t>KML</w:t>
        </w:r>
      </w:smartTag>
      <w:r w:rsidRPr="00912A5D">
        <w:rPr>
          <w:color w:val="000000"/>
          <w:szCs w:val="22"/>
          <w:lang w:val="fi-FI"/>
        </w:rPr>
        <w:t>. Potilaat saivat Gliveciä 340 mg/m</w:t>
      </w:r>
      <w:r w:rsidRPr="00912A5D">
        <w:rPr>
          <w:color w:val="000000"/>
          <w:szCs w:val="22"/>
          <w:vertAlign w:val="superscript"/>
          <w:lang w:val="fi-FI"/>
        </w:rPr>
        <w:t>2</w:t>
      </w:r>
      <w:r w:rsidRPr="00912A5D">
        <w:rPr>
          <w:color w:val="000000"/>
          <w:szCs w:val="22"/>
          <w:lang w:val="fi-FI"/>
        </w:rPr>
        <w:t xml:space="preserve">/vrk, ja hoitoa annettiin keskeytyksettä ellei annosta rajoittavaa toksisuutta ilmennyt. </w:t>
      </w:r>
      <w:r w:rsidRPr="00912A5D">
        <w:rPr>
          <w:color w:val="000000"/>
          <w:szCs w:val="22"/>
          <w:lang w:val="fi-FI"/>
        </w:rPr>
        <w:lastRenderedPageBreak/>
        <w:t xml:space="preserve">Glivec-hoito sai aikaan nopean hoitovasteen lapsilla, joiden </w:t>
      </w:r>
      <w:smartTag w:uri="urn:schemas-microsoft-com:office:smarttags" w:element="State">
        <w:r w:rsidRPr="00912A5D">
          <w:rPr>
            <w:color w:val="000000"/>
            <w:szCs w:val="22"/>
            <w:lang w:val="fi-FI"/>
          </w:rPr>
          <w:t>KML</w:t>
        </w:r>
      </w:smartTag>
      <w:r w:rsidRPr="00912A5D">
        <w:rPr>
          <w:color w:val="000000"/>
          <w:szCs w:val="22"/>
          <w:lang w:val="fi-FI"/>
        </w:rPr>
        <w:t xml:space="preserve"> oli äskettäin diagnosoitu, ja täydellinen hematologinen vaste saavutettiin 78 %:lla potilaista 8 viikon hoidon jälkeen. Huomattavaan täydelliseen hematologiseen vasteprosenttiin liittyi myös täydellisen sytogeneettisen vasteen kehittyminen 65 %:lle potilaista, mikä vastaa aikuisilla saatuja tuloksia. Lisäksi osittainen sytogeneettinen vaste todettiin 16 %:lla potilaista, ja huomattava sytogeneettinen vaste saavutettiin 81 %:lla potilaista. Suurimmalla osalla potilaista, joilla todettiin täydellinen sytogeneettinen vaste, se kehittyi 3–10 kuukaudessa. Vasteen saavuttamiseen kuluneen ajan mediaani oli 5,6 kuukautta Kaplan-Meierin estimaattiin perustuen.</w:t>
      </w:r>
    </w:p>
    <w:p w14:paraId="586FC80E" w14:textId="77777777" w:rsidR="00311DC5" w:rsidRDefault="00311DC5" w:rsidP="00311DC5">
      <w:pPr>
        <w:pStyle w:val="EndnoteText"/>
        <w:widowControl w:val="0"/>
        <w:tabs>
          <w:tab w:val="clear" w:pos="567"/>
        </w:tabs>
        <w:rPr>
          <w:color w:val="000000"/>
          <w:szCs w:val="22"/>
          <w:lang w:val="fi-FI"/>
        </w:rPr>
      </w:pPr>
    </w:p>
    <w:p w14:paraId="586FC80F" w14:textId="77777777" w:rsidR="00311DC5" w:rsidRDefault="00311DC5" w:rsidP="00311DC5">
      <w:pPr>
        <w:pStyle w:val="EndnoteText"/>
        <w:widowControl w:val="0"/>
        <w:tabs>
          <w:tab w:val="clear" w:pos="567"/>
        </w:tabs>
        <w:rPr>
          <w:color w:val="000000"/>
          <w:szCs w:val="22"/>
          <w:lang w:val="fi-FI"/>
        </w:rPr>
      </w:pPr>
      <w:r>
        <w:rPr>
          <w:color w:val="000000"/>
          <w:szCs w:val="22"/>
          <w:lang w:val="fi-FI"/>
        </w:rPr>
        <w:t xml:space="preserve">Euroopan lääkevirasto on myöntänyt vapautuksen velvoitteesta toimittaa tutkimustulokset Glivecin käytöstä kaikkien pediatristen potilasryhmien </w:t>
      </w:r>
      <w:r w:rsidRPr="00912A5D">
        <w:rPr>
          <w:color w:val="000000"/>
          <w:szCs w:val="22"/>
          <w:lang w:val="fi-FI"/>
        </w:rPr>
        <w:t xml:space="preserve">Philadelphia-kromosomi (bcr-abl)-positiivisen kroonisen myelooisen leukemian </w:t>
      </w:r>
      <w:r>
        <w:rPr>
          <w:color w:val="000000"/>
          <w:szCs w:val="22"/>
          <w:lang w:val="fi-FI"/>
        </w:rPr>
        <w:t>hoidossa (ks. kohta 4.2 ohjeet käytöstä pediatristen potilaiden hoidossa).</w:t>
      </w:r>
    </w:p>
    <w:p w14:paraId="586FC810" w14:textId="77777777" w:rsidR="00311DC5" w:rsidRPr="00912A5D" w:rsidRDefault="00311DC5" w:rsidP="00311DC5">
      <w:pPr>
        <w:pStyle w:val="EndnoteText"/>
        <w:widowControl w:val="0"/>
        <w:tabs>
          <w:tab w:val="clear" w:pos="567"/>
        </w:tabs>
        <w:rPr>
          <w:color w:val="000000"/>
          <w:szCs w:val="22"/>
          <w:lang w:val="fi-FI"/>
        </w:rPr>
      </w:pPr>
    </w:p>
    <w:p w14:paraId="586FC811" w14:textId="77777777" w:rsidR="00311DC5" w:rsidRPr="00912A5D" w:rsidRDefault="00311DC5" w:rsidP="00331A48">
      <w:pPr>
        <w:pStyle w:val="EndnoteText"/>
        <w:keepNext/>
        <w:widowControl w:val="0"/>
        <w:tabs>
          <w:tab w:val="clear" w:pos="567"/>
        </w:tabs>
        <w:rPr>
          <w:color w:val="000000"/>
          <w:szCs w:val="22"/>
          <w:u w:val="single"/>
          <w:lang w:val="fi-FI"/>
        </w:rPr>
      </w:pPr>
      <w:r w:rsidRPr="00912A5D">
        <w:rPr>
          <w:color w:val="000000"/>
          <w:szCs w:val="22"/>
          <w:u w:val="single"/>
          <w:lang w:val="fi-FI"/>
        </w:rPr>
        <w:t xml:space="preserve">Kliiniset tutkimukset Philadelphia-kromosomipositiivisessa akuutissa lymfaattisessa leukemiassa (Ph+ </w:t>
      </w:r>
      <w:smartTag w:uri="urn:schemas-microsoft-com:office:smarttags" w:element="State">
        <w:r w:rsidRPr="00912A5D">
          <w:rPr>
            <w:color w:val="000000"/>
            <w:szCs w:val="22"/>
            <w:u w:val="single"/>
            <w:lang w:val="fi-FI"/>
          </w:rPr>
          <w:t>ALL</w:t>
        </w:r>
      </w:smartTag>
      <w:r w:rsidRPr="00912A5D">
        <w:rPr>
          <w:color w:val="000000"/>
          <w:szCs w:val="22"/>
          <w:u w:val="single"/>
          <w:lang w:val="fi-FI"/>
        </w:rPr>
        <w:t>)</w:t>
      </w:r>
    </w:p>
    <w:p w14:paraId="586FC812" w14:textId="77777777" w:rsidR="00311DC5" w:rsidRPr="00912A5D" w:rsidRDefault="00311DC5" w:rsidP="00311DC5">
      <w:pPr>
        <w:pStyle w:val="EndnoteText"/>
        <w:widowControl w:val="0"/>
        <w:tabs>
          <w:tab w:val="clear" w:pos="567"/>
        </w:tabs>
        <w:rPr>
          <w:color w:val="000000"/>
          <w:szCs w:val="22"/>
          <w:lang w:val="fi-FI"/>
        </w:rPr>
      </w:pPr>
      <w:r w:rsidRPr="00912A5D">
        <w:rPr>
          <w:i/>
          <w:iCs/>
          <w:color w:val="000000"/>
          <w:szCs w:val="22"/>
          <w:lang w:val="fi-FI"/>
        </w:rPr>
        <w:t xml:space="preserve">Vasta diagnosoitu Ph+ </w:t>
      </w:r>
      <w:smartTag w:uri="urn:schemas-microsoft-com:office:smarttags" w:element="State">
        <w:r w:rsidRPr="00912A5D">
          <w:rPr>
            <w:i/>
            <w:iCs/>
            <w:color w:val="000000"/>
            <w:szCs w:val="22"/>
            <w:lang w:val="fi-FI"/>
          </w:rPr>
          <w:t>ALL</w:t>
        </w:r>
      </w:smartTag>
      <w:r w:rsidRPr="00912A5D">
        <w:rPr>
          <w:i/>
          <w:iCs/>
          <w:color w:val="000000"/>
          <w:szCs w:val="22"/>
          <w:lang w:val="fi-FI"/>
        </w:rPr>
        <w:t>:</w:t>
      </w:r>
      <w:r w:rsidRPr="00912A5D">
        <w:rPr>
          <w:color w:val="000000"/>
          <w:szCs w:val="22"/>
          <w:lang w:val="fi-FI"/>
        </w:rPr>
        <w:t xml:space="preserve"> Kontrolloidussa tutkimuksessa (ADE10), jossa verrattiin imatinibihoitoa ja kemoterapiainduktiota 55 vasta diagnosoidulla, 55-vuotiaalla tai sitä vanhemmalla potilaalla, monoterapiana annetulla imatinibilla saavutettiin merkitsevästi useammin täydellinen hematologinen vaste kuin kemoterapialla (imatinibi 96,3 %, kemoterapia 50 %; p=0,0001). Kun kemoterapiapotilaille, joilla ei saavutettu vastetta tai saavutettiin vain heikko vaste, annettiin imatinibia pelastavana hoitona, täydellinen hematologinen vaste saavutettiin 9 potilaalla 11:sta (81,8 %). Tämän kliinisen vaikutuksen yhteydessä bcr-abl-transkriptien määrä väheni enemmän imatinibihoitoa saaneilla potilailla kuin kemoterapiapotilailla 2 hoitoviikon jälkeen (p=0,02). Kaikki potilaat saivat imatinibia ja vakauttavaa kemoterapiaa (ks. Taulukko </w:t>
      </w:r>
      <w:r w:rsidR="0086657A">
        <w:rPr>
          <w:color w:val="000000"/>
          <w:szCs w:val="22"/>
          <w:lang w:val="fi-FI"/>
        </w:rPr>
        <w:t>4</w:t>
      </w:r>
      <w:r w:rsidRPr="00912A5D">
        <w:rPr>
          <w:color w:val="000000"/>
          <w:szCs w:val="22"/>
          <w:lang w:val="fi-FI"/>
        </w:rPr>
        <w:t>) induktion jälkeen, ja 8 viikon kohdalla bcr-abl-transkriptien määrä oli sama molemmissa hoitoryhmissä. Kuten tutkimusasetelman perusteella oletettiinkin, remission pituudessa, tautivapaassa elossaoloajassa tai kokonaiseloonjäämisessä ei havaittu eroja. Potilailla, joilla saavutettiin täydellinen molekulaarinen vaste ja minimaalinen jäännöstauti, saavutettiin kuitenkin parempia tuloksia sekä remission kestossa (p=0,01) että tautivapaassa elossaoloajassa (p=0,02).</w:t>
      </w:r>
    </w:p>
    <w:p w14:paraId="586FC813" w14:textId="77777777" w:rsidR="00311DC5" w:rsidRPr="00912A5D" w:rsidRDefault="00311DC5" w:rsidP="00311DC5">
      <w:pPr>
        <w:pStyle w:val="EndnoteText"/>
        <w:widowControl w:val="0"/>
        <w:tabs>
          <w:tab w:val="clear" w:pos="567"/>
        </w:tabs>
        <w:rPr>
          <w:color w:val="000000"/>
          <w:szCs w:val="22"/>
          <w:lang w:val="fi-FI"/>
        </w:rPr>
      </w:pPr>
    </w:p>
    <w:p w14:paraId="586FC814" w14:textId="77777777" w:rsidR="00311DC5" w:rsidRPr="00912A5D" w:rsidRDefault="00311DC5" w:rsidP="00311DC5">
      <w:pPr>
        <w:pStyle w:val="EndnoteText"/>
        <w:widowControl w:val="0"/>
        <w:rPr>
          <w:color w:val="000000"/>
          <w:szCs w:val="22"/>
          <w:lang w:val="fi-FI"/>
        </w:rPr>
      </w:pPr>
      <w:r w:rsidRPr="00912A5D">
        <w:rPr>
          <w:color w:val="000000"/>
          <w:szCs w:val="22"/>
          <w:lang w:val="fi-FI"/>
        </w:rPr>
        <w:t xml:space="preserve">211 vasta diagnosoidun Ph+ </w:t>
      </w:r>
      <w:smartTag w:uri="urn:schemas-microsoft-com:office:smarttags" w:element="State">
        <w:r w:rsidRPr="00912A5D">
          <w:rPr>
            <w:color w:val="000000"/>
            <w:szCs w:val="22"/>
            <w:lang w:val="fi-FI"/>
          </w:rPr>
          <w:t>ALL</w:t>
        </w:r>
      </w:smartTag>
      <w:r w:rsidRPr="00912A5D">
        <w:rPr>
          <w:color w:val="000000"/>
          <w:szCs w:val="22"/>
          <w:lang w:val="fi-FI"/>
        </w:rPr>
        <w:t>-potilaan populaatiossa tehdyissä neljässä kontrolloimattomassa kliinisessä tutkimuksessa (AAU02, ADE04, AJP01 ja AUS01) saadut tulokset ovat yhdenmukaisia edellä kuvattujen tulosten kanssa. Kun imatinibi yhdistettiin kemoterapiainduktioon (ks. Taulukko </w:t>
      </w:r>
      <w:r w:rsidR="0086657A">
        <w:rPr>
          <w:color w:val="000000"/>
          <w:szCs w:val="22"/>
          <w:lang w:val="fi-FI"/>
        </w:rPr>
        <w:t>4</w:t>
      </w:r>
      <w:r w:rsidRPr="00912A5D">
        <w:rPr>
          <w:color w:val="000000"/>
          <w:szCs w:val="22"/>
          <w:lang w:val="fi-FI"/>
        </w:rPr>
        <w:t>), saavutettiin täydellinen hematologinen vaste 93 %:lla potilaista (147 potilaalla 158 arviointikelpoisesta potilaasta) ja huomattava sytogeneettinen vaste 90 %:lla (19 potilaalla 21 arviointikelpoisesta potilaasta). Täydellinen molekulaarinen vaste saavutettiin 48 %:lla (49 potilasta 102 arviointikelpoisesta potilaasta). Tautivapaa elossaoloaika ja kokonaiseloonjääminen olivat johdonmukaisesti yli 1 vuoden ja parempia kuin historiallisessa verrokkiryhmässä (tautivapaa elossaoloaika, p &lt; 0,001; kokonaiseloonjääminen, p &lt; 0,0001) kahdessa tutkimuksessa (AJP01 ja AUS01).</w:t>
      </w:r>
    </w:p>
    <w:p w14:paraId="586FC815" w14:textId="77777777" w:rsidR="00311DC5" w:rsidRPr="00912A5D" w:rsidRDefault="00311DC5" w:rsidP="00311DC5">
      <w:pPr>
        <w:pStyle w:val="EndnoteText"/>
        <w:widowControl w:val="0"/>
        <w:tabs>
          <w:tab w:val="clear" w:pos="567"/>
        </w:tabs>
        <w:rPr>
          <w:color w:val="000000"/>
          <w:szCs w:val="22"/>
          <w:lang w:val="fi-FI"/>
        </w:rPr>
      </w:pPr>
    </w:p>
    <w:p w14:paraId="586FC816" w14:textId="77777777" w:rsidR="00311DC5" w:rsidRPr="00912A5D" w:rsidRDefault="00311DC5" w:rsidP="00331A48">
      <w:pPr>
        <w:pStyle w:val="EndnoteText"/>
        <w:keepNext/>
        <w:widowControl w:val="0"/>
        <w:tabs>
          <w:tab w:val="clear" w:pos="567"/>
        </w:tabs>
        <w:ind w:left="1418" w:hanging="1418"/>
        <w:rPr>
          <w:b/>
          <w:bCs/>
          <w:color w:val="000000"/>
          <w:szCs w:val="22"/>
          <w:lang w:val="fi-FI"/>
        </w:rPr>
      </w:pPr>
      <w:r w:rsidRPr="00912A5D">
        <w:rPr>
          <w:b/>
          <w:bCs/>
          <w:color w:val="000000"/>
          <w:szCs w:val="22"/>
          <w:lang w:val="fi-FI"/>
        </w:rPr>
        <w:lastRenderedPageBreak/>
        <w:t>Taulukko </w:t>
      </w:r>
      <w:r w:rsidR="0086657A">
        <w:rPr>
          <w:b/>
          <w:bCs/>
          <w:color w:val="000000"/>
          <w:szCs w:val="22"/>
          <w:lang w:val="fi-FI"/>
        </w:rPr>
        <w:t>4</w:t>
      </w:r>
      <w:r w:rsidRPr="00912A5D">
        <w:rPr>
          <w:b/>
          <w:bCs/>
          <w:color w:val="000000"/>
          <w:szCs w:val="22"/>
          <w:lang w:val="fi-FI"/>
        </w:rPr>
        <w:tab/>
        <w:t>Yhdistelmähoitona imatinibin kanssa käytetty kemoterapiahoito</w:t>
      </w:r>
    </w:p>
    <w:p w14:paraId="586FC817" w14:textId="77777777" w:rsidR="00311DC5" w:rsidRPr="00912A5D" w:rsidRDefault="00311DC5" w:rsidP="00331A48">
      <w:pPr>
        <w:pStyle w:val="EndnoteText"/>
        <w:keepNext/>
        <w:widowControl w:val="0"/>
        <w:tabs>
          <w:tab w:val="clear" w:pos="567"/>
        </w:tabs>
        <w:rPr>
          <w:color w:val="000000"/>
          <w:szCs w:val="22"/>
          <w:lang w:val="fi-FI"/>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311DC5" w:rsidRPr="00912A5D" w14:paraId="586FC81A" w14:textId="77777777" w:rsidTr="00331A48">
        <w:trPr>
          <w:cantSplit/>
        </w:trPr>
        <w:tc>
          <w:tcPr>
            <w:tcW w:w="2148" w:type="dxa"/>
            <w:tcBorders>
              <w:top w:val="single" w:sz="4" w:space="0" w:color="auto"/>
              <w:bottom w:val="single" w:sz="4" w:space="0" w:color="auto"/>
            </w:tcBorders>
          </w:tcPr>
          <w:p w14:paraId="586FC818"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b/>
                <w:color w:val="000000"/>
                <w:sz w:val="22"/>
                <w:szCs w:val="22"/>
              </w:rPr>
              <w:t>Tutkimus ADE10</w:t>
            </w:r>
          </w:p>
        </w:tc>
        <w:tc>
          <w:tcPr>
            <w:tcW w:w="6732" w:type="dxa"/>
            <w:gridSpan w:val="4"/>
            <w:tcBorders>
              <w:top w:val="single" w:sz="4" w:space="0" w:color="auto"/>
              <w:bottom w:val="single" w:sz="4" w:space="0" w:color="auto"/>
            </w:tcBorders>
          </w:tcPr>
          <w:p w14:paraId="586FC819" w14:textId="77777777" w:rsidR="00311DC5" w:rsidRPr="00912A5D" w:rsidRDefault="00311DC5" w:rsidP="00331A48">
            <w:pPr>
              <w:pStyle w:val="Table"/>
              <w:keepLines w:val="0"/>
              <w:widowControl w:val="0"/>
              <w:rPr>
                <w:rFonts w:ascii="Times New Roman" w:hAnsi="Times New Roman"/>
                <w:color w:val="000000"/>
                <w:sz w:val="22"/>
                <w:szCs w:val="22"/>
              </w:rPr>
            </w:pPr>
          </w:p>
        </w:tc>
      </w:tr>
      <w:tr w:rsidR="00311DC5" w:rsidRPr="00912A5D" w14:paraId="586FC81F" w14:textId="77777777" w:rsidTr="00331A48">
        <w:trPr>
          <w:cantSplit/>
        </w:trPr>
        <w:tc>
          <w:tcPr>
            <w:tcW w:w="2148" w:type="dxa"/>
            <w:tcBorders>
              <w:top w:val="single" w:sz="4" w:space="0" w:color="auto"/>
              <w:bottom w:val="single" w:sz="4" w:space="0" w:color="auto"/>
            </w:tcBorders>
          </w:tcPr>
          <w:p w14:paraId="586FC81B"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Esivaihe</w:t>
            </w:r>
          </w:p>
        </w:tc>
        <w:tc>
          <w:tcPr>
            <w:tcW w:w="6732" w:type="dxa"/>
            <w:gridSpan w:val="4"/>
            <w:tcBorders>
              <w:top w:val="single" w:sz="4" w:space="0" w:color="auto"/>
              <w:bottom w:val="single" w:sz="4" w:space="0" w:color="auto"/>
            </w:tcBorders>
          </w:tcPr>
          <w:p w14:paraId="586FC81C"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DEX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1-5;</w:t>
            </w:r>
          </w:p>
          <w:p w14:paraId="586FC81D"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CP 200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päivät 3, 4, 5;</w:t>
            </w:r>
          </w:p>
          <w:p w14:paraId="586FC81E" w14:textId="77777777" w:rsidR="00311DC5" w:rsidRPr="00912A5D"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12 mg intratekaalisesti, päivä 1</w:t>
            </w:r>
          </w:p>
        </w:tc>
      </w:tr>
      <w:tr w:rsidR="00311DC5" w:rsidRPr="00912A5D" w14:paraId="586FC826" w14:textId="77777777" w:rsidTr="00331A48">
        <w:trPr>
          <w:cantSplit/>
        </w:trPr>
        <w:tc>
          <w:tcPr>
            <w:tcW w:w="2148" w:type="dxa"/>
            <w:tcBorders>
              <w:top w:val="single" w:sz="4" w:space="0" w:color="auto"/>
              <w:bottom w:val="single" w:sz="4" w:space="0" w:color="auto"/>
            </w:tcBorders>
          </w:tcPr>
          <w:p w14:paraId="586FC820"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Remission induktio</w:t>
            </w:r>
          </w:p>
        </w:tc>
        <w:tc>
          <w:tcPr>
            <w:tcW w:w="6732" w:type="dxa"/>
            <w:gridSpan w:val="4"/>
            <w:tcBorders>
              <w:top w:val="single" w:sz="4" w:space="0" w:color="auto"/>
              <w:bottom w:val="single" w:sz="4" w:space="0" w:color="auto"/>
            </w:tcBorders>
          </w:tcPr>
          <w:p w14:paraId="586FC821"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DEX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6-7, 13-16;</w:t>
            </w:r>
          </w:p>
          <w:p w14:paraId="586FC822" w14:textId="77777777" w:rsidR="00311DC5"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1 mg laskimoon, päivät 7, 14;</w:t>
            </w:r>
          </w:p>
          <w:p w14:paraId="586FC823" w14:textId="77777777" w:rsidR="00311DC5"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IDA</w:t>
              </w:r>
            </w:smartTag>
            <w:r w:rsidRPr="00912A5D">
              <w:rPr>
                <w:rFonts w:ascii="Times New Roman" w:hAnsi="Times New Roman"/>
                <w:color w:val="000000"/>
                <w:sz w:val="22"/>
                <w:szCs w:val="22"/>
                <w:lang w:val="fi-FI"/>
              </w:rPr>
              <w:t xml:space="preserve"> 8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(0,5 h), päivät 7, 8, 14, 15;</w:t>
            </w:r>
          </w:p>
          <w:p w14:paraId="586FC824"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CP 500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(1 h), päivä 1;</w:t>
            </w:r>
          </w:p>
          <w:p w14:paraId="586FC825" w14:textId="77777777" w:rsidR="00311DC5" w:rsidRPr="00912A5D"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Ara-C 60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päivät 22-25, 29-32</w:t>
            </w:r>
          </w:p>
        </w:tc>
      </w:tr>
      <w:tr w:rsidR="00311DC5" w:rsidRPr="00912A5D" w14:paraId="586FC82A" w14:textId="77777777" w:rsidTr="00331A48">
        <w:trPr>
          <w:cantSplit/>
        </w:trPr>
        <w:tc>
          <w:tcPr>
            <w:tcW w:w="2148" w:type="dxa"/>
            <w:tcBorders>
              <w:top w:val="single" w:sz="4" w:space="0" w:color="auto"/>
              <w:bottom w:val="single" w:sz="4" w:space="0" w:color="auto"/>
            </w:tcBorders>
          </w:tcPr>
          <w:p w14:paraId="586FC827"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Konsolidaatio</w:t>
            </w:r>
            <w:r w:rsidRPr="00912A5D">
              <w:rPr>
                <w:rFonts w:ascii="Times New Roman" w:hAnsi="Times New Roman"/>
                <w:color w:val="000000"/>
                <w:sz w:val="22"/>
                <w:szCs w:val="22"/>
              </w:rPr>
              <w:softHyphen/>
              <w:t xml:space="preserve">hoidot I, </w:t>
            </w:r>
            <w:smartTag w:uri="urn:schemas-microsoft-com:office:smarttags" w:element="State">
              <w:r w:rsidRPr="00912A5D">
                <w:rPr>
                  <w:rFonts w:ascii="Times New Roman" w:hAnsi="Times New Roman"/>
                  <w:color w:val="000000"/>
                  <w:sz w:val="22"/>
                  <w:szCs w:val="22"/>
                </w:rPr>
                <w:t>III</w:t>
              </w:r>
            </w:smartTag>
            <w:r w:rsidRPr="00912A5D">
              <w:rPr>
                <w:rFonts w:ascii="Times New Roman" w:hAnsi="Times New Roman"/>
                <w:color w:val="000000"/>
                <w:sz w:val="22"/>
                <w:szCs w:val="22"/>
              </w:rPr>
              <w:t>, V</w:t>
            </w:r>
          </w:p>
        </w:tc>
        <w:tc>
          <w:tcPr>
            <w:tcW w:w="6732" w:type="dxa"/>
            <w:gridSpan w:val="4"/>
            <w:tcBorders>
              <w:top w:val="single" w:sz="4" w:space="0" w:color="auto"/>
              <w:bottom w:val="single" w:sz="4" w:space="0" w:color="auto"/>
            </w:tcBorders>
          </w:tcPr>
          <w:p w14:paraId="586FC828" w14:textId="77777777" w:rsidR="00311DC5"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500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(24 h), päivät 1, 15;</w:t>
            </w:r>
          </w:p>
          <w:p w14:paraId="586FC829" w14:textId="77777777" w:rsidR="00311DC5" w:rsidRPr="00912A5D"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6-MP 25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1-20</w:t>
            </w:r>
          </w:p>
        </w:tc>
      </w:tr>
      <w:tr w:rsidR="00311DC5" w:rsidRPr="00912A5D" w14:paraId="586FC82E" w14:textId="77777777" w:rsidTr="00331A48">
        <w:trPr>
          <w:cantSplit/>
        </w:trPr>
        <w:tc>
          <w:tcPr>
            <w:tcW w:w="2148" w:type="dxa"/>
            <w:tcBorders>
              <w:top w:val="single" w:sz="4" w:space="0" w:color="auto"/>
              <w:bottom w:val="single" w:sz="4" w:space="0" w:color="auto"/>
            </w:tcBorders>
          </w:tcPr>
          <w:p w14:paraId="586FC82B" w14:textId="77777777" w:rsidR="00311DC5" w:rsidRPr="00912A5D" w:rsidRDefault="00311DC5" w:rsidP="00331A48">
            <w:pPr>
              <w:pStyle w:val="Table"/>
              <w:keepNext w:val="0"/>
              <w:keepLines w:val="0"/>
              <w:widowControl w:val="0"/>
              <w:rPr>
                <w:rFonts w:ascii="Times New Roman" w:hAnsi="Times New Roman"/>
                <w:color w:val="000000"/>
                <w:sz w:val="22"/>
                <w:szCs w:val="22"/>
              </w:rPr>
            </w:pPr>
            <w:r w:rsidRPr="00912A5D">
              <w:rPr>
                <w:rFonts w:ascii="Times New Roman" w:hAnsi="Times New Roman"/>
                <w:color w:val="000000"/>
                <w:sz w:val="22"/>
                <w:szCs w:val="22"/>
              </w:rPr>
              <w:t>Konsolidaatio</w:t>
            </w:r>
            <w:r w:rsidRPr="00912A5D">
              <w:rPr>
                <w:rFonts w:ascii="Times New Roman" w:hAnsi="Times New Roman"/>
                <w:color w:val="000000"/>
                <w:sz w:val="22"/>
                <w:szCs w:val="22"/>
              </w:rPr>
              <w:softHyphen/>
              <w:t>hoidot II, IV</w:t>
            </w:r>
          </w:p>
        </w:tc>
        <w:tc>
          <w:tcPr>
            <w:tcW w:w="6732" w:type="dxa"/>
            <w:gridSpan w:val="4"/>
            <w:tcBorders>
              <w:top w:val="single" w:sz="4" w:space="0" w:color="auto"/>
              <w:bottom w:val="single" w:sz="4" w:space="0" w:color="auto"/>
            </w:tcBorders>
          </w:tcPr>
          <w:p w14:paraId="586FC82C" w14:textId="77777777" w:rsidR="00311DC5" w:rsidRDefault="00311DC5" w:rsidP="00331A48">
            <w:pPr>
              <w:pStyle w:val="Table"/>
              <w:keepNext w:val="0"/>
              <w:keepLines w:val="0"/>
              <w:widowControl w:val="0"/>
              <w:rPr>
                <w:rFonts w:ascii="Times New Roman" w:hAnsi="Times New Roman"/>
                <w:color w:val="000000"/>
                <w:sz w:val="22"/>
                <w:szCs w:val="22"/>
                <w:lang w:val="pt-BR"/>
              </w:rPr>
            </w:pPr>
            <w:r w:rsidRPr="00912A5D">
              <w:rPr>
                <w:rFonts w:ascii="Times New Roman" w:hAnsi="Times New Roman"/>
                <w:color w:val="000000"/>
                <w:sz w:val="22"/>
                <w:szCs w:val="22"/>
                <w:lang w:val="pt-BR"/>
              </w:rPr>
              <w:t>Ara-C 75 mg/m</w:t>
            </w:r>
            <w:r w:rsidRPr="00912A5D">
              <w:rPr>
                <w:rFonts w:ascii="Times New Roman" w:hAnsi="Times New Roman"/>
                <w:color w:val="000000"/>
                <w:sz w:val="22"/>
                <w:szCs w:val="22"/>
                <w:vertAlign w:val="superscript"/>
                <w:lang w:val="pt-BR"/>
              </w:rPr>
              <w:t>2</w:t>
            </w:r>
            <w:r w:rsidRPr="00912A5D">
              <w:rPr>
                <w:rFonts w:ascii="Times New Roman" w:hAnsi="Times New Roman"/>
                <w:color w:val="000000"/>
                <w:sz w:val="22"/>
                <w:szCs w:val="22"/>
                <w:lang w:val="pt-BR"/>
              </w:rPr>
              <w:t xml:space="preserve"> laskimoon (1 h), päivät 1-5;</w:t>
            </w:r>
          </w:p>
          <w:p w14:paraId="586FC82D" w14:textId="77777777" w:rsidR="00311DC5" w:rsidRPr="00912A5D" w:rsidRDefault="00311DC5" w:rsidP="00331A48">
            <w:pPr>
              <w:pStyle w:val="Table"/>
              <w:keepNext w:val="0"/>
              <w:keepLines w:val="0"/>
              <w:widowControl w:val="0"/>
              <w:rPr>
                <w:rFonts w:ascii="Times New Roman" w:hAnsi="Times New Roman"/>
                <w:color w:val="000000"/>
                <w:sz w:val="22"/>
                <w:szCs w:val="22"/>
                <w:lang w:val="pt-BR"/>
              </w:rPr>
            </w:pPr>
            <w:r w:rsidRPr="00912A5D">
              <w:rPr>
                <w:rFonts w:ascii="Times New Roman" w:hAnsi="Times New Roman"/>
                <w:color w:val="000000"/>
                <w:sz w:val="22"/>
                <w:szCs w:val="22"/>
                <w:lang w:val="pt-BR"/>
              </w:rPr>
              <w:t>VM26 60 mg/m</w:t>
            </w:r>
            <w:r w:rsidRPr="00912A5D">
              <w:rPr>
                <w:rFonts w:ascii="Times New Roman" w:hAnsi="Times New Roman"/>
                <w:color w:val="000000"/>
                <w:sz w:val="22"/>
                <w:szCs w:val="22"/>
                <w:vertAlign w:val="superscript"/>
                <w:lang w:val="pt-BR"/>
              </w:rPr>
              <w:t>2</w:t>
            </w:r>
            <w:r w:rsidRPr="00912A5D">
              <w:rPr>
                <w:rFonts w:ascii="Times New Roman" w:hAnsi="Times New Roman"/>
                <w:color w:val="000000"/>
                <w:sz w:val="22"/>
                <w:szCs w:val="22"/>
                <w:lang w:val="pt-BR"/>
              </w:rPr>
              <w:t xml:space="preserve"> laskimoon (1 h), päivät 1-5</w:t>
            </w:r>
          </w:p>
        </w:tc>
      </w:tr>
      <w:tr w:rsidR="00311DC5" w:rsidRPr="00912A5D" w14:paraId="586FC834" w14:textId="77777777" w:rsidTr="00331A48">
        <w:trPr>
          <w:cantSplit/>
        </w:trPr>
        <w:tc>
          <w:tcPr>
            <w:tcW w:w="2148" w:type="dxa"/>
            <w:tcBorders>
              <w:top w:val="single" w:sz="4" w:space="0" w:color="auto"/>
              <w:bottom w:val="single" w:sz="4" w:space="0" w:color="auto"/>
            </w:tcBorders>
          </w:tcPr>
          <w:p w14:paraId="586FC82F" w14:textId="77777777" w:rsidR="00311DC5" w:rsidRPr="00912A5D" w:rsidRDefault="00311DC5" w:rsidP="00331A48">
            <w:pPr>
              <w:pStyle w:val="Table"/>
              <w:keepLines w:val="0"/>
              <w:widowControl w:val="0"/>
              <w:rPr>
                <w:rFonts w:ascii="Times New Roman" w:hAnsi="Times New Roman"/>
                <w:b/>
                <w:color w:val="000000"/>
                <w:sz w:val="22"/>
                <w:szCs w:val="22"/>
              </w:rPr>
            </w:pPr>
            <w:r w:rsidRPr="00912A5D">
              <w:rPr>
                <w:rFonts w:ascii="Times New Roman" w:hAnsi="Times New Roman"/>
                <w:b/>
                <w:color w:val="000000"/>
                <w:sz w:val="22"/>
                <w:szCs w:val="22"/>
              </w:rPr>
              <w:t>Tutkimus AAU02</w:t>
            </w:r>
          </w:p>
        </w:tc>
        <w:tc>
          <w:tcPr>
            <w:tcW w:w="2652" w:type="dxa"/>
            <w:tcBorders>
              <w:top w:val="single" w:sz="4" w:space="0" w:color="auto"/>
              <w:bottom w:val="single" w:sz="4" w:space="0" w:color="auto"/>
            </w:tcBorders>
          </w:tcPr>
          <w:p w14:paraId="586FC830"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080" w:type="dxa"/>
            <w:tcBorders>
              <w:top w:val="single" w:sz="4" w:space="0" w:color="auto"/>
              <w:bottom w:val="single" w:sz="4" w:space="0" w:color="auto"/>
            </w:tcBorders>
          </w:tcPr>
          <w:p w14:paraId="586FC831"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586FC832"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586FC833" w14:textId="77777777" w:rsidR="00311DC5" w:rsidRPr="00912A5D" w:rsidRDefault="00311DC5" w:rsidP="00331A48">
            <w:pPr>
              <w:pStyle w:val="Table"/>
              <w:keepLines w:val="0"/>
              <w:widowControl w:val="0"/>
              <w:rPr>
                <w:rFonts w:ascii="Times New Roman" w:hAnsi="Times New Roman"/>
                <w:color w:val="000000"/>
                <w:sz w:val="22"/>
                <w:szCs w:val="22"/>
              </w:rPr>
            </w:pPr>
          </w:p>
        </w:tc>
      </w:tr>
      <w:tr w:rsidR="00311DC5" w:rsidRPr="00912A5D" w14:paraId="586FC83F" w14:textId="77777777" w:rsidTr="00331A48">
        <w:trPr>
          <w:cantSplit/>
        </w:trPr>
        <w:tc>
          <w:tcPr>
            <w:tcW w:w="2148" w:type="dxa"/>
            <w:tcBorders>
              <w:top w:val="single" w:sz="4" w:space="0" w:color="auto"/>
              <w:bottom w:val="single" w:sz="4" w:space="0" w:color="auto"/>
            </w:tcBorders>
          </w:tcPr>
          <w:p w14:paraId="586FC835" w14:textId="77777777" w:rsidR="00311DC5" w:rsidRPr="00912A5D" w:rsidRDefault="00311DC5" w:rsidP="00331A48">
            <w:pPr>
              <w:pStyle w:val="Table"/>
              <w:keepLines w:val="0"/>
              <w:widowControl w:val="0"/>
              <w:rPr>
                <w:rFonts w:ascii="Times New Roman" w:hAnsi="Times New Roman"/>
                <w:color w:val="000000"/>
                <w:sz w:val="22"/>
                <w:szCs w:val="22"/>
                <w:lang w:val="de-DE"/>
              </w:rPr>
            </w:pPr>
            <w:r w:rsidRPr="00912A5D">
              <w:rPr>
                <w:rFonts w:ascii="Times New Roman" w:hAnsi="Times New Roman"/>
                <w:color w:val="000000"/>
                <w:sz w:val="22"/>
                <w:szCs w:val="22"/>
                <w:lang w:val="de-DE"/>
              </w:rPr>
              <w:t>Induktiohoito</w:t>
            </w:r>
          </w:p>
          <w:p w14:paraId="586FC836" w14:textId="77777777" w:rsidR="00311DC5" w:rsidRPr="00912A5D" w:rsidRDefault="00311DC5" w:rsidP="00331A48">
            <w:pPr>
              <w:pStyle w:val="Table"/>
              <w:keepLines w:val="0"/>
              <w:widowControl w:val="0"/>
              <w:rPr>
                <w:rFonts w:ascii="Times New Roman" w:hAnsi="Times New Roman"/>
                <w:color w:val="000000"/>
                <w:sz w:val="22"/>
                <w:szCs w:val="22"/>
                <w:lang w:val="de-DE"/>
              </w:rPr>
            </w:pPr>
            <w:r w:rsidRPr="00912A5D">
              <w:rPr>
                <w:rFonts w:ascii="Times New Roman" w:hAnsi="Times New Roman"/>
                <w:color w:val="000000"/>
                <w:sz w:val="22"/>
                <w:szCs w:val="22"/>
                <w:lang w:val="de-DE"/>
              </w:rPr>
              <w:t>(</w:t>
            </w:r>
            <w:r w:rsidRPr="00912A5D">
              <w:rPr>
                <w:rFonts w:ascii="Times New Roman" w:hAnsi="Times New Roman"/>
                <w:i/>
                <w:color w:val="000000"/>
                <w:sz w:val="22"/>
                <w:szCs w:val="22"/>
                <w:lang w:val="de-DE"/>
              </w:rPr>
              <w:t>de novo</w:t>
            </w:r>
            <w:r w:rsidRPr="00912A5D">
              <w:rPr>
                <w:rFonts w:ascii="Times New Roman" w:hAnsi="Times New Roman"/>
                <w:color w:val="000000"/>
                <w:sz w:val="22"/>
                <w:szCs w:val="22"/>
                <w:lang w:val="de-DE"/>
              </w:rPr>
              <w:t xml:space="preserve"> Ph+ </w:t>
            </w:r>
            <w:smartTag w:uri="urn:schemas-microsoft-com:office:smarttags" w:element="State">
              <w:r w:rsidRPr="00912A5D">
                <w:rPr>
                  <w:rFonts w:ascii="Times New Roman" w:hAnsi="Times New Roman"/>
                  <w:color w:val="000000"/>
                  <w:sz w:val="22"/>
                  <w:szCs w:val="22"/>
                  <w:lang w:val="de-DE"/>
                </w:rPr>
                <w:t>ALL</w:t>
              </w:r>
            </w:smartTag>
            <w:r w:rsidRPr="00912A5D">
              <w:rPr>
                <w:rFonts w:ascii="Times New Roman" w:hAnsi="Times New Roman"/>
                <w:color w:val="000000"/>
                <w:sz w:val="22"/>
                <w:szCs w:val="22"/>
                <w:lang w:val="de-DE"/>
              </w:rPr>
              <w:t>)</w:t>
            </w:r>
          </w:p>
        </w:tc>
        <w:tc>
          <w:tcPr>
            <w:tcW w:w="6732" w:type="dxa"/>
            <w:gridSpan w:val="4"/>
            <w:tcBorders>
              <w:top w:val="single" w:sz="4" w:space="0" w:color="auto"/>
              <w:bottom w:val="single" w:sz="4" w:space="0" w:color="auto"/>
            </w:tcBorders>
          </w:tcPr>
          <w:p w14:paraId="586FC837" w14:textId="77777777" w:rsidR="00311DC5" w:rsidRPr="008A5B9A" w:rsidRDefault="00311DC5" w:rsidP="00331A48">
            <w:pPr>
              <w:pStyle w:val="Table"/>
              <w:keepLines w:val="0"/>
              <w:widowControl w:val="0"/>
              <w:rPr>
                <w:rFonts w:ascii="Times New Roman" w:hAnsi="Times New Roman"/>
                <w:color w:val="000000"/>
                <w:sz w:val="22"/>
                <w:szCs w:val="22"/>
                <w:lang w:val="fi-FI"/>
              </w:rPr>
            </w:pPr>
            <w:r w:rsidRPr="008A5B9A">
              <w:rPr>
                <w:rFonts w:ascii="Times New Roman" w:hAnsi="Times New Roman"/>
                <w:color w:val="000000"/>
                <w:sz w:val="22"/>
                <w:szCs w:val="22"/>
                <w:lang w:val="fi-FI"/>
              </w:rPr>
              <w:t>Daunorubisiini 30 mg/m</w:t>
            </w:r>
            <w:r w:rsidRPr="008A5B9A">
              <w:rPr>
                <w:rFonts w:ascii="Times New Roman" w:hAnsi="Times New Roman"/>
                <w:color w:val="000000"/>
                <w:sz w:val="22"/>
                <w:szCs w:val="22"/>
                <w:vertAlign w:val="superscript"/>
                <w:lang w:val="fi-FI"/>
              </w:rPr>
              <w:t>2</w:t>
            </w:r>
            <w:r w:rsidRPr="008A5B9A">
              <w:rPr>
                <w:rFonts w:ascii="Times New Roman" w:hAnsi="Times New Roman"/>
                <w:color w:val="000000"/>
                <w:sz w:val="22"/>
                <w:szCs w:val="22"/>
                <w:lang w:val="fi-FI"/>
              </w:rPr>
              <w:t xml:space="preserve"> laskimoon, päivät 1-3, 15-16;</w:t>
            </w:r>
          </w:p>
          <w:p w14:paraId="586FC838" w14:textId="77777777" w:rsidR="00311DC5" w:rsidRPr="008A5B9A"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8A5B9A">
                <w:rPr>
                  <w:rFonts w:ascii="Times New Roman" w:hAnsi="Times New Roman"/>
                  <w:color w:val="000000"/>
                  <w:sz w:val="22"/>
                  <w:szCs w:val="22"/>
                  <w:lang w:val="fi-FI"/>
                </w:rPr>
                <w:t>VCR</w:t>
              </w:r>
            </w:smartTag>
            <w:r w:rsidRPr="008A5B9A">
              <w:rPr>
                <w:rFonts w:ascii="Times New Roman" w:hAnsi="Times New Roman"/>
                <w:color w:val="000000"/>
                <w:sz w:val="22"/>
                <w:szCs w:val="22"/>
                <w:lang w:val="fi-FI"/>
              </w:rPr>
              <w:t xml:space="preserve"> 2 mg kokonaisannos laskimoon, päivät 1, 8, 15, 22;</w:t>
            </w:r>
          </w:p>
          <w:p w14:paraId="586FC839" w14:textId="77777777" w:rsidR="00311DC5" w:rsidRPr="008A5B9A" w:rsidRDefault="00311DC5" w:rsidP="00331A48">
            <w:pPr>
              <w:pStyle w:val="Table"/>
              <w:keepLines w:val="0"/>
              <w:widowControl w:val="0"/>
              <w:rPr>
                <w:rFonts w:ascii="Times New Roman" w:hAnsi="Times New Roman"/>
                <w:color w:val="000000"/>
                <w:sz w:val="22"/>
                <w:szCs w:val="22"/>
                <w:lang w:val="fi-FI"/>
              </w:rPr>
            </w:pPr>
            <w:r w:rsidRPr="008A5B9A">
              <w:rPr>
                <w:rFonts w:ascii="Times New Roman" w:hAnsi="Times New Roman"/>
                <w:color w:val="000000"/>
                <w:sz w:val="22"/>
                <w:szCs w:val="22"/>
                <w:lang w:val="fi-FI"/>
              </w:rPr>
              <w:t>CP 750 mg/m</w:t>
            </w:r>
            <w:r w:rsidRPr="008A5B9A">
              <w:rPr>
                <w:rFonts w:ascii="Times New Roman" w:hAnsi="Times New Roman"/>
                <w:color w:val="000000"/>
                <w:sz w:val="22"/>
                <w:szCs w:val="22"/>
                <w:vertAlign w:val="superscript"/>
                <w:lang w:val="fi-FI"/>
              </w:rPr>
              <w:t>2</w:t>
            </w:r>
            <w:r w:rsidRPr="008A5B9A">
              <w:rPr>
                <w:rFonts w:ascii="Times New Roman" w:hAnsi="Times New Roman"/>
                <w:color w:val="000000"/>
                <w:sz w:val="22"/>
                <w:szCs w:val="22"/>
                <w:lang w:val="fi-FI"/>
              </w:rPr>
              <w:t xml:space="preserve"> laskimoon, päivät 1, 8;</w:t>
            </w:r>
          </w:p>
          <w:p w14:paraId="586FC83A" w14:textId="77777777" w:rsidR="00311DC5" w:rsidRPr="008A5B9A" w:rsidRDefault="00311DC5" w:rsidP="00331A48">
            <w:pPr>
              <w:pStyle w:val="Table"/>
              <w:keepLines w:val="0"/>
              <w:widowControl w:val="0"/>
              <w:rPr>
                <w:rFonts w:ascii="Times New Roman" w:hAnsi="Times New Roman"/>
                <w:color w:val="000000"/>
                <w:sz w:val="22"/>
                <w:szCs w:val="22"/>
                <w:lang w:val="fi-FI"/>
              </w:rPr>
            </w:pPr>
            <w:r w:rsidRPr="008A5B9A">
              <w:rPr>
                <w:rFonts w:ascii="Times New Roman" w:hAnsi="Times New Roman"/>
                <w:color w:val="000000"/>
                <w:sz w:val="22"/>
                <w:szCs w:val="22"/>
                <w:lang w:val="fi-FI"/>
              </w:rPr>
              <w:t>Prednisoni 60 mg/m</w:t>
            </w:r>
            <w:r w:rsidRPr="008A5B9A">
              <w:rPr>
                <w:rFonts w:ascii="Times New Roman" w:hAnsi="Times New Roman"/>
                <w:color w:val="000000"/>
                <w:sz w:val="22"/>
                <w:szCs w:val="22"/>
                <w:vertAlign w:val="superscript"/>
                <w:lang w:val="fi-FI"/>
              </w:rPr>
              <w:t>2</w:t>
            </w:r>
            <w:r w:rsidRPr="008A5B9A">
              <w:rPr>
                <w:rFonts w:ascii="Times New Roman" w:hAnsi="Times New Roman"/>
                <w:color w:val="000000"/>
                <w:sz w:val="22"/>
                <w:szCs w:val="22"/>
                <w:lang w:val="fi-FI"/>
              </w:rPr>
              <w:t xml:space="preserve"> suun kautta, päivät 1-7, 15-21;</w:t>
            </w:r>
          </w:p>
          <w:p w14:paraId="586FC83B" w14:textId="77777777" w:rsidR="00311DC5" w:rsidRPr="008A5B9A"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8A5B9A">
                <w:rPr>
                  <w:rFonts w:ascii="Times New Roman" w:hAnsi="Times New Roman"/>
                  <w:color w:val="000000"/>
                  <w:sz w:val="22"/>
                  <w:szCs w:val="22"/>
                  <w:lang w:val="fi-FI"/>
                </w:rPr>
                <w:t>IDA</w:t>
              </w:r>
            </w:smartTag>
            <w:r w:rsidRPr="008A5B9A">
              <w:rPr>
                <w:rFonts w:ascii="Times New Roman" w:hAnsi="Times New Roman"/>
                <w:color w:val="000000"/>
                <w:sz w:val="22"/>
                <w:szCs w:val="22"/>
                <w:lang w:val="fi-FI"/>
              </w:rPr>
              <w:t xml:space="preserve"> 9 mg/m</w:t>
            </w:r>
            <w:r w:rsidRPr="008A5B9A">
              <w:rPr>
                <w:rFonts w:ascii="Times New Roman" w:hAnsi="Times New Roman"/>
                <w:color w:val="000000"/>
                <w:sz w:val="22"/>
                <w:szCs w:val="22"/>
                <w:vertAlign w:val="superscript"/>
                <w:lang w:val="fi-FI"/>
              </w:rPr>
              <w:t>2</w:t>
            </w:r>
            <w:r w:rsidRPr="008A5B9A">
              <w:rPr>
                <w:rFonts w:ascii="Times New Roman" w:hAnsi="Times New Roman"/>
                <w:color w:val="000000"/>
                <w:sz w:val="22"/>
                <w:szCs w:val="22"/>
                <w:lang w:val="fi-FI"/>
              </w:rPr>
              <w:t xml:space="preserve"> suun kautta, päivät 1-28;</w:t>
            </w:r>
          </w:p>
          <w:p w14:paraId="586FC83C" w14:textId="77777777" w:rsidR="00311DC5" w:rsidRPr="008A5B9A"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8A5B9A">
                <w:rPr>
                  <w:rFonts w:ascii="Times New Roman" w:hAnsi="Times New Roman"/>
                  <w:color w:val="000000"/>
                  <w:sz w:val="22"/>
                  <w:szCs w:val="22"/>
                  <w:lang w:val="fi-FI"/>
                </w:rPr>
                <w:t>MTX</w:t>
              </w:r>
            </w:smartTag>
            <w:r w:rsidRPr="008A5B9A">
              <w:rPr>
                <w:rFonts w:ascii="Times New Roman" w:hAnsi="Times New Roman"/>
                <w:color w:val="000000"/>
                <w:sz w:val="22"/>
                <w:szCs w:val="22"/>
                <w:lang w:val="fi-FI"/>
              </w:rPr>
              <w:t xml:space="preserve"> 15 mg intratekaalisesti, päivät 1, 8, 15, 22;</w:t>
            </w:r>
          </w:p>
          <w:p w14:paraId="586FC83D" w14:textId="77777777" w:rsidR="00311DC5" w:rsidRPr="008A5B9A" w:rsidRDefault="00311DC5" w:rsidP="00331A48">
            <w:pPr>
              <w:pStyle w:val="Table"/>
              <w:keepLines w:val="0"/>
              <w:widowControl w:val="0"/>
              <w:rPr>
                <w:rFonts w:ascii="Times New Roman" w:hAnsi="Times New Roman"/>
                <w:color w:val="000000"/>
                <w:sz w:val="22"/>
                <w:szCs w:val="22"/>
                <w:lang w:val="fi-FI"/>
              </w:rPr>
            </w:pPr>
            <w:r w:rsidRPr="008A5B9A">
              <w:rPr>
                <w:rFonts w:ascii="Times New Roman" w:hAnsi="Times New Roman"/>
                <w:color w:val="000000"/>
                <w:sz w:val="22"/>
                <w:szCs w:val="22"/>
                <w:lang w:val="fi-FI"/>
              </w:rPr>
              <w:t>Ara-C 40 mg intratekaalisesti, päivät 1, 8, 15, 22;</w:t>
            </w:r>
          </w:p>
          <w:p w14:paraId="586FC83E" w14:textId="77777777" w:rsidR="00311DC5" w:rsidRPr="00912A5D" w:rsidRDefault="00311DC5" w:rsidP="00331A48">
            <w:pPr>
              <w:pStyle w:val="Table"/>
              <w:keepLines w:val="0"/>
              <w:widowControl w:val="0"/>
              <w:rPr>
                <w:rFonts w:ascii="Times New Roman" w:hAnsi="Times New Roman"/>
                <w:color w:val="000000"/>
                <w:sz w:val="22"/>
                <w:szCs w:val="22"/>
                <w:lang w:val="de-DE"/>
              </w:rPr>
            </w:pPr>
            <w:r>
              <w:rPr>
                <w:rFonts w:ascii="Times New Roman" w:hAnsi="Times New Roman"/>
                <w:color w:val="000000"/>
                <w:sz w:val="22"/>
                <w:szCs w:val="22"/>
                <w:lang w:val="de-DE"/>
              </w:rPr>
              <w:t>M</w:t>
            </w:r>
            <w:r w:rsidRPr="00912A5D">
              <w:rPr>
                <w:rFonts w:ascii="Times New Roman" w:hAnsi="Times New Roman"/>
                <w:color w:val="000000"/>
                <w:sz w:val="22"/>
                <w:szCs w:val="22"/>
                <w:lang w:val="de-DE"/>
              </w:rPr>
              <w:t>etyyliprednisoloni 40 mg intratekaalisesti, päivät 1, 8, 15, 22</w:t>
            </w:r>
          </w:p>
        </w:tc>
      </w:tr>
      <w:tr w:rsidR="00311DC5" w:rsidRPr="00912A5D" w14:paraId="586FC845" w14:textId="77777777" w:rsidTr="00331A48">
        <w:trPr>
          <w:cantSplit/>
        </w:trPr>
        <w:tc>
          <w:tcPr>
            <w:tcW w:w="2148" w:type="dxa"/>
            <w:tcBorders>
              <w:top w:val="single" w:sz="4" w:space="0" w:color="auto"/>
              <w:bottom w:val="single" w:sz="4" w:space="0" w:color="auto"/>
            </w:tcBorders>
          </w:tcPr>
          <w:p w14:paraId="586FC840" w14:textId="77777777" w:rsidR="00311DC5" w:rsidRPr="00744D9D" w:rsidRDefault="00311DC5" w:rsidP="00331A48">
            <w:pPr>
              <w:pStyle w:val="Table"/>
              <w:keepNext w:val="0"/>
              <w:keepLines w:val="0"/>
              <w:widowControl w:val="0"/>
              <w:rPr>
                <w:rFonts w:ascii="Times New Roman" w:hAnsi="Times New Roman"/>
                <w:color w:val="000000"/>
                <w:sz w:val="22"/>
                <w:szCs w:val="22"/>
                <w:lang w:val="es-ES"/>
              </w:rPr>
            </w:pPr>
            <w:r w:rsidRPr="00744D9D">
              <w:rPr>
                <w:rFonts w:ascii="Times New Roman" w:hAnsi="Times New Roman"/>
                <w:color w:val="000000"/>
                <w:sz w:val="22"/>
                <w:szCs w:val="22"/>
                <w:lang w:val="es-ES"/>
              </w:rPr>
              <w:t>Konsolidaatiohoito (</w:t>
            </w:r>
            <w:r w:rsidRPr="00744D9D">
              <w:rPr>
                <w:rFonts w:ascii="Times New Roman" w:hAnsi="Times New Roman"/>
                <w:i/>
                <w:color w:val="000000"/>
                <w:sz w:val="22"/>
                <w:szCs w:val="22"/>
                <w:lang w:val="es-ES"/>
              </w:rPr>
              <w:t>de novo</w:t>
            </w:r>
            <w:r w:rsidRPr="00744D9D">
              <w:rPr>
                <w:rFonts w:ascii="Times New Roman" w:hAnsi="Times New Roman"/>
                <w:color w:val="000000"/>
                <w:sz w:val="22"/>
                <w:szCs w:val="22"/>
                <w:lang w:val="es-ES"/>
              </w:rPr>
              <w:t xml:space="preserve"> Ph+ ALL)</w:t>
            </w:r>
          </w:p>
        </w:tc>
        <w:tc>
          <w:tcPr>
            <w:tcW w:w="6732" w:type="dxa"/>
            <w:gridSpan w:val="4"/>
            <w:tcBorders>
              <w:top w:val="single" w:sz="4" w:space="0" w:color="auto"/>
              <w:bottom w:val="single" w:sz="4" w:space="0" w:color="auto"/>
            </w:tcBorders>
          </w:tcPr>
          <w:p w14:paraId="586FC841" w14:textId="77777777" w:rsidR="00311DC5" w:rsidRDefault="00311DC5" w:rsidP="00331A48">
            <w:pPr>
              <w:pStyle w:val="Table"/>
              <w:keepNext w:val="0"/>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Ara-C 1 000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/12 h laskimoon (3 h), päivät 1-4;</w:t>
            </w:r>
          </w:p>
          <w:p w14:paraId="586FC842" w14:textId="77777777" w:rsidR="00311DC5" w:rsidRDefault="00311DC5" w:rsidP="00331A48">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M</w:t>
            </w:r>
            <w:r w:rsidRPr="00912A5D">
              <w:rPr>
                <w:rFonts w:ascii="Times New Roman" w:hAnsi="Times New Roman"/>
                <w:color w:val="000000"/>
                <w:sz w:val="22"/>
                <w:szCs w:val="22"/>
                <w:lang w:val="fi-FI"/>
              </w:rPr>
              <w:t>itoksantroni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päivät 3-5;</w:t>
            </w:r>
          </w:p>
          <w:p w14:paraId="586FC843" w14:textId="77777777" w:rsidR="00311DC5" w:rsidRDefault="00311DC5" w:rsidP="00331A48">
            <w:pPr>
              <w:pStyle w:val="Table"/>
              <w:keepNext w:val="0"/>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15 mg intratekaalisesti, päivä 1;</w:t>
            </w:r>
          </w:p>
          <w:p w14:paraId="586FC844" w14:textId="77777777" w:rsidR="00311DC5" w:rsidRPr="00912A5D" w:rsidRDefault="00311DC5" w:rsidP="00331A48">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M</w:t>
            </w:r>
            <w:r w:rsidRPr="00912A5D">
              <w:rPr>
                <w:rFonts w:ascii="Times New Roman" w:hAnsi="Times New Roman"/>
                <w:color w:val="000000"/>
                <w:sz w:val="22"/>
                <w:szCs w:val="22"/>
                <w:lang w:val="fi-FI"/>
              </w:rPr>
              <w:t>etyyliprednisoloni 40 mg intratekaalisesti, päivä 1</w:t>
            </w:r>
          </w:p>
        </w:tc>
      </w:tr>
      <w:tr w:rsidR="00311DC5" w:rsidRPr="00912A5D" w14:paraId="586FC84A" w14:textId="77777777" w:rsidTr="00331A48">
        <w:trPr>
          <w:cantSplit/>
        </w:trPr>
        <w:tc>
          <w:tcPr>
            <w:tcW w:w="4800" w:type="dxa"/>
            <w:gridSpan w:val="2"/>
            <w:tcBorders>
              <w:top w:val="single" w:sz="4" w:space="0" w:color="auto"/>
              <w:bottom w:val="single" w:sz="4" w:space="0" w:color="auto"/>
            </w:tcBorders>
          </w:tcPr>
          <w:p w14:paraId="586FC846" w14:textId="77777777" w:rsidR="00311DC5" w:rsidRPr="00912A5D" w:rsidRDefault="00311DC5" w:rsidP="00331A48">
            <w:pPr>
              <w:pStyle w:val="Table"/>
              <w:keepLines w:val="0"/>
              <w:widowControl w:val="0"/>
              <w:rPr>
                <w:rFonts w:ascii="Times New Roman" w:hAnsi="Times New Roman"/>
                <w:b/>
                <w:color w:val="000000"/>
                <w:sz w:val="22"/>
                <w:szCs w:val="22"/>
              </w:rPr>
            </w:pPr>
            <w:r w:rsidRPr="00912A5D">
              <w:rPr>
                <w:rFonts w:ascii="Times New Roman" w:hAnsi="Times New Roman"/>
                <w:b/>
                <w:color w:val="000000"/>
                <w:sz w:val="22"/>
                <w:szCs w:val="22"/>
              </w:rPr>
              <w:t>Tutkimus ADE04</w:t>
            </w:r>
          </w:p>
        </w:tc>
        <w:tc>
          <w:tcPr>
            <w:tcW w:w="1080" w:type="dxa"/>
            <w:tcBorders>
              <w:top w:val="single" w:sz="4" w:space="0" w:color="auto"/>
              <w:bottom w:val="single" w:sz="4" w:space="0" w:color="auto"/>
            </w:tcBorders>
          </w:tcPr>
          <w:p w14:paraId="586FC847"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586FC848"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586FC849" w14:textId="77777777" w:rsidR="00311DC5" w:rsidRPr="00912A5D" w:rsidRDefault="00311DC5" w:rsidP="00331A48">
            <w:pPr>
              <w:pStyle w:val="Table"/>
              <w:keepLines w:val="0"/>
              <w:widowControl w:val="0"/>
              <w:rPr>
                <w:rFonts w:ascii="Times New Roman" w:hAnsi="Times New Roman"/>
                <w:color w:val="000000"/>
                <w:sz w:val="22"/>
                <w:szCs w:val="22"/>
              </w:rPr>
            </w:pPr>
          </w:p>
        </w:tc>
      </w:tr>
      <w:tr w:rsidR="00311DC5" w:rsidRPr="00912A5D" w14:paraId="586FC84F" w14:textId="77777777" w:rsidTr="00331A48">
        <w:trPr>
          <w:cantSplit/>
        </w:trPr>
        <w:tc>
          <w:tcPr>
            <w:tcW w:w="2148" w:type="dxa"/>
            <w:tcBorders>
              <w:top w:val="single" w:sz="4" w:space="0" w:color="auto"/>
              <w:bottom w:val="single" w:sz="4" w:space="0" w:color="auto"/>
            </w:tcBorders>
          </w:tcPr>
          <w:p w14:paraId="586FC84B"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Esivaihe</w:t>
            </w:r>
          </w:p>
        </w:tc>
        <w:tc>
          <w:tcPr>
            <w:tcW w:w="6732" w:type="dxa"/>
            <w:gridSpan w:val="4"/>
            <w:tcBorders>
              <w:top w:val="single" w:sz="4" w:space="0" w:color="auto"/>
              <w:bottom w:val="single" w:sz="4" w:space="0" w:color="auto"/>
            </w:tcBorders>
          </w:tcPr>
          <w:p w14:paraId="586FC84C"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DEX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1-5;</w:t>
            </w:r>
          </w:p>
          <w:p w14:paraId="586FC84D"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CP 200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päivät 3-5;</w:t>
            </w:r>
          </w:p>
          <w:p w14:paraId="586FC84E" w14:textId="77777777" w:rsidR="00311DC5" w:rsidRPr="00912A5D"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15 mg intratekaalisesti, päivä 1</w:t>
            </w:r>
          </w:p>
        </w:tc>
      </w:tr>
      <w:tr w:rsidR="00311DC5" w:rsidRPr="00912A5D" w14:paraId="586FC854" w14:textId="77777777" w:rsidTr="00331A48">
        <w:trPr>
          <w:cantSplit/>
        </w:trPr>
        <w:tc>
          <w:tcPr>
            <w:tcW w:w="2148" w:type="dxa"/>
            <w:tcBorders>
              <w:top w:val="single" w:sz="4" w:space="0" w:color="auto"/>
              <w:bottom w:val="single" w:sz="4" w:space="0" w:color="auto"/>
            </w:tcBorders>
          </w:tcPr>
          <w:p w14:paraId="586FC850"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Induktiohoito I</w:t>
            </w:r>
          </w:p>
        </w:tc>
        <w:tc>
          <w:tcPr>
            <w:tcW w:w="6732" w:type="dxa"/>
            <w:gridSpan w:val="4"/>
            <w:tcBorders>
              <w:top w:val="single" w:sz="4" w:space="0" w:color="auto"/>
              <w:bottom w:val="single" w:sz="4" w:space="0" w:color="auto"/>
            </w:tcBorders>
          </w:tcPr>
          <w:p w14:paraId="586FC851"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DEX 10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1-5;</w:t>
            </w:r>
          </w:p>
          <w:p w14:paraId="586FC852" w14:textId="77777777" w:rsidR="00311DC5"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2 mg laskimoon, päivät 6, 13, 20;</w:t>
            </w:r>
          </w:p>
          <w:p w14:paraId="586FC853" w14:textId="77777777" w:rsidR="00311DC5" w:rsidRPr="00912A5D" w:rsidRDefault="00311DC5" w:rsidP="00331A48">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D</w:t>
            </w:r>
            <w:r w:rsidRPr="00912A5D">
              <w:rPr>
                <w:rFonts w:ascii="Times New Roman" w:hAnsi="Times New Roman"/>
                <w:color w:val="000000"/>
                <w:sz w:val="22"/>
                <w:szCs w:val="22"/>
                <w:lang w:val="fi-FI"/>
              </w:rPr>
              <w:t>aunorubisiini 45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päivät 6-7, 13-14</w:t>
            </w:r>
          </w:p>
        </w:tc>
      </w:tr>
      <w:tr w:rsidR="00311DC5" w:rsidRPr="00912A5D" w14:paraId="586FC859" w14:textId="77777777" w:rsidTr="00331A48">
        <w:trPr>
          <w:cantSplit/>
        </w:trPr>
        <w:tc>
          <w:tcPr>
            <w:tcW w:w="2148" w:type="dxa"/>
            <w:tcBorders>
              <w:top w:val="single" w:sz="4" w:space="0" w:color="auto"/>
              <w:bottom w:val="single" w:sz="4" w:space="0" w:color="auto"/>
            </w:tcBorders>
          </w:tcPr>
          <w:p w14:paraId="586FC855"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Induktiohoito II</w:t>
            </w:r>
          </w:p>
        </w:tc>
        <w:tc>
          <w:tcPr>
            <w:tcW w:w="6732" w:type="dxa"/>
            <w:gridSpan w:val="4"/>
            <w:tcBorders>
              <w:top w:val="single" w:sz="4" w:space="0" w:color="auto"/>
              <w:bottom w:val="single" w:sz="4" w:space="0" w:color="auto"/>
            </w:tcBorders>
          </w:tcPr>
          <w:p w14:paraId="586FC856"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CP 1 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(1 h), päivät 26, 46;</w:t>
            </w:r>
          </w:p>
          <w:p w14:paraId="586FC857" w14:textId="77777777" w:rsidR="00311DC5"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Ara-C 75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(1 h), päivät 28-31, 35-38, 42-45;</w:t>
            </w:r>
          </w:p>
          <w:p w14:paraId="586FC858" w14:textId="77777777" w:rsidR="00311DC5" w:rsidRPr="00912A5D" w:rsidRDefault="00311DC5" w:rsidP="00331A48">
            <w:pPr>
              <w:pStyle w:val="Table"/>
              <w:keepLines w:val="0"/>
              <w:widowControl w:val="0"/>
              <w:rPr>
                <w:rFonts w:ascii="Times New Roman" w:hAnsi="Times New Roman"/>
                <w:color w:val="000000"/>
                <w:sz w:val="22"/>
                <w:szCs w:val="22"/>
                <w:lang w:val="pl-PL"/>
              </w:rPr>
            </w:pPr>
            <w:r w:rsidRPr="00912A5D">
              <w:rPr>
                <w:rFonts w:ascii="Times New Roman" w:hAnsi="Times New Roman"/>
                <w:color w:val="000000"/>
                <w:sz w:val="22"/>
                <w:szCs w:val="22"/>
                <w:lang w:val="fi-FI"/>
              </w:rPr>
              <w:t>6-MP 60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26-46</w:t>
            </w:r>
          </w:p>
        </w:tc>
      </w:tr>
      <w:tr w:rsidR="00311DC5" w:rsidRPr="00912A5D" w14:paraId="586FC860" w14:textId="77777777" w:rsidTr="00331A48">
        <w:trPr>
          <w:cantSplit/>
        </w:trPr>
        <w:tc>
          <w:tcPr>
            <w:tcW w:w="2148" w:type="dxa"/>
            <w:tcBorders>
              <w:top w:val="nil"/>
              <w:bottom w:val="single" w:sz="4" w:space="0" w:color="auto"/>
            </w:tcBorders>
          </w:tcPr>
          <w:p w14:paraId="586FC85A" w14:textId="77777777" w:rsidR="00311DC5" w:rsidRPr="00912A5D" w:rsidRDefault="00311DC5" w:rsidP="00331A48">
            <w:pPr>
              <w:pStyle w:val="Table"/>
              <w:keepNext w:val="0"/>
              <w:keepLines w:val="0"/>
              <w:widowControl w:val="0"/>
              <w:rPr>
                <w:rFonts w:ascii="Times New Roman" w:hAnsi="Times New Roman"/>
                <w:color w:val="000000"/>
                <w:sz w:val="22"/>
                <w:szCs w:val="22"/>
              </w:rPr>
            </w:pPr>
            <w:r w:rsidRPr="00912A5D">
              <w:rPr>
                <w:rFonts w:ascii="Times New Roman" w:hAnsi="Times New Roman"/>
                <w:color w:val="000000"/>
                <w:sz w:val="22"/>
                <w:szCs w:val="22"/>
              </w:rPr>
              <w:t>Konsolidaatiohoito</w:t>
            </w:r>
          </w:p>
        </w:tc>
        <w:tc>
          <w:tcPr>
            <w:tcW w:w="6732" w:type="dxa"/>
            <w:gridSpan w:val="4"/>
            <w:tcBorders>
              <w:top w:val="nil"/>
              <w:bottom w:val="single" w:sz="4" w:space="0" w:color="auto"/>
            </w:tcBorders>
          </w:tcPr>
          <w:p w14:paraId="586FC85B" w14:textId="77777777" w:rsidR="00311DC5" w:rsidRDefault="00311DC5" w:rsidP="00331A48">
            <w:pPr>
              <w:pStyle w:val="Table"/>
              <w:keepNext w:val="0"/>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DEX 10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suun kautta, päivät 1-5;</w:t>
            </w:r>
          </w:p>
          <w:p w14:paraId="586FC85C" w14:textId="77777777" w:rsidR="00311DC5" w:rsidRDefault="00311DC5" w:rsidP="00331A48">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V</w:t>
            </w:r>
            <w:r w:rsidRPr="006832FA">
              <w:rPr>
                <w:rFonts w:ascii="Times New Roman" w:hAnsi="Times New Roman"/>
                <w:color w:val="000000"/>
                <w:sz w:val="22"/>
                <w:szCs w:val="22"/>
                <w:lang w:val="fi-FI"/>
              </w:rPr>
              <w:t>indesiini 3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päivä 1;</w:t>
            </w:r>
          </w:p>
          <w:p w14:paraId="586FC85D" w14:textId="77777777" w:rsidR="00311DC5" w:rsidRDefault="00311DC5" w:rsidP="00331A48">
            <w:pPr>
              <w:pStyle w:val="Table"/>
              <w:keepNext w:val="0"/>
              <w:keepLines w:val="0"/>
              <w:widowControl w:val="0"/>
              <w:rPr>
                <w:rFonts w:ascii="Times New Roman" w:hAnsi="Times New Roman"/>
                <w:color w:val="000000"/>
                <w:sz w:val="22"/>
                <w:szCs w:val="22"/>
                <w:lang w:val="fi-FI"/>
              </w:rPr>
            </w:pPr>
            <w:smartTag w:uri="urn:schemas-microsoft-com:office:smarttags" w:element="State">
              <w:r w:rsidRPr="006832FA">
                <w:rPr>
                  <w:rFonts w:ascii="Times New Roman" w:hAnsi="Times New Roman"/>
                  <w:color w:val="000000"/>
                  <w:sz w:val="22"/>
                  <w:szCs w:val="22"/>
                  <w:lang w:val="fi-FI"/>
                </w:rPr>
                <w:t>MTX</w:t>
              </w:r>
            </w:smartTag>
            <w:r w:rsidRPr="006832FA">
              <w:rPr>
                <w:rFonts w:ascii="Times New Roman" w:hAnsi="Times New Roman"/>
                <w:color w:val="000000"/>
                <w:sz w:val="22"/>
                <w:szCs w:val="22"/>
                <w:lang w:val="fi-FI"/>
              </w:rPr>
              <w:t xml:space="preserve"> 1,5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(24 h), päivä 1;</w:t>
            </w:r>
          </w:p>
          <w:p w14:paraId="586FC85E" w14:textId="77777777" w:rsidR="00311DC5" w:rsidRDefault="00311DC5" w:rsidP="00331A48">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E</w:t>
            </w:r>
            <w:r w:rsidRPr="006832FA">
              <w:rPr>
                <w:rFonts w:ascii="Times New Roman" w:hAnsi="Times New Roman"/>
                <w:color w:val="000000"/>
                <w:sz w:val="22"/>
                <w:szCs w:val="22"/>
                <w:lang w:val="fi-FI"/>
              </w:rPr>
              <w:t>toposidi 250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(1 h), päivät 4-5;</w:t>
            </w:r>
          </w:p>
          <w:p w14:paraId="586FC85F" w14:textId="77777777" w:rsidR="00311DC5" w:rsidRPr="006832FA" w:rsidRDefault="00311DC5" w:rsidP="00331A48">
            <w:pPr>
              <w:pStyle w:val="Table"/>
              <w:keepNext w:val="0"/>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Ara-C 2x 2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(3 h, 12 h välein), päivä 5</w:t>
            </w:r>
          </w:p>
        </w:tc>
      </w:tr>
      <w:tr w:rsidR="00311DC5" w:rsidRPr="00912A5D" w14:paraId="586FC866" w14:textId="77777777" w:rsidTr="00331A48">
        <w:trPr>
          <w:cantSplit/>
        </w:trPr>
        <w:tc>
          <w:tcPr>
            <w:tcW w:w="2148" w:type="dxa"/>
            <w:tcBorders>
              <w:top w:val="nil"/>
              <w:bottom w:val="single" w:sz="4" w:space="0" w:color="auto"/>
            </w:tcBorders>
          </w:tcPr>
          <w:p w14:paraId="586FC861" w14:textId="77777777" w:rsidR="00311DC5" w:rsidRPr="00912A5D" w:rsidRDefault="00311DC5" w:rsidP="00331A48">
            <w:pPr>
              <w:pStyle w:val="Table"/>
              <w:keepLines w:val="0"/>
              <w:widowControl w:val="0"/>
              <w:rPr>
                <w:rFonts w:ascii="Times New Roman" w:hAnsi="Times New Roman"/>
                <w:b/>
                <w:color w:val="000000"/>
                <w:sz w:val="22"/>
                <w:szCs w:val="22"/>
              </w:rPr>
            </w:pPr>
            <w:r w:rsidRPr="00912A5D">
              <w:rPr>
                <w:rFonts w:ascii="Times New Roman" w:hAnsi="Times New Roman"/>
                <w:b/>
                <w:color w:val="000000"/>
                <w:sz w:val="22"/>
                <w:szCs w:val="22"/>
              </w:rPr>
              <w:lastRenderedPageBreak/>
              <w:t>Tutkimus AJP01</w:t>
            </w:r>
          </w:p>
        </w:tc>
        <w:tc>
          <w:tcPr>
            <w:tcW w:w="2652" w:type="dxa"/>
            <w:tcBorders>
              <w:top w:val="nil"/>
              <w:bottom w:val="single" w:sz="4" w:space="0" w:color="auto"/>
            </w:tcBorders>
          </w:tcPr>
          <w:p w14:paraId="586FC862"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080" w:type="dxa"/>
            <w:tcBorders>
              <w:top w:val="nil"/>
              <w:bottom w:val="single" w:sz="4" w:space="0" w:color="auto"/>
            </w:tcBorders>
          </w:tcPr>
          <w:p w14:paraId="586FC863"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380" w:type="dxa"/>
            <w:tcBorders>
              <w:top w:val="nil"/>
              <w:bottom w:val="single" w:sz="4" w:space="0" w:color="auto"/>
            </w:tcBorders>
          </w:tcPr>
          <w:p w14:paraId="586FC864"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620" w:type="dxa"/>
            <w:tcBorders>
              <w:top w:val="nil"/>
              <w:bottom w:val="single" w:sz="4" w:space="0" w:color="auto"/>
            </w:tcBorders>
          </w:tcPr>
          <w:p w14:paraId="586FC865" w14:textId="77777777" w:rsidR="00311DC5" w:rsidRPr="00912A5D" w:rsidRDefault="00311DC5" w:rsidP="00331A48">
            <w:pPr>
              <w:pStyle w:val="Table"/>
              <w:keepLines w:val="0"/>
              <w:widowControl w:val="0"/>
              <w:rPr>
                <w:rFonts w:ascii="Times New Roman" w:hAnsi="Times New Roman"/>
                <w:color w:val="000000"/>
                <w:sz w:val="22"/>
                <w:szCs w:val="22"/>
              </w:rPr>
            </w:pPr>
          </w:p>
        </w:tc>
      </w:tr>
      <w:tr w:rsidR="00311DC5" w:rsidRPr="00912A5D" w14:paraId="586FC86C" w14:textId="77777777" w:rsidTr="00331A48">
        <w:trPr>
          <w:cantSplit/>
        </w:trPr>
        <w:tc>
          <w:tcPr>
            <w:tcW w:w="2148" w:type="dxa"/>
            <w:tcBorders>
              <w:top w:val="nil"/>
              <w:bottom w:val="single" w:sz="4" w:space="0" w:color="auto"/>
            </w:tcBorders>
          </w:tcPr>
          <w:p w14:paraId="586FC867" w14:textId="77777777" w:rsidR="00311DC5" w:rsidRPr="00912A5D" w:rsidRDefault="00311DC5" w:rsidP="00331A48">
            <w:pPr>
              <w:pStyle w:val="Table"/>
              <w:keepLines w:val="0"/>
              <w:widowControl w:val="0"/>
              <w:jc w:val="both"/>
              <w:rPr>
                <w:rFonts w:ascii="Times New Roman" w:hAnsi="Times New Roman"/>
                <w:color w:val="000000"/>
                <w:sz w:val="22"/>
                <w:szCs w:val="22"/>
              </w:rPr>
            </w:pPr>
            <w:r w:rsidRPr="00912A5D">
              <w:rPr>
                <w:rFonts w:ascii="Times New Roman" w:hAnsi="Times New Roman"/>
                <w:color w:val="000000"/>
                <w:sz w:val="22"/>
                <w:szCs w:val="22"/>
              </w:rPr>
              <w:t>Induktiohoito</w:t>
            </w:r>
          </w:p>
        </w:tc>
        <w:tc>
          <w:tcPr>
            <w:tcW w:w="6732" w:type="dxa"/>
            <w:gridSpan w:val="4"/>
            <w:tcBorders>
              <w:top w:val="nil"/>
              <w:bottom w:val="single" w:sz="4" w:space="0" w:color="auto"/>
            </w:tcBorders>
          </w:tcPr>
          <w:p w14:paraId="586FC868" w14:textId="77777777" w:rsidR="00311DC5" w:rsidRDefault="00311DC5" w:rsidP="00331A48">
            <w:pPr>
              <w:pStyle w:val="Table"/>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CP 1,2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(3 h), päivä 1;</w:t>
            </w:r>
          </w:p>
          <w:p w14:paraId="586FC869" w14:textId="77777777" w:rsidR="00311DC5" w:rsidRDefault="00311DC5" w:rsidP="00331A48">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D</w:t>
            </w:r>
            <w:r w:rsidRPr="006832FA">
              <w:rPr>
                <w:rFonts w:ascii="Times New Roman" w:hAnsi="Times New Roman"/>
                <w:color w:val="000000"/>
                <w:sz w:val="22"/>
                <w:szCs w:val="22"/>
                <w:lang w:val="fi-FI"/>
              </w:rPr>
              <w:t>aunorubisiini 60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(1 h), päivät 1-3;</w:t>
            </w:r>
          </w:p>
          <w:p w14:paraId="586FC86A" w14:textId="77777777" w:rsidR="00311DC5" w:rsidRDefault="00311DC5" w:rsidP="00331A48">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V</w:t>
            </w:r>
            <w:r w:rsidRPr="006832FA">
              <w:rPr>
                <w:rFonts w:ascii="Times New Roman" w:hAnsi="Times New Roman"/>
                <w:color w:val="000000"/>
                <w:sz w:val="22"/>
                <w:szCs w:val="22"/>
                <w:lang w:val="fi-FI"/>
              </w:rPr>
              <w:t>inkristiini 1,3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päivät 1, 8, 15, 21;</w:t>
            </w:r>
          </w:p>
          <w:p w14:paraId="586FC86B" w14:textId="77777777" w:rsidR="00311DC5" w:rsidRPr="006832FA" w:rsidRDefault="00311DC5" w:rsidP="00331A48">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P</w:t>
            </w:r>
            <w:r w:rsidRPr="006832FA">
              <w:rPr>
                <w:rFonts w:ascii="Times New Roman" w:hAnsi="Times New Roman"/>
                <w:color w:val="000000"/>
                <w:sz w:val="22"/>
                <w:szCs w:val="22"/>
                <w:lang w:val="fi-FI"/>
              </w:rPr>
              <w:t>rednisoloni 60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/vrk suun kautta</w:t>
            </w:r>
          </w:p>
        </w:tc>
      </w:tr>
      <w:tr w:rsidR="00311DC5" w:rsidRPr="00912A5D" w14:paraId="586FC86F" w14:textId="77777777" w:rsidTr="00331A48">
        <w:trPr>
          <w:cantSplit/>
        </w:trPr>
        <w:tc>
          <w:tcPr>
            <w:tcW w:w="2148" w:type="dxa"/>
            <w:tcBorders>
              <w:top w:val="single" w:sz="4" w:space="0" w:color="auto"/>
              <w:bottom w:val="single" w:sz="4" w:space="0" w:color="auto"/>
            </w:tcBorders>
          </w:tcPr>
          <w:p w14:paraId="586FC86D" w14:textId="77777777" w:rsidR="00311DC5" w:rsidRPr="00912A5D" w:rsidRDefault="00311DC5" w:rsidP="00331A48">
            <w:pPr>
              <w:pStyle w:val="Table"/>
              <w:keepLines w:val="0"/>
              <w:widowControl w:val="0"/>
              <w:tabs>
                <w:tab w:val="left" w:pos="0"/>
              </w:tabs>
              <w:rPr>
                <w:rFonts w:ascii="Times New Roman" w:hAnsi="Times New Roman"/>
                <w:color w:val="000000"/>
                <w:sz w:val="22"/>
                <w:szCs w:val="22"/>
              </w:rPr>
            </w:pPr>
            <w:r w:rsidRPr="00912A5D">
              <w:rPr>
                <w:rFonts w:ascii="Times New Roman" w:hAnsi="Times New Roman"/>
                <w:color w:val="000000"/>
                <w:sz w:val="22"/>
                <w:szCs w:val="22"/>
              </w:rPr>
              <w:t>Konsolidaatiohoito</w:t>
            </w:r>
          </w:p>
        </w:tc>
        <w:tc>
          <w:tcPr>
            <w:tcW w:w="6732" w:type="dxa"/>
            <w:gridSpan w:val="4"/>
            <w:tcBorders>
              <w:top w:val="single" w:sz="4" w:space="0" w:color="auto"/>
              <w:bottom w:val="single" w:sz="4" w:space="0" w:color="auto"/>
            </w:tcBorders>
          </w:tcPr>
          <w:p w14:paraId="586FC86E" w14:textId="77777777" w:rsidR="00311DC5" w:rsidRPr="00912A5D"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Vuorottainen syöpälääkitys: suuriannoksinen kemoterapia, jossa </w:t>
            </w: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1 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(24 h), päivä 1, ja Ara-C 2 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(12 h välein), päivät 2-3, 4 hoitojaksoa</w:t>
            </w:r>
          </w:p>
        </w:tc>
      </w:tr>
      <w:tr w:rsidR="00311DC5" w:rsidRPr="00912A5D" w14:paraId="586FC873" w14:textId="77777777" w:rsidTr="00331A48">
        <w:trPr>
          <w:cantSplit/>
        </w:trPr>
        <w:tc>
          <w:tcPr>
            <w:tcW w:w="2148" w:type="dxa"/>
            <w:tcBorders>
              <w:top w:val="single" w:sz="4" w:space="0" w:color="auto"/>
              <w:bottom w:val="single" w:sz="4" w:space="0" w:color="auto"/>
            </w:tcBorders>
          </w:tcPr>
          <w:p w14:paraId="586FC870" w14:textId="77777777" w:rsidR="00311DC5" w:rsidRPr="00912A5D" w:rsidRDefault="00311DC5" w:rsidP="00331A48">
            <w:pPr>
              <w:pStyle w:val="Table"/>
              <w:keepNext w:val="0"/>
              <w:keepLines w:val="0"/>
              <w:widowControl w:val="0"/>
              <w:tabs>
                <w:tab w:val="left" w:pos="0"/>
              </w:tabs>
              <w:rPr>
                <w:rFonts w:ascii="Times New Roman" w:hAnsi="Times New Roman"/>
                <w:color w:val="000000"/>
                <w:sz w:val="22"/>
                <w:szCs w:val="22"/>
              </w:rPr>
            </w:pPr>
            <w:r w:rsidRPr="00912A5D">
              <w:rPr>
                <w:rFonts w:ascii="Times New Roman" w:hAnsi="Times New Roman"/>
                <w:color w:val="000000"/>
                <w:sz w:val="22"/>
                <w:szCs w:val="22"/>
              </w:rPr>
              <w:t>Ylläpitohoito</w:t>
            </w:r>
          </w:p>
        </w:tc>
        <w:tc>
          <w:tcPr>
            <w:tcW w:w="6732" w:type="dxa"/>
            <w:gridSpan w:val="4"/>
            <w:tcBorders>
              <w:top w:val="single" w:sz="4" w:space="0" w:color="auto"/>
              <w:bottom w:val="single" w:sz="4" w:space="0" w:color="auto"/>
            </w:tcBorders>
          </w:tcPr>
          <w:p w14:paraId="586FC871" w14:textId="77777777" w:rsidR="00311DC5" w:rsidRDefault="00311DC5" w:rsidP="00331A48">
            <w:pPr>
              <w:pStyle w:val="Table"/>
              <w:keepNext w:val="0"/>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1,3 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laskimoon, päivä 1;</w:t>
            </w:r>
          </w:p>
          <w:p w14:paraId="586FC872" w14:textId="77777777" w:rsidR="00311DC5" w:rsidRPr="00912A5D" w:rsidRDefault="00311DC5" w:rsidP="00331A48">
            <w:pPr>
              <w:pStyle w:val="Table"/>
              <w:keepNext w:val="0"/>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P</w:t>
            </w:r>
            <w:r w:rsidRPr="00912A5D">
              <w:rPr>
                <w:rFonts w:ascii="Times New Roman" w:hAnsi="Times New Roman"/>
                <w:color w:val="000000"/>
                <w:sz w:val="22"/>
                <w:szCs w:val="22"/>
                <w:lang w:val="fi-FI"/>
              </w:rPr>
              <w:t>rednisoloni 60 mg/m</w:t>
            </w:r>
            <w:r w:rsidRPr="00912A5D">
              <w:rPr>
                <w:rFonts w:ascii="Times New Roman" w:hAnsi="Times New Roman"/>
                <w:color w:val="000000"/>
                <w:sz w:val="22"/>
                <w:szCs w:val="22"/>
                <w:vertAlign w:val="superscript"/>
                <w:lang w:val="fi-FI"/>
              </w:rPr>
              <w:t>2</w:t>
            </w:r>
            <w:r w:rsidRPr="00912A5D">
              <w:rPr>
                <w:rFonts w:ascii="Times New Roman" w:hAnsi="Times New Roman"/>
                <w:color w:val="000000"/>
                <w:sz w:val="22"/>
                <w:szCs w:val="22"/>
                <w:lang w:val="fi-FI"/>
              </w:rPr>
              <w:t xml:space="preserve"> suun kautta, päivät 1-5</w:t>
            </w:r>
          </w:p>
        </w:tc>
      </w:tr>
      <w:tr w:rsidR="00311DC5" w:rsidRPr="00912A5D" w14:paraId="586FC878" w14:textId="77777777" w:rsidTr="00331A48">
        <w:trPr>
          <w:cantSplit/>
        </w:trPr>
        <w:tc>
          <w:tcPr>
            <w:tcW w:w="4800" w:type="dxa"/>
            <w:gridSpan w:val="2"/>
            <w:tcBorders>
              <w:top w:val="single" w:sz="4" w:space="0" w:color="auto"/>
              <w:bottom w:val="single" w:sz="4" w:space="0" w:color="auto"/>
            </w:tcBorders>
          </w:tcPr>
          <w:p w14:paraId="586FC874"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b/>
                <w:color w:val="000000"/>
                <w:sz w:val="22"/>
                <w:szCs w:val="22"/>
              </w:rPr>
              <w:t>Tutkimus AUS01</w:t>
            </w:r>
          </w:p>
        </w:tc>
        <w:tc>
          <w:tcPr>
            <w:tcW w:w="1080" w:type="dxa"/>
            <w:tcBorders>
              <w:top w:val="single" w:sz="4" w:space="0" w:color="auto"/>
              <w:bottom w:val="single" w:sz="4" w:space="0" w:color="auto"/>
            </w:tcBorders>
          </w:tcPr>
          <w:p w14:paraId="586FC875"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586FC876" w14:textId="77777777" w:rsidR="00311DC5" w:rsidRPr="00912A5D" w:rsidRDefault="00311DC5" w:rsidP="00331A48">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586FC877" w14:textId="77777777" w:rsidR="00311DC5" w:rsidRPr="00912A5D" w:rsidRDefault="00311DC5" w:rsidP="00331A48">
            <w:pPr>
              <w:pStyle w:val="Table"/>
              <w:keepLines w:val="0"/>
              <w:widowControl w:val="0"/>
              <w:rPr>
                <w:rFonts w:ascii="Times New Roman" w:hAnsi="Times New Roman"/>
                <w:color w:val="000000"/>
                <w:sz w:val="22"/>
                <w:szCs w:val="22"/>
              </w:rPr>
            </w:pPr>
          </w:p>
        </w:tc>
      </w:tr>
      <w:tr w:rsidR="00311DC5" w:rsidRPr="00912A5D" w14:paraId="586FC87E" w14:textId="77777777" w:rsidTr="00331A48">
        <w:trPr>
          <w:cantSplit/>
        </w:trPr>
        <w:tc>
          <w:tcPr>
            <w:tcW w:w="2148" w:type="dxa"/>
            <w:tcBorders>
              <w:top w:val="single" w:sz="4" w:space="0" w:color="auto"/>
              <w:bottom w:val="single" w:sz="4" w:space="0" w:color="auto"/>
            </w:tcBorders>
          </w:tcPr>
          <w:p w14:paraId="586FC879"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Induktio- ja konsolidaatiohoito</w:t>
            </w:r>
          </w:p>
        </w:tc>
        <w:tc>
          <w:tcPr>
            <w:tcW w:w="6732" w:type="dxa"/>
            <w:gridSpan w:val="4"/>
            <w:tcBorders>
              <w:top w:val="single" w:sz="4" w:space="0" w:color="auto"/>
              <w:bottom w:val="single" w:sz="4" w:space="0" w:color="auto"/>
            </w:tcBorders>
          </w:tcPr>
          <w:p w14:paraId="586FC87A" w14:textId="77777777" w:rsidR="00311DC5" w:rsidRDefault="00311DC5" w:rsidP="00331A48">
            <w:pPr>
              <w:pStyle w:val="Table"/>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Hyper-CVAD-lääkitys: CP 300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(3 h, 12 h välein), päivät 1-3;</w:t>
            </w:r>
          </w:p>
          <w:p w14:paraId="586FC87B" w14:textId="77777777" w:rsidR="00311DC5" w:rsidRDefault="00311DC5" w:rsidP="00331A48">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V</w:t>
            </w:r>
            <w:r w:rsidRPr="006832FA">
              <w:rPr>
                <w:rFonts w:ascii="Times New Roman" w:hAnsi="Times New Roman"/>
                <w:color w:val="000000"/>
                <w:sz w:val="22"/>
                <w:szCs w:val="22"/>
                <w:lang w:val="fi-FI"/>
              </w:rPr>
              <w:t>inkristiini 2 mg laskimoon, päivät 4, 11;</w:t>
            </w:r>
          </w:p>
          <w:p w14:paraId="586FC87C" w14:textId="77777777" w:rsidR="00311DC5" w:rsidRDefault="00311DC5" w:rsidP="00331A48">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D</w:t>
            </w:r>
            <w:r w:rsidRPr="006832FA">
              <w:rPr>
                <w:rFonts w:ascii="Times New Roman" w:hAnsi="Times New Roman"/>
                <w:color w:val="000000"/>
                <w:sz w:val="22"/>
                <w:szCs w:val="22"/>
                <w:lang w:val="fi-FI"/>
              </w:rPr>
              <w:t>oksorubisiini 50 mg/m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(24 h), päivä 4;</w:t>
            </w:r>
          </w:p>
          <w:p w14:paraId="586FC87D" w14:textId="77777777" w:rsidR="00311DC5" w:rsidRPr="006832FA" w:rsidRDefault="00311DC5" w:rsidP="00331A48">
            <w:pPr>
              <w:pStyle w:val="Table"/>
              <w:keepLines w:val="0"/>
              <w:widowControl w:val="0"/>
              <w:rPr>
                <w:rFonts w:ascii="Times New Roman" w:hAnsi="Times New Roman"/>
                <w:color w:val="000000"/>
                <w:sz w:val="22"/>
                <w:szCs w:val="22"/>
                <w:lang w:val="fi-FI"/>
              </w:rPr>
            </w:pPr>
            <w:r w:rsidRPr="006832FA">
              <w:rPr>
                <w:rFonts w:ascii="Times New Roman" w:hAnsi="Times New Roman"/>
                <w:color w:val="000000"/>
                <w:sz w:val="22"/>
                <w:szCs w:val="22"/>
                <w:lang w:val="fi-FI"/>
              </w:rPr>
              <w:t xml:space="preserve">DEX 40 mg/vrk päivinä 1-4 ja 11-14, vuorottain seuraavan lääkityksen kanssa: </w:t>
            </w:r>
            <w:smartTag w:uri="urn:schemas-microsoft-com:office:smarttags" w:element="State">
              <w:r w:rsidRPr="006832FA">
                <w:rPr>
                  <w:rFonts w:ascii="Times New Roman" w:hAnsi="Times New Roman"/>
                  <w:color w:val="000000"/>
                  <w:sz w:val="22"/>
                  <w:szCs w:val="22"/>
                  <w:lang w:val="fi-FI"/>
                </w:rPr>
                <w:t>MTX</w:t>
              </w:r>
            </w:smartTag>
            <w:r w:rsidRPr="006832FA">
              <w:rPr>
                <w:rFonts w:ascii="Times New Roman" w:hAnsi="Times New Roman"/>
                <w:color w:val="000000"/>
                <w:sz w:val="22"/>
                <w:szCs w:val="22"/>
                <w:lang w:val="fi-FI"/>
              </w:rPr>
              <w:t xml:space="preserve"> 1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(24 h), päivä 1, Ara-C 1 g/m</w:t>
            </w:r>
            <w:r w:rsidRPr="006832FA">
              <w:rPr>
                <w:rFonts w:ascii="Times New Roman" w:hAnsi="Times New Roman"/>
                <w:color w:val="000000"/>
                <w:sz w:val="22"/>
                <w:szCs w:val="22"/>
                <w:vertAlign w:val="superscript"/>
                <w:lang w:val="fi-FI"/>
              </w:rPr>
              <w:t>2</w:t>
            </w:r>
            <w:r w:rsidRPr="006832FA">
              <w:rPr>
                <w:rFonts w:ascii="Times New Roman" w:hAnsi="Times New Roman"/>
                <w:color w:val="000000"/>
                <w:sz w:val="22"/>
                <w:szCs w:val="22"/>
                <w:lang w:val="fi-FI"/>
              </w:rPr>
              <w:t xml:space="preserve"> laskimoon (2 h, 12 h välein), päivät 2-3 (yhteensä 8 hoitojaksoa)</w:t>
            </w:r>
          </w:p>
        </w:tc>
      </w:tr>
      <w:tr w:rsidR="00311DC5" w:rsidRPr="00912A5D" w14:paraId="586FC882" w14:textId="77777777" w:rsidTr="00331A48">
        <w:trPr>
          <w:cantSplit/>
        </w:trPr>
        <w:tc>
          <w:tcPr>
            <w:tcW w:w="2148" w:type="dxa"/>
            <w:tcBorders>
              <w:top w:val="single" w:sz="4" w:space="0" w:color="auto"/>
              <w:bottom w:val="single" w:sz="4" w:space="0" w:color="auto"/>
            </w:tcBorders>
          </w:tcPr>
          <w:p w14:paraId="586FC87F" w14:textId="77777777" w:rsidR="00311DC5" w:rsidRPr="00912A5D" w:rsidRDefault="00311DC5" w:rsidP="00331A48">
            <w:pPr>
              <w:pStyle w:val="Table"/>
              <w:keepLines w:val="0"/>
              <w:widowControl w:val="0"/>
              <w:rPr>
                <w:rFonts w:ascii="Times New Roman" w:hAnsi="Times New Roman"/>
                <w:color w:val="000000"/>
                <w:sz w:val="22"/>
                <w:szCs w:val="22"/>
              </w:rPr>
            </w:pPr>
            <w:r w:rsidRPr="00912A5D">
              <w:rPr>
                <w:rFonts w:ascii="Times New Roman" w:hAnsi="Times New Roman"/>
                <w:color w:val="000000"/>
                <w:sz w:val="22"/>
                <w:szCs w:val="22"/>
              </w:rPr>
              <w:t>Ylläpitohoito</w:t>
            </w:r>
          </w:p>
        </w:tc>
        <w:tc>
          <w:tcPr>
            <w:tcW w:w="6732" w:type="dxa"/>
            <w:gridSpan w:val="4"/>
            <w:tcBorders>
              <w:top w:val="single" w:sz="4" w:space="0" w:color="auto"/>
              <w:bottom w:val="single" w:sz="4" w:space="0" w:color="auto"/>
            </w:tcBorders>
          </w:tcPr>
          <w:p w14:paraId="586FC880" w14:textId="77777777" w:rsidR="00311DC5" w:rsidRDefault="00311DC5" w:rsidP="00331A48">
            <w:pPr>
              <w:pStyle w:val="Table"/>
              <w:keepLines w:val="0"/>
              <w:widowControl w:val="0"/>
              <w:rPr>
                <w:rFonts w:ascii="Times New Roman" w:hAnsi="Times New Roman"/>
                <w:color w:val="000000"/>
                <w:sz w:val="22"/>
                <w:szCs w:val="22"/>
                <w:lang w:val="fi-FI"/>
              </w:rPr>
            </w:pP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2 mg laskimoon kerran kuukaudessa 13 kk ajan;</w:t>
            </w:r>
          </w:p>
          <w:p w14:paraId="586FC881" w14:textId="77777777" w:rsidR="00311DC5" w:rsidRPr="00912A5D" w:rsidRDefault="00311DC5" w:rsidP="00331A48">
            <w:pPr>
              <w:pStyle w:val="Table"/>
              <w:keepLines w:val="0"/>
              <w:widowControl w:val="0"/>
              <w:rPr>
                <w:rFonts w:ascii="Times New Roman" w:hAnsi="Times New Roman"/>
                <w:color w:val="000000"/>
                <w:sz w:val="22"/>
                <w:szCs w:val="22"/>
                <w:lang w:val="fi-FI"/>
              </w:rPr>
            </w:pPr>
            <w:r>
              <w:rPr>
                <w:rFonts w:ascii="Times New Roman" w:hAnsi="Times New Roman"/>
                <w:color w:val="000000"/>
                <w:sz w:val="22"/>
                <w:szCs w:val="22"/>
                <w:lang w:val="fi-FI"/>
              </w:rPr>
              <w:t>P</w:t>
            </w:r>
            <w:r w:rsidRPr="00912A5D">
              <w:rPr>
                <w:rFonts w:ascii="Times New Roman" w:hAnsi="Times New Roman"/>
                <w:color w:val="000000"/>
                <w:sz w:val="22"/>
                <w:szCs w:val="22"/>
                <w:lang w:val="fi-FI"/>
              </w:rPr>
              <w:t>rednisoloni 200 mg suun kautta, 5 vrk/kk 13 kk ajan</w:t>
            </w:r>
          </w:p>
        </w:tc>
      </w:tr>
      <w:tr w:rsidR="00311DC5" w:rsidRPr="00912A5D" w14:paraId="586FC884" w14:textId="77777777" w:rsidTr="00331A48">
        <w:trPr>
          <w:cantSplit/>
        </w:trPr>
        <w:tc>
          <w:tcPr>
            <w:tcW w:w="8880" w:type="dxa"/>
            <w:gridSpan w:val="5"/>
            <w:tcBorders>
              <w:top w:val="single" w:sz="4" w:space="0" w:color="auto"/>
              <w:bottom w:val="single" w:sz="4" w:space="0" w:color="auto"/>
            </w:tcBorders>
          </w:tcPr>
          <w:p w14:paraId="586FC883" w14:textId="77777777" w:rsidR="00311DC5" w:rsidRPr="00912A5D" w:rsidRDefault="00311DC5" w:rsidP="00331A48">
            <w:pPr>
              <w:pStyle w:val="Table"/>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Kaikkiin hoitoihin kuului steroidien anto keskushermostoprofylaksia varten.</w:t>
            </w:r>
          </w:p>
        </w:tc>
      </w:tr>
      <w:tr w:rsidR="00311DC5" w:rsidRPr="00912A5D" w14:paraId="586FC886" w14:textId="77777777" w:rsidTr="00331A48">
        <w:trPr>
          <w:cantSplit/>
        </w:trPr>
        <w:tc>
          <w:tcPr>
            <w:tcW w:w="8880" w:type="dxa"/>
            <w:gridSpan w:val="5"/>
            <w:tcBorders>
              <w:top w:val="single" w:sz="4" w:space="0" w:color="auto"/>
              <w:bottom w:val="single" w:sz="4" w:space="0" w:color="auto"/>
            </w:tcBorders>
          </w:tcPr>
          <w:p w14:paraId="586FC885" w14:textId="77777777" w:rsidR="00311DC5" w:rsidRPr="00912A5D" w:rsidRDefault="00311DC5" w:rsidP="00331A48">
            <w:pPr>
              <w:pStyle w:val="Table"/>
              <w:keepNext w:val="0"/>
              <w:keepLines w:val="0"/>
              <w:widowControl w:val="0"/>
              <w:rPr>
                <w:rFonts w:ascii="Times New Roman" w:hAnsi="Times New Roman"/>
                <w:color w:val="000000"/>
                <w:sz w:val="22"/>
                <w:szCs w:val="22"/>
                <w:lang w:val="fi-FI"/>
              </w:rPr>
            </w:pPr>
            <w:r w:rsidRPr="00912A5D">
              <w:rPr>
                <w:rFonts w:ascii="Times New Roman" w:hAnsi="Times New Roman"/>
                <w:color w:val="000000"/>
                <w:sz w:val="22"/>
                <w:szCs w:val="22"/>
                <w:lang w:val="fi-FI"/>
              </w:rPr>
              <w:t xml:space="preserve">Ara-C: sytosiiniarabinosidi; CP: syklofosfamidi; DEX: deksametasoni; </w:t>
            </w:r>
            <w:smartTag w:uri="urn:schemas-microsoft-com:office:smarttags" w:element="State">
              <w:r w:rsidRPr="00912A5D">
                <w:rPr>
                  <w:rFonts w:ascii="Times New Roman" w:hAnsi="Times New Roman"/>
                  <w:color w:val="000000"/>
                  <w:sz w:val="22"/>
                  <w:szCs w:val="22"/>
                  <w:lang w:val="fi-FI"/>
                </w:rPr>
                <w:t>MTX</w:t>
              </w:r>
            </w:smartTag>
            <w:r w:rsidRPr="00912A5D">
              <w:rPr>
                <w:rFonts w:ascii="Times New Roman" w:hAnsi="Times New Roman"/>
                <w:color w:val="000000"/>
                <w:sz w:val="22"/>
                <w:szCs w:val="22"/>
                <w:lang w:val="fi-FI"/>
              </w:rPr>
              <w:t xml:space="preserve">: metotreksaatti; 6-MP: 6-merkaptopuriini; VM26: teniposidi; </w:t>
            </w:r>
            <w:smartTag w:uri="urn:schemas-microsoft-com:office:smarttags" w:element="State">
              <w:r w:rsidRPr="00912A5D">
                <w:rPr>
                  <w:rFonts w:ascii="Times New Roman" w:hAnsi="Times New Roman"/>
                  <w:color w:val="000000"/>
                  <w:sz w:val="22"/>
                  <w:szCs w:val="22"/>
                  <w:lang w:val="fi-FI"/>
                </w:rPr>
                <w:t>VCR</w:t>
              </w:r>
            </w:smartTag>
            <w:r w:rsidRPr="00912A5D">
              <w:rPr>
                <w:rFonts w:ascii="Times New Roman" w:hAnsi="Times New Roman"/>
                <w:color w:val="000000"/>
                <w:sz w:val="22"/>
                <w:szCs w:val="22"/>
                <w:lang w:val="fi-FI"/>
              </w:rPr>
              <w:t xml:space="preserve">: vinkristiini; </w:t>
            </w:r>
            <w:smartTag w:uri="urn:schemas-microsoft-com:office:smarttags" w:element="State">
              <w:r w:rsidRPr="00912A5D">
                <w:rPr>
                  <w:rFonts w:ascii="Times New Roman" w:hAnsi="Times New Roman"/>
                  <w:color w:val="000000"/>
                  <w:sz w:val="22"/>
                  <w:szCs w:val="22"/>
                  <w:lang w:val="fi-FI"/>
                </w:rPr>
                <w:t>IDA</w:t>
              </w:r>
            </w:smartTag>
            <w:r w:rsidRPr="00912A5D">
              <w:rPr>
                <w:rFonts w:ascii="Times New Roman" w:hAnsi="Times New Roman"/>
                <w:color w:val="000000"/>
                <w:sz w:val="22"/>
                <w:szCs w:val="22"/>
                <w:lang w:val="fi-FI"/>
              </w:rPr>
              <w:t>: idarubisiini; i.v.: laskimoon</w:t>
            </w:r>
          </w:p>
        </w:tc>
      </w:tr>
    </w:tbl>
    <w:p w14:paraId="586FC887" w14:textId="77777777" w:rsidR="00311DC5" w:rsidRDefault="00311DC5" w:rsidP="00311DC5">
      <w:pPr>
        <w:pStyle w:val="EndnoteText"/>
        <w:widowControl w:val="0"/>
        <w:tabs>
          <w:tab w:val="clear" w:pos="567"/>
        </w:tabs>
        <w:rPr>
          <w:color w:val="000000"/>
          <w:szCs w:val="22"/>
          <w:lang w:val="fi-FI"/>
        </w:rPr>
      </w:pPr>
    </w:p>
    <w:p w14:paraId="586FC888" w14:textId="77777777" w:rsidR="00311DC5" w:rsidRPr="00396314" w:rsidRDefault="00311DC5" w:rsidP="00311DC5">
      <w:pPr>
        <w:pStyle w:val="EndnoteText"/>
        <w:widowControl w:val="0"/>
        <w:rPr>
          <w:color w:val="000000"/>
          <w:szCs w:val="22"/>
          <w:lang w:val="fi-FI"/>
        </w:rPr>
      </w:pPr>
      <w:r w:rsidRPr="001678D7">
        <w:rPr>
          <w:i/>
          <w:color w:val="000000"/>
          <w:szCs w:val="22"/>
          <w:lang w:val="fi-FI"/>
        </w:rPr>
        <w:t>Pediatriset</w:t>
      </w:r>
      <w:r w:rsidRPr="00396314">
        <w:rPr>
          <w:i/>
          <w:color w:val="000000"/>
          <w:szCs w:val="22"/>
          <w:lang w:val="fi-FI"/>
        </w:rPr>
        <w:t xml:space="preserve"> potilaat</w:t>
      </w:r>
      <w:r w:rsidRPr="00396314">
        <w:rPr>
          <w:color w:val="000000"/>
          <w:szCs w:val="22"/>
          <w:lang w:val="fi-FI"/>
        </w:rPr>
        <w:t>:</w:t>
      </w:r>
      <w:r w:rsidRPr="00396314">
        <w:rPr>
          <w:szCs w:val="22"/>
          <w:lang w:val="fi-FI"/>
        </w:rPr>
        <w:t xml:space="preserve"> </w:t>
      </w:r>
      <w:r w:rsidRPr="00396314">
        <w:rPr>
          <w:color w:val="000000"/>
          <w:szCs w:val="22"/>
          <w:lang w:val="fi-FI"/>
        </w:rPr>
        <w:t>I2301-tutkimuksessa avoimeen, sekventiaalisilla kohorteilla toteutettuun, satunnaistamattomaan, vaiheen III monikeskustutkimukseen otettiin mukaan yhteensä 93 lasta, nuorta ja nuorta aikuista (ikä 1–22 v), joilla oli Ph+ ALL. Potilaat saivat Glivecin (340 mg/m</w:t>
      </w:r>
      <w:r w:rsidRPr="00396314">
        <w:rPr>
          <w:color w:val="000000"/>
          <w:szCs w:val="22"/>
          <w:vertAlign w:val="superscript"/>
          <w:lang w:val="fi-FI"/>
        </w:rPr>
        <w:t>2</w:t>
      </w:r>
      <w:r w:rsidRPr="00396314">
        <w:rPr>
          <w:color w:val="000000"/>
          <w:szCs w:val="22"/>
          <w:lang w:val="fi-FI"/>
        </w:rPr>
        <w:t>/vrk) ja intensiivisen kemoterapian yhdistelmähoitoa induktiohoidon jälkeen. Glivec-hoitoa annettiin jaksottaisesti kohorteissa 1</w:t>
      </w:r>
      <w:r w:rsidRPr="00396314">
        <w:rPr>
          <w:szCs w:val="22"/>
          <w:lang w:val="fi-FI"/>
        </w:rPr>
        <w:noBreakHyphen/>
      </w:r>
      <w:r w:rsidRPr="00396314">
        <w:rPr>
          <w:color w:val="000000"/>
          <w:szCs w:val="22"/>
          <w:lang w:val="fi-FI"/>
        </w:rPr>
        <w:t xml:space="preserve">5. Glivec-hoidon kestoa pidennettiin ja aloittamista aikaistettiin kohorteittain: kohortissa 1 Glivec-hoito oli vähiten intensiivistä ja kohortissa 5 intensiivisintä (ts. jatkuvan, päivittäisen Glivec-hoidon kesto päivinä ensimmäisten kemoterapiahoitojaksojen aikana oli pisin). Kohortin 5 potilailla (n=50) jatkuva, päivittäinen Glivec-altistus hoidon alkuvaiheessa yhdessä kemoterapian kanssa paransi 4 v elossaoloa ilman tapahtumia (69,6 %) verrattuna historiallisiin verrokkeihin (n=120), jotka saivat tavanomaista kemoterapiaa ilman Glivec-hoitoa (31,6 %). Arvioitu 4 v kokonaiselossaolo kohortin 5 potilailla oli 83,6 % verrattuna historiallisiin </w:t>
      </w:r>
      <w:r w:rsidRPr="001678D7">
        <w:rPr>
          <w:color w:val="000000"/>
          <w:szCs w:val="22"/>
          <w:lang w:val="fi-FI"/>
        </w:rPr>
        <w:t>verrokkeihin</w:t>
      </w:r>
      <w:r w:rsidRPr="00396314">
        <w:rPr>
          <w:color w:val="000000"/>
          <w:szCs w:val="22"/>
          <w:lang w:val="fi-FI"/>
        </w:rPr>
        <w:t xml:space="preserve"> (44,8 %). 20 potilasta 50:stä (40 %) sai hematopoieettisen kantasolusiirron kohortissa 5.</w:t>
      </w:r>
    </w:p>
    <w:p w14:paraId="586FC889" w14:textId="77777777" w:rsidR="00311DC5" w:rsidRPr="00396314" w:rsidRDefault="00311DC5" w:rsidP="00311DC5">
      <w:pPr>
        <w:pStyle w:val="EndnoteText"/>
        <w:widowControl w:val="0"/>
        <w:rPr>
          <w:color w:val="000000"/>
          <w:szCs w:val="22"/>
          <w:lang w:val="fi-FI"/>
        </w:rPr>
      </w:pPr>
    </w:p>
    <w:p w14:paraId="586FC88A" w14:textId="77777777" w:rsidR="00311DC5" w:rsidRPr="00396314" w:rsidRDefault="00311DC5" w:rsidP="00331A48">
      <w:pPr>
        <w:pStyle w:val="EndnoteText"/>
        <w:keepNext/>
        <w:keepLines/>
        <w:widowControl w:val="0"/>
        <w:tabs>
          <w:tab w:val="clear" w:pos="567"/>
        </w:tabs>
        <w:ind w:left="1418" w:hanging="1418"/>
        <w:rPr>
          <w:b/>
          <w:color w:val="000000"/>
          <w:szCs w:val="22"/>
          <w:lang w:val="fi-FI"/>
        </w:rPr>
      </w:pPr>
      <w:r w:rsidRPr="00396314">
        <w:rPr>
          <w:b/>
          <w:color w:val="000000"/>
          <w:szCs w:val="22"/>
          <w:lang w:val="fi-FI"/>
        </w:rPr>
        <w:t>Taulukko </w:t>
      </w:r>
      <w:r w:rsidR="0086657A">
        <w:rPr>
          <w:b/>
          <w:color w:val="000000"/>
          <w:szCs w:val="22"/>
          <w:lang w:val="fi-FI"/>
        </w:rPr>
        <w:t>5</w:t>
      </w:r>
      <w:r w:rsidRPr="00396314">
        <w:rPr>
          <w:szCs w:val="22"/>
          <w:lang w:val="fi-FI"/>
        </w:rPr>
        <w:tab/>
      </w:r>
      <w:r w:rsidRPr="00396314">
        <w:rPr>
          <w:b/>
          <w:color w:val="000000"/>
          <w:szCs w:val="22"/>
          <w:lang w:val="fi-FI"/>
        </w:rPr>
        <w:t>Yhdistelmähoitona imatinibin kanssa käytetty kemoterapiahoito I2301-tutkimuksessa</w:t>
      </w:r>
    </w:p>
    <w:p w14:paraId="586FC88B" w14:textId="77777777" w:rsidR="00311DC5" w:rsidRPr="00396314" w:rsidRDefault="00311DC5" w:rsidP="00331A48">
      <w:pPr>
        <w:pStyle w:val="EndnoteText"/>
        <w:keepNext/>
        <w:widowControl w:val="0"/>
        <w:rPr>
          <w:color w:val="000000"/>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6716"/>
      </w:tblGrid>
      <w:tr w:rsidR="00311DC5" w:rsidRPr="00396314" w14:paraId="586FC894" w14:textId="77777777" w:rsidTr="00331A48">
        <w:trPr>
          <w:cantSplit/>
        </w:trPr>
        <w:tc>
          <w:tcPr>
            <w:tcW w:w="2358" w:type="dxa"/>
            <w:shd w:val="clear" w:color="auto" w:fill="auto"/>
          </w:tcPr>
          <w:p w14:paraId="586FC88C" w14:textId="77777777" w:rsidR="00311DC5" w:rsidRPr="00396314" w:rsidRDefault="00311DC5" w:rsidP="008238ED">
            <w:pPr>
              <w:pStyle w:val="EndnoteText"/>
              <w:widowControl w:val="0"/>
              <w:rPr>
                <w:color w:val="000000"/>
                <w:szCs w:val="22"/>
                <w:lang w:val="fi-FI"/>
              </w:rPr>
            </w:pPr>
            <w:r w:rsidRPr="00396314">
              <w:rPr>
                <w:color w:val="000000"/>
                <w:szCs w:val="22"/>
                <w:lang w:val="fi-FI"/>
              </w:rPr>
              <w:t>Konsolidaatiojakso 1</w:t>
            </w:r>
          </w:p>
          <w:p w14:paraId="586FC88D" w14:textId="77777777" w:rsidR="00311DC5" w:rsidRPr="00396314" w:rsidRDefault="00311DC5" w:rsidP="008238ED">
            <w:pPr>
              <w:pStyle w:val="EndnoteText"/>
              <w:widowControl w:val="0"/>
              <w:rPr>
                <w:color w:val="000000"/>
                <w:szCs w:val="22"/>
                <w:lang w:val="fi-FI"/>
              </w:rPr>
            </w:pPr>
            <w:r w:rsidRPr="00396314">
              <w:rPr>
                <w:color w:val="000000"/>
                <w:szCs w:val="22"/>
                <w:lang w:val="fi-FI"/>
              </w:rPr>
              <w:t>(3 viikkoa)</w:t>
            </w:r>
          </w:p>
        </w:tc>
        <w:tc>
          <w:tcPr>
            <w:tcW w:w="6929" w:type="dxa"/>
            <w:shd w:val="clear" w:color="auto" w:fill="auto"/>
          </w:tcPr>
          <w:p w14:paraId="586FC88E" w14:textId="77777777" w:rsidR="00311DC5" w:rsidRPr="00396314" w:rsidRDefault="00311DC5" w:rsidP="008238ED">
            <w:pPr>
              <w:pStyle w:val="EndnoteText"/>
              <w:widowControl w:val="0"/>
              <w:rPr>
                <w:color w:val="000000"/>
                <w:szCs w:val="22"/>
                <w:lang w:val="fi-FI"/>
              </w:rPr>
            </w:pPr>
            <w:r w:rsidRPr="00396314">
              <w:rPr>
                <w:color w:val="000000"/>
                <w:szCs w:val="22"/>
                <w:lang w:val="fi-FI"/>
              </w:rPr>
              <w:t>Etoposidi (100 mg/m</w:t>
            </w:r>
            <w:r w:rsidRPr="00396314">
              <w:rPr>
                <w:color w:val="000000"/>
                <w:szCs w:val="22"/>
                <w:vertAlign w:val="superscript"/>
                <w:lang w:val="fi-FI"/>
              </w:rPr>
              <w:t>2</w:t>
            </w:r>
            <w:r w:rsidRPr="00396314">
              <w:rPr>
                <w:color w:val="000000"/>
                <w:szCs w:val="22"/>
                <w:lang w:val="fi-FI"/>
              </w:rPr>
              <w:t>/vrk, laskimoon): päivät 1</w:t>
            </w:r>
            <w:r w:rsidRPr="001678D7">
              <w:rPr>
                <w:szCs w:val="22"/>
                <w:lang w:val="fi-FI"/>
              </w:rPr>
              <w:t>–</w:t>
            </w:r>
            <w:r w:rsidRPr="00396314">
              <w:rPr>
                <w:color w:val="000000"/>
                <w:szCs w:val="22"/>
                <w:lang w:val="fi-FI"/>
              </w:rPr>
              <w:t>5</w:t>
            </w:r>
          </w:p>
          <w:p w14:paraId="586FC88F" w14:textId="77777777" w:rsidR="00311DC5" w:rsidRPr="00396314" w:rsidRDefault="00311DC5" w:rsidP="008238ED">
            <w:pPr>
              <w:pStyle w:val="EndnoteText"/>
              <w:widowControl w:val="0"/>
              <w:rPr>
                <w:color w:val="000000"/>
                <w:szCs w:val="22"/>
                <w:lang w:val="fi-FI"/>
              </w:rPr>
            </w:pPr>
            <w:r w:rsidRPr="00396314">
              <w:rPr>
                <w:color w:val="000000"/>
                <w:szCs w:val="22"/>
                <w:lang w:val="fi-FI"/>
              </w:rPr>
              <w:t>Ifosfamidi (1,8 g/m</w:t>
            </w:r>
            <w:r w:rsidRPr="00396314">
              <w:rPr>
                <w:color w:val="000000"/>
                <w:szCs w:val="22"/>
                <w:vertAlign w:val="superscript"/>
                <w:lang w:val="fi-FI"/>
              </w:rPr>
              <w:t>2</w:t>
            </w:r>
            <w:r w:rsidRPr="00396314">
              <w:rPr>
                <w:color w:val="000000"/>
                <w:szCs w:val="22"/>
                <w:lang w:val="fi-FI"/>
              </w:rPr>
              <w:t>/vrk, laskimoon): päivät 1</w:t>
            </w:r>
            <w:r w:rsidRPr="001678D7">
              <w:rPr>
                <w:szCs w:val="22"/>
                <w:lang w:val="fi-FI"/>
              </w:rPr>
              <w:t>–</w:t>
            </w:r>
            <w:r w:rsidRPr="00396314">
              <w:rPr>
                <w:color w:val="000000"/>
                <w:szCs w:val="22"/>
                <w:lang w:val="fi-FI"/>
              </w:rPr>
              <w:t>5</w:t>
            </w:r>
          </w:p>
          <w:p w14:paraId="586FC890" w14:textId="77777777" w:rsidR="00311DC5" w:rsidRPr="00396314" w:rsidRDefault="00311DC5" w:rsidP="008238ED">
            <w:pPr>
              <w:pStyle w:val="EndnoteText"/>
              <w:widowControl w:val="0"/>
              <w:rPr>
                <w:color w:val="000000"/>
                <w:szCs w:val="22"/>
                <w:lang w:val="fi-FI"/>
              </w:rPr>
            </w:pPr>
            <w:r w:rsidRPr="00396314">
              <w:rPr>
                <w:color w:val="000000"/>
                <w:szCs w:val="22"/>
                <w:lang w:val="fi-FI"/>
              </w:rPr>
              <w:t>MESNA (360 mg/m</w:t>
            </w:r>
            <w:r w:rsidRPr="00396314">
              <w:rPr>
                <w:color w:val="000000"/>
                <w:szCs w:val="22"/>
                <w:vertAlign w:val="superscript"/>
                <w:lang w:val="fi-FI"/>
              </w:rPr>
              <w:t>2</w:t>
            </w:r>
            <w:r w:rsidRPr="00396314">
              <w:rPr>
                <w:color w:val="000000"/>
                <w:szCs w:val="22"/>
                <w:lang w:val="fi-FI"/>
              </w:rPr>
              <w:t>/annos 3 h välein, 8 annosta/vrk, laskimoon): päivät 1</w:t>
            </w:r>
            <w:r w:rsidRPr="001678D7">
              <w:rPr>
                <w:szCs w:val="22"/>
                <w:lang w:val="fi-FI"/>
              </w:rPr>
              <w:t>–</w:t>
            </w:r>
            <w:r w:rsidRPr="00396314">
              <w:rPr>
                <w:color w:val="000000"/>
                <w:szCs w:val="22"/>
                <w:lang w:val="fi-FI"/>
              </w:rPr>
              <w:t>5</w:t>
            </w:r>
          </w:p>
          <w:p w14:paraId="586FC891" w14:textId="77777777" w:rsidR="00311DC5" w:rsidRPr="00396314" w:rsidRDefault="00311DC5" w:rsidP="008238ED">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g/kg, ihon alle): päivät 6</w:t>
            </w:r>
            <w:r w:rsidRPr="001678D7">
              <w:rPr>
                <w:szCs w:val="22"/>
                <w:lang w:val="fi-FI"/>
              </w:rPr>
              <w:t>–</w:t>
            </w:r>
            <w:r w:rsidRPr="00396314">
              <w:rPr>
                <w:color w:val="000000"/>
                <w:szCs w:val="22"/>
                <w:lang w:val="fi-FI"/>
              </w:rPr>
              <w:t xml:space="preserve">15 tai kunnes ANC (absoluuttinen neutrofiiliarvo) &gt; 1 500 </w:t>
            </w:r>
            <w:r>
              <w:rPr>
                <w:color w:val="000000"/>
                <w:szCs w:val="22"/>
                <w:lang w:val="fi-FI"/>
              </w:rPr>
              <w:t>neutropenian</w:t>
            </w:r>
            <w:r w:rsidRPr="00396314">
              <w:rPr>
                <w:color w:val="000000"/>
                <w:szCs w:val="22"/>
                <w:lang w:val="fi-FI"/>
              </w:rPr>
              <w:t xml:space="preserve"> jälkeen</w:t>
            </w:r>
          </w:p>
          <w:p w14:paraId="586FC892" w14:textId="77777777" w:rsidR="00311DC5" w:rsidRPr="00396314" w:rsidRDefault="00311DC5" w:rsidP="008238ED">
            <w:pPr>
              <w:pStyle w:val="EndnoteText"/>
              <w:widowControl w:val="0"/>
              <w:rPr>
                <w:color w:val="000000"/>
                <w:szCs w:val="22"/>
                <w:lang w:val="fi-FI"/>
              </w:rPr>
            </w:pPr>
            <w:r w:rsidRPr="00396314">
              <w:rPr>
                <w:color w:val="000000"/>
                <w:szCs w:val="22"/>
                <w:lang w:val="fi-FI"/>
              </w:rPr>
              <w:t>Intratekaalinen metotreksaatti (mukautettu iän mukaan): VAIN päivä 1</w:t>
            </w:r>
          </w:p>
          <w:p w14:paraId="586FC893" w14:textId="77777777" w:rsidR="00311DC5" w:rsidRPr="00396314" w:rsidRDefault="00311DC5" w:rsidP="008238ED">
            <w:pPr>
              <w:pStyle w:val="EndnoteText"/>
              <w:widowControl w:val="0"/>
              <w:rPr>
                <w:color w:val="000000"/>
                <w:szCs w:val="22"/>
                <w:lang w:val="fi-FI"/>
              </w:rPr>
            </w:pPr>
            <w:r w:rsidRPr="00396314">
              <w:rPr>
                <w:color w:val="000000"/>
                <w:szCs w:val="22"/>
                <w:lang w:val="fi-FI"/>
              </w:rPr>
              <w:t>Intratekaalinen kolmoishoito (mukautettu iän mukaan): päivä 8, 15</w:t>
            </w:r>
          </w:p>
        </w:tc>
      </w:tr>
      <w:tr w:rsidR="00311DC5" w:rsidRPr="00396314" w14:paraId="586FC89C" w14:textId="77777777" w:rsidTr="00331A48">
        <w:trPr>
          <w:cantSplit/>
        </w:trPr>
        <w:tc>
          <w:tcPr>
            <w:tcW w:w="2358" w:type="dxa"/>
            <w:shd w:val="clear" w:color="auto" w:fill="auto"/>
          </w:tcPr>
          <w:p w14:paraId="586FC895" w14:textId="77777777" w:rsidR="00311DC5" w:rsidRPr="00396314" w:rsidRDefault="00311DC5" w:rsidP="008238ED">
            <w:pPr>
              <w:pStyle w:val="EndnoteText"/>
              <w:widowControl w:val="0"/>
              <w:rPr>
                <w:color w:val="000000"/>
                <w:szCs w:val="22"/>
                <w:lang w:val="fi-FI"/>
              </w:rPr>
            </w:pPr>
            <w:r w:rsidRPr="00396314">
              <w:rPr>
                <w:color w:val="000000"/>
                <w:szCs w:val="22"/>
                <w:lang w:val="fi-FI"/>
              </w:rPr>
              <w:lastRenderedPageBreak/>
              <w:t>Konsolidaatiojakso 2</w:t>
            </w:r>
          </w:p>
          <w:p w14:paraId="586FC896" w14:textId="77777777" w:rsidR="00311DC5" w:rsidRPr="00396314" w:rsidRDefault="00311DC5" w:rsidP="008238ED">
            <w:pPr>
              <w:pStyle w:val="EndnoteText"/>
              <w:widowControl w:val="0"/>
              <w:rPr>
                <w:color w:val="000000"/>
                <w:szCs w:val="22"/>
                <w:lang w:val="fi-FI"/>
              </w:rPr>
            </w:pPr>
            <w:r w:rsidRPr="00396314">
              <w:rPr>
                <w:color w:val="000000"/>
                <w:szCs w:val="22"/>
                <w:lang w:val="fi-FI"/>
              </w:rPr>
              <w:t>(3 viikkoa)</w:t>
            </w:r>
          </w:p>
        </w:tc>
        <w:tc>
          <w:tcPr>
            <w:tcW w:w="6929" w:type="dxa"/>
            <w:shd w:val="clear" w:color="auto" w:fill="auto"/>
          </w:tcPr>
          <w:p w14:paraId="586FC897" w14:textId="77777777" w:rsidR="00311DC5" w:rsidRPr="00396314" w:rsidRDefault="00311DC5" w:rsidP="008238ED">
            <w:pPr>
              <w:pStyle w:val="EndnoteText"/>
              <w:widowControl w:val="0"/>
              <w:rPr>
                <w:color w:val="000000"/>
                <w:szCs w:val="22"/>
                <w:lang w:val="fi-FI"/>
              </w:rPr>
            </w:pPr>
            <w:r w:rsidRPr="00396314">
              <w:rPr>
                <w:color w:val="000000"/>
                <w:szCs w:val="22"/>
                <w:lang w:val="fi-FI"/>
              </w:rPr>
              <w:t>Metotreksaatti (5 g/m</w:t>
            </w:r>
            <w:r w:rsidRPr="00396314">
              <w:rPr>
                <w:color w:val="000000"/>
                <w:szCs w:val="22"/>
                <w:vertAlign w:val="superscript"/>
                <w:lang w:val="fi-FI"/>
              </w:rPr>
              <w:t>2</w:t>
            </w:r>
            <w:r w:rsidRPr="00396314">
              <w:rPr>
                <w:color w:val="000000"/>
                <w:szCs w:val="22"/>
                <w:lang w:val="fi-FI"/>
              </w:rPr>
              <w:t xml:space="preserve"> 24 tunnin aikana, laskimoon): päivä 1</w:t>
            </w:r>
          </w:p>
          <w:p w14:paraId="586FC898" w14:textId="77777777" w:rsidR="00311DC5" w:rsidRPr="00396314" w:rsidRDefault="00311DC5" w:rsidP="008238ED">
            <w:pPr>
              <w:pStyle w:val="EndnoteText"/>
              <w:widowControl w:val="0"/>
              <w:rPr>
                <w:color w:val="000000"/>
                <w:szCs w:val="22"/>
                <w:lang w:val="fi-FI"/>
              </w:rPr>
            </w:pPr>
            <w:r w:rsidRPr="00396314">
              <w:rPr>
                <w:color w:val="000000"/>
                <w:szCs w:val="22"/>
                <w:lang w:val="fi-FI"/>
              </w:rPr>
              <w:t>Foliinihappo (75 mg/m</w:t>
            </w:r>
            <w:r w:rsidRPr="00396314">
              <w:rPr>
                <w:color w:val="000000"/>
                <w:szCs w:val="22"/>
                <w:vertAlign w:val="superscript"/>
                <w:lang w:val="fi-FI"/>
              </w:rPr>
              <w:t>2</w:t>
            </w:r>
            <w:r w:rsidRPr="00396314">
              <w:rPr>
                <w:color w:val="000000"/>
                <w:szCs w:val="22"/>
                <w:lang w:val="fi-FI"/>
              </w:rPr>
              <w:t xml:space="preserve"> 36 tunnin kohdalla, laskimoon; 15 mg/m</w:t>
            </w:r>
            <w:r w:rsidRPr="00396314">
              <w:rPr>
                <w:color w:val="000000"/>
                <w:szCs w:val="22"/>
                <w:vertAlign w:val="superscript"/>
                <w:lang w:val="fi-FI"/>
              </w:rPr>
              <w:t>2</w:t>
            </w:r>
            <w:r w:rsidRPr="00396314">
              <w:rPr>
                <w:color w:val="000000"/>
                <w:szCs w:val="22"/>
                <w:lang w:val="fi-FI"/>
              </w:rPr>
              <w:t xml:space="preserve"> laskimoon tai suun kautta 6 h välein, 6 annosta)iii: päivät 2 ja 3</w:t>
            </w:r>
          </w:p>
          <w:p w14:paraId="586FC899" w14:textId="77777777" w:rsidR="00311DC5" w:rsidRPr="00396314" w:rsidRDefault="00311DC5" w:rsidP="008238ED">
            <w:pPr>
              <w:pStyle w:val="EndnoteText"/>
              <w:widowControl w:val="0"/>
              <w:rPr>
                <w:color w:val="000000"/>
                <w:szCs w:val="22"/>
                <w:lang w:val="fi-FI"/>
              </w:rPr>
            </w:pPr>
            <w:r w:rsidRPr="00396314">
              <w:rPr>
                <w:color w:val="000000"/>
                <w:szCs w:val="22"/>
                <w:lang w:val="fi-FI"/>
              </w:rPr>
              <w:t>Intratekaalinen kolmoishoito (mukautettu iän mukaan): päivä 1</w:t>
            </w:r>
          </w:p>
          <w:p w14:paraId="586FC89A" w14:textId="77777777" w:rsidR="00311DC5" w:rsidRPr="00396314" w:rsidRDefault="00311DC5" w:rsidP="008238ED">
            <w:pPr>
              <w:pStyle w:val="EndnoteText"/>
              <w:widowControl w:val="0"/>
              <w:rPr>
                <w:color w:val="000000"/>
                <w:szCs w:val="22"/>
                <w:lang w:val="fi-FI"/>
              </w:rPr>
            </w:pPr>
            <w:r w:rsidRPr="00396314">
              <w:rPr>
                <w:color w:val="000000"/>
                <w:szCs w:val="22"/>
                <w:lang w:val="fi-FI"/>
              </w:rPr>
              <w:t>Sytarabiini (3 g/m</w:t>
            </w:r>
            <w:r w:rsidRPr="00396314">
              <w:rPr>
                <w:color w:val="000000"/>
                <w:szCs w:val="22"/>
                <w:vertAlign w:val="superscript"/>
                <w:lang w:val="fi-FI"/>
              </w:rPr>
              <w:t>2</w:t>
            </w:r>
            <w:r w:rsidRPr="00396314">
              <w:rPr>
                <w:color w:val="000000"/>
                <w:szCs w:val="22"/>
                <w:lang w:val="fi-FI"/>
              </w:rPr>
              <w:t>/annos 12 h välein x 4, laskimoon): päivät 2 ja 3</w:t>
            </w:r>
          </w:p>
          <w:p w14:paraId="586FC89B" w14:textId="77777777" w:rsidR="00311DC5" w:rsidRPr="00396314" w:rsidRDefault="00311DC5" w:rsidP="008238ED">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 xml:space="preserve">g/kg, ihon alle): päivät 4–13 tai kunnes ANC &gt; 1 500 </w:t>
            </w:r>
            <w:r>
              <w:rPr>
                <w:color w:val="000000"/>
                <w:szCs w:val="22"/>
                <w:lang w:val="fi-FI"/>
              </w:rPr>
              <w:t>neutropenian</w:t>
            </w:r>
            <w:r w:rsidRPr="00396314">
              <w:rPr>
                <w:color w:val="000000"/>
                <w:szCs w:val="22"/>
                <w:lang w:val="fi-FI"/>
              </w:rPr>
              <w:t xml:space="preserve"> jälkeen</w:t>
            </w:r>
          </w:p>
        </w:tc>
      </w:tr>
      <w:tr w:rsidR="00311DC5" w:rsidRPr="00396314" w14:paraId="586FC8A6" w14:textId="77777777" w:rsidTr="00331A48">
        <w:trPr>
          <w:cantSplit/>
        </w:trPr>
        <w:tc>
          <w:tcPr>
            <w:tcW w:w="2358" w:type="dxa"/>
            <w:shd w:val="clear" w:color="auto" w:fill="auto"/>
          </w:tcPr>
          <w:p w14:paraId="586FC89D" w14:textId="77777777" w:rsidR="00311DC5" w:rsidRPr="00396314" w:rsidRDefault="00311DC5" w:rsidP="008238ED">
            <w:pPr>
              <w:pStyle w:val="EndnoteText"/>
              <w:widowControl w:val="0"/>
              <w:rPr>
                <w:color w:val="000000"/>
                <w:szCs w:val="22"/>
                <w:lang w:val="fi-FI"/>
              </w:rPr>
            </w:pPr>
            <w:r w:rsidRPr="00396314">
              <w:rPr>
                <w:color w:val="000000"/>
                <w:szCs w:val="22"/>
                <w:lang w:val="fi-FI"/>
              </w:rPr>
              <w:t>Uudelleeninduktio</w:t>
            </w:r>
            <w:r>
              <w:rPr>
                <w:color w:val="000000"/>
                <w:szCs w:val="22"/>
                <w:lang w:val="fi-FI"/>
              </w:rPr>
              <w:softHyphen/>
            </w:r>
            <w:r w:rsidRPr="00396314">
              <w:rPr>
                <w:color w:val="000000"/>
                <w:szCs w:val="22"/>
                <w:lang w:val="fi-FI"/>
              </w:rPr>
              <w:t>jakso 1</w:t>
            </w:r>
          </w:p>
          <w:p w14:paraId="586FC89E" w14:textId="77777777" w:rsidR="00311DC5" w:rsidRPr="00396314" w:rsidRDefault="00311DC5" w:rsidP="008238ED">
            <w:pPr>
              <w:pStyle w:val="EndnoteText"/>
              <w:widowControl w:val="0"/>
              <w:rPr>
                <w:color w:val="000000"/>
                <w:szCs w:val="22"/>
                <w:lang w:val="fi-FI"/>
              </w:rPr>
            </w:pPr>
            <w:r w:rsidRPr="00396314">
              <w:rPr>
                <w:color w:val="000000"/>
                <w:szCs w:val="22"/>
                <w:lang w:val="fi-FI"/>
              </w:rPr>
              <w:t>(3 viikkoa)</w:t>
            </w:r>
          </w:p>
        </w:tc>
        <w:tc>
          <w:tcPr>
            <w:tcW w:w="6929" w:type="dxa"/>
            <w:shd w:val="clear" w:color="auto" w:fill="auto"/>
          </w:tcPr>
          <w:p w14:paraId="586FC89F" w14:textId="77777777" w:rsidR="00311DC5" w:rsidRPr="00396314" w:rsidRDefault="00311DC5" w:rsidP="008238ED">
            <w:pPr>
              <w:pStyle w:val="EndnoteT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/vrk, laskimoon): päivät 1, 8 ja 15</w:t>
            </w:r>
          </w:p>
          <w:p w14:paraId="586FC8A0" w14:textId="77777777" w:rsidR="00311DC5" w:rsidRPr="00396314" w:rsidRDefault="00311DC5" w:rsidP="008238ED">
            <w:pPr>
              <w:pStyle w:val="EndnoteText"/>
              <w:widowControl w:val="0"/>
              <w:rPr>
                <w:color w:val="000000"/>
                <w:szCs w:val="22"/>
                <w:lang w:val="fi-FI"/>
              </w:rPr>
            </w:pPr>
            <w:r w:rsidRPr="00396314">
              <w:rPr>
                <w:color w:val="000000"/>
                <w:szCs w:val="22"/>
                <w:lang w:val="fi-FI"/>
              </w:rPr>
              <w:t>Daunorubisiini (45 mg/m</w:t>
            </w:r>
            <w:r w:rsidRPr="00396314">
              <w:rPr>
                <w:color w:val="000000"/>
                <w:szCs w:val="22"/>
                <w:vertAlign w:val="superscript"/>
                <w:lang w:val="fi-FI"/>
              </w:rPr>
              <w:t>2</w:t>
            </w:r>
            <w:r w:rsidRPr="00396314">
              <w:rPr>
                <w:color w:val="000000"/>
                <w:szCs w:val="22"/>
                <w:lang w:val="fi-FI"/>
              </w:rPr>
              <w:t>/vrk boluksena, laskimoon): päivät 1 ja 2</w:t>
            </w:r>
          </w:p>
          <w:p w14:paraId="586FC8A1" w14:textId="77777777" w:rsidR="00311DC5" w:rsidRPr="00396314" w:rsidRDefault="00311DC5" w:rsidP="008238ED">
            <w:pPr>
              <w:pStyle w:val="EndnoteText"/>
              <w:widowControl w:val="0"/>
              <w:rPr>
                <w:color w:val="000000"/>
                <w:szCs w:val="22"/>
                <w:lang w:val="fi-FI"/>
              </w:rPr>
            </w:pPr>
            <w:r w:rsidRPr="00396314">
              <w:rPr>
                <w:color w:val="000000"/>
                <w:szCs w:val="22"/>
                <w:lang w:val="fi-FI"/>
              </w:rPr>
              <w:t>Syklofosfamidi (250 mg/m</w:t>
            </w:r>
            <w:r w:rsidRPr="00396314">
              <w:rPr>
                <w:color w:val="000000"/>
                <w:szCs w:val="22"/>
                <w:vertAlign w:val="superscript"/>
                <w:lang w:val="fi-FI"/>
              </w:rPr>
              <w:t>2</w:t>
            </w:r>
            <w:r w:rsidRPr="00396314">
              <w:rPr>
                <w:color w:val="000000"/>
                <w:szCs w:val="22"/>
                <w:lang w:val="fi-FI"/>
              </w:rPr>
              <w:t>/annos 12 h välein, 4 annosta, laskimoon): päivät 3 ja 4</w:t>
            </w:r>
          </w:p>
          <w:p w14:paraId="586FC8A2" w14:textId="77777777" w:rsidR="00311DC5" w:rsidRPr="00396314" w:rsidRDefault="00311DC5" w:rsidP="008238ED">
            <w:pPr>
              <w:pStyle w:val="EndnoteText"/>
              <w:widowControl w:val="0"/>
              <w:rPr>
                <w:color w:val="000000"/>
                <w:szCs w:val="22"/>
                <w:lang w:val="fi-FI"/>
              </w:rPr>
            </w:pPr>
            <w:r w:rsidRPr="00396314">
              <w:rPr>
                <w:color w:val="000000"/>
                <w:szCs w:val="22"/>
                <w:lang w:val="fi-FI"/>
              </w:rPr>
              <w:t>PEG-asparaginaasi (2 500 ky/m</w:t>
            </w:r>
            <w:r w:rsidRPr="00396314">
              <w:rPr>
                <w:color w:val="000000"/>
                <w:szCs w:val="22"/>
                <w:vertAlign w:val="superscript"/>
                <w:lang w:val="fi-FI"/>
              </w:rPr>
              <w:t>2</w:t>
            </w:r>
            <w:r w:rsidRPr="00396314">
              <w:rPr>
                <w:color w:val="000000"/>
                <w:szCs w:val="22"/>
                <w:lang w:val="fi-FI"/>
              </w:rPr>
              <w:t>, lihakseen): päivä 4</w:t>
            </w:r>
          </w:p>
          <w:p w14:paraId="586FC8A3" w14:textId="77777777" w:rsidR="00311DC5" w:rsidRPr="00396314" w:rsidRDefault="00311DC5" w:rsidP="008238ED">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g/kg, ihon alle): päivät 5</w:t>
            </w:r>
            <w:r w:rsidRPr="001678D7">
              <w:rPr>
                <w:szCs w:val="22"/>
                <w:lang w:val="fi-FI"/>
              </w:rPr>
              <w:t>–</w:t>
            </w:r>
            <w:r w:rsidRPr="00396314">
              <w:rPr>
                <w:color w:val="000000"/>
                <w:szCs w:val="22"/>
                <w:lang w:val="fi-FI"/>
              </w:rPr>
              <w:t xml:space="preserve">14 tai kunnes ANC &gt; 1 500 </w:t>
            </w:r>
            <w:r>
              <w:rPr>
                <w:color w:val="000000"/>
                <w:szCs w:val="22"/>
                <w:lang w:val="fi-FI"/>
              </w:rPr>
              <w:t>neutropenian</w:t>
            </w:r>
            <w:r w:rsidRPr="00396314">
              <w:rPr>
                <w:color w:val="000000"/>
                <w:szCs w:val="22"/>
                <w:lang w:val="fi-FI"/>
              </w:rPr>
              <w:t xml:space="preserve"> jälkeen</w:t>
            </w:r>
          </w:p>
          <w:p w14:paraId="586FC8A4" w14:textId="77777777" w:rsidR="00311DC5" w:rsidRPr="00396314" w:rsidRDefault="00311DC5" w:rsidP="008238ED">
            <w:pPr>
              <w:pStyle w:val="EndnoteText"/>
              <w:widowControl w:val="0"/>
              <w:rPr>
                <w:color w:val="000000"/>
                <w:szCs w:val="22"/>
                <w:lang w:val="fi-FI"/>
              </w:rPr>
            </w:pPr>
            <w:r w:rsidRPr="00396314">
              <w:rPr>
                <w:color w:val="000000"/>
                <w:szCs w:val="22"/>
                <w:lang w:val="fi-FI"/>
              </w:rPr>
              <w:t>Intratekaalinen kolmoishoito (mukautettu iän mukaan): päivät 1 ja 15</w:t>
            </w:r>
          </w:p>
          <w:p w14:paraId="586FC8A5" w14:textId="77777777" w:rsidR="00311DC5" w:rsidRPr="00396314" w:rsidRDefault="00311DC5" w:rsidP="008238ED">
            <w:pPr>
              <w:pStyle w:val="EndnoteT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7 ja 15</w:t>
            </w:r>
            <w:r w:rsidRPr="001678D7">
              <w:rPr>
                <w:szCs w:val="22"/>
                <w:lang w:val="fi-FI"/>
              </w:rPr>
              <w:t>–</w:t>
            </w:r>
            <w:r w:rsidRPr="00396314">
              <w:rPr>
                <w:color w:val="000000"/>
                <w:szCs w:val="22"/>
                <w:lang w:val="fi-FI"/>
              </w:rPr>
              <w:t>21</w:t>
            </w:r>
          </w:p>
        </w:tc>
      </w:tr>
      <w:tr w:rsidR="00311DC5" w:rsidRPr="00396314" w14:paraId="586FC8B2" w14:textId="77777777" w:rsidTr="00331A48">
        <w:trPr>
          <w:cantSplit/>
        </w:trPr>
        <w:tc>
          <w:tcPr>
            <w:tcW w:w="2358" w:type="dxa"/>
            <w:shd w:val="clear" w:color="auto" w:fill="auto"/>
          </w:tcPr>
          <w:p w14:paraId="586FC8A7" w14:textId="77777777" w:rsidR="00311DC5" w:rsidRPr="00396314" w:rsidRDefault="00311DC5" w:rsidP="008238ED">
            <w:pPr>
              <w:pStyle w:val="EndnoteText"/>
              <w:widowControl w:val="0"/>
              <w:rPr>
                <w:color w:val="000000"/>
                <w:szCs w:val="22"/>
                <w:lang w:val="fi-FI"/>
              </w:rPr>
            </w:pPr>
            <w:r w:rsidRPr="00396314">
              <w:rPr>
                <w:color w:val="000000"/>
                <w:szCs w:val="22"/>
                <w:lang w:val="fi-FI"/>
              </w:rPr>
              <w:t>Tehostusjakso 1</w:t>
            </w:r>
          </w:p>
          <w:p w14:paraId="586FC8A8" w14:textId="77777777" w:rsidR="00311DC5" w:rsidRPr="00396314" w:rsidRDefault="00311DC5" w:rsidP="008238ED">
            <w:pPr>
              <w:pStyle w:val="EndnoteText"/>
              <w:widowControl w:val="0"/>
              <w:rPr>
                <w:color w:val="000000"/>
                <w:szCs w:val="22"/>
                <w:lang w:val="fi-FI"/>
              </w:rPr>
            </w:pPr>
            <w:r w:rsidRPr="00396314">
              <w:rPr>
                <w:color w:val="000000"/>
                <w:szCs w:val="22"/>
                <w:lang w:val="fi-FI"/>
              </w:rPr>
              <w:t>(9 viikkoa)</w:t>
            </w:r>
          </w:p>
        </w:tc>
        <w:tc>
          <w:tcPr>
            <w:tcW w:w="6929" w:type="dxa"/>
            <w:shd w:val="clear" w:color="auto" w:fill="auto"/>
          </w:tcPr>
          <w:p w14:paraId="586FC8A9" w14:textId="77777777" w:rsidR="00311DC5" w:rsidRPr="00396314" w:rsidRDefault="00311DC5" w:rsidP="008238ED">
            <w:pPr>
              <w:pStyle w:val="EndnoteText"/>
              <w:widowControl w:val="0"/>
              <w:rPr>
                <w:color w:val="000000"/>
                <w:szCs w:val="22"/>
                <w:lang w:val="fi-FI"/>
              </w:rPr>
            </w:pPr>
            <w:r w:rsidRPr="00396314">
              <w:rPr>
                <w:color w:val="000000"/>
                <w:szCs w:val="22"/>
                <w:lang w:val="fi-FI"/>
              </w:rPr>
              <w:t>Metotreksaatti (5 g/m</w:t>
            </w:r>
            <w:r w:rsidRPr="00396314">
              <w:rPr>
                <w:color w:val="000000"/>
                <w:szCs w:val="22"/>
                <w:vertAlign w:val="superscript"/>
                <w:lang w:val="fi-FI"/>
              </w:rPr>
              <w:t>2</w:t>
            </w:r>
            <w:r w:rsidRPr="00396314">
              <w:rPr>
                <w:color w:val="000000"/>
                <w:szCs w:val="22"/>
                <w:lang w:val="fi-FI"/>
              </w:rPr>
              <w:t xml:space="preserve"> 24 tunnin aikana, laskimoon): päivät 1 ja 15</w:t>
            </w:r>
          </w:p>
          <w:p w14:paraId="586FC8AA" w14:textId="77777777" w:rsidR="00311DC5" w:rsidRPr="00396314" w:rsidRDefault="00311DC5" w:rsidP="008238ED">
            <w:pPr>
              <w:pStyle w:val="EndnoteText"/>
              <w:widowControl w:val="0"/>
              <w:rPr>
                <w:color w:val="000000"/>
                <w:szCs w:val="22"/>
                <w:lang w:val="fi-FI"/>
              </w:rPr>
            </w:pPr>
            <w:r w:rsidRPr="00396314">
              <w:rPr>
                <w:color w:val="000000"/>
                <w:szCs w:val="22"/>
                <w:lang w:val="fi-FI"/>
              </w:rPr>
              <w:t>Foliinihappo (75 mg/m</w:t>
            </w:r>
            <w:r w:rsidRPr="00396314">
              <w:rPr>
                <w:color w:val="000000"/>
                <w:szCs w:val="22"/>
                <w:vertAlign w:val="superscript"/>
                <w:lang w:val="fi-FI"/>
              </w:rPr>
              <w:t>2</w:t>
            </w:r>
            <w:r w:rsidRPr="00396314">
              <w:rPr>
                <w:color w:val="000000"/>
                <w:szCs w:val="22"/>
                <w:lang w:val="fi-FI"/>
              </w:rPr>
              <w:t xml:space="preserve"> 36 tunnin kohdalla, laskimoon; 15 mg/m</w:t>
            </w:r>
            <w:r w:rsidRPr="00396314">
              <w:rPr>
                <w:color w:val="000000"/>
                <w:szCs w:val="22"/>
                <w:vertAlign w:val="superscript"/>
                <w:lang w:val="fi-FI"/>
              </w:rPr>
              <w:t>2</w:t>
            </w:r>
            <w:r w:rsidRPr="00396314">
              <w:rPr>
                <w:color w:val="000000"/>
                <w:szCs w:val="22"/>
                <w:lang w:val="fi-FI"/>
              </w:rPr>
              <w:t xml:space="preserve"> laskimoon tai suun kautta 6 h välein, 6 annosta)iii: päivät 2, 3, 16 ja 17</w:t>
            </w:r>
          </w:p>
          <w:p w14:paraId="586FC8AB" w14:textId="77777777" w:rsidR="00311DC5" w:rsidRPr="00396314" w:rsidRDefault="00311DC5" w:rsidP="008238ED">
            <w:pPr>
              <w:pStyle w:val="EndnoteText"/>
              <w:widowControl w:val="0"/>
              <w:rPr>
                <w:color w:val="000000"/>
                <w:szCs w:val="22"/>
                <w:lang w:val="fi-FI"/>
              </w:rPr>
            </w:pPr>
            <w:r w:rsidRPr="00396314">
              <w:rPr>
                <w:color w:val="000000"/>
                <w:szCs w:val="22"/>
                <w:lang w:val="fi-FI"/>
              </w:rPr>
              <w:t>Intratekaalinen kolmoishoito (mukautettu iän mukaan): päivät 1 ja 22</w:t>
            </w:r>
          </w:p>
          <w:p w14:paraId="586FC8AC" w14:textId="77777777" w:rsidR="00311DC5" w:rsidRPr="00396314" w:rsidRDefault="00311DC5" w:rsidP="008238ED">
            <w:pPr>
              <w:pStyle w:val="EndnoteText"/>
              <w:widowControl w:val="0"/>
              <w:rPr>
                <w:color w:val="000000"/>
                <w:szCs w:val="22"/>
                <w:lang w:val="fi-FI"/>
              </w:rPr>
            </w:pPr>
            <w:r w:rsidRPr="00396314">
              <w:rPr>
                <w:color w:val="000000"/>
                <w:szCs w:val="22"/>
                <w:lang w:val="fi-FI"/>
              </w:rPr>
              <w:t>Etoposidi (100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8AD" w14:textId="77777777" w:rsidR="00311DC5" w:rsidRPr="00396314" w:rsidRDefault="00311DC5" w:rsidP="008238ED">
            <w:pPr>
              <w:pStyle w:val="EndnoteText"/>
              <w:widowControl w:val="0"/>
              <w:rPr>
                <w:color w:val="000000"/>
                <w:szCs w:val="22"/>
                <w:lang w:val="fi-FI"/>
              </w:rPr>
            </w:pPr>
            <w:r w:rsidRPr="00396314">
              <w:rPr>
                <w:color w:val="000000"/>
                <w:szCs w:val="22"/>
                <w:lang w:val="fi-FI"/>
              </w:rPr>
              <w:t>Syklofosfamidi (300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8AE" w14:textId="77777777" w:rsidR="00311DC5" w:rsidRPr="00396314" w:rsidRDefault="00311DC5" w:rsidP="008238ED">
            <w:pPr>
              <w:pStyle w:val="EndnoteText"/>
              <w:widowControl w:val="0"/>
              <w:rPr>
                <w:color w:val="000000"/>
                <w:szCs w:val="22"/>
                <w:lang w:val="fi-FI"/>
              </w:rPr>
            </w:pPr>
            <w:r w:rsidRPr="00396314">
              <w:rPr>
                <w:color w:val="000000"/>
                <w:szCs w:val="22"/>
                <w:lang w:val="fi-FI"/>
              </w:rPr>
              <w:t>MESNA (150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8AF" w14:textId="77777777" w:rsidR="00311DC5" w:rsidRPr="00396314" w:rsidRDefault="00311DC5" w:rsidP="008238ED">
            <w:pPr>
              <w:pStyle w:val="EndnoteText"/>
              <w:widowControl w:val="0"/>
              <w:rPr>
                <w:color w:val="000000"/>
                <w:szCs w:val="22"/>
                <w:lang w:val="fi-FI"/>
              </w:rPr>
            </w:pPr>
            <w:r w:rsidRPr="00396314">
              <w:rPr>
                <w:color w:val="000000"/>
                <w:szCs w:val="22"/>
                <w:lang w:val="fi-FI"/>
              </w:rPr>
              <w:t xml:space="preserve">Granulosyyttikasvutekijä </w:t>
            </w:r>
            <w:r w:rsidRPr="001678D7">
              <w:rPr>
                <w:color w:val="000000"/>
                <w:szCs w:val="22"/>
                <w:lang w:val="fi-FI"/>
              </w:rPr>
              <w:t>(5 µg/kg, ihon alle): päivät 27–</w:t>
            </w:r>
            <w:r w:rsidRPr="00396314">
              <w:rPr>
                <w:color w:val="000000"/>
                <w:szCs w:val="22"/>
                <w:lang w:val="fi-FI"/>
              </w:rPr>
              <w:t xml:space="preserve">36 tai kunnes ANC &gt; 1 500 </w:t>
            </w:r>
            <w:r>
              <w:rPr>
                <w:color w:val="000000"/>
                <w:szCs w:val="22"/>
                <w:lang w:val="fi-FI"/>
              </w:rPr>
              <w:t>neutropenian</w:t>
            </w:r>
            <w:r w:rsidRPr="00396314">
              <w:rPr>
                <w:color w:val="000000"/>
                <w:szCs w:val="22"/>
                <w:lang w:val="fi-FI"/>
              </w:rPr>
              <w:t xml:space="preserve"> jälkeen</w:t>
            </w:r>
          </w:p>
          <w:p w14:paraId="586FC8B0" w14:textId="77777777" w:rsidR="00311DC5" w:rsidRPr="00396314" w:rsidRDefault="00311DC5" w:rsidP="008238ED">
            <w:pPr>
              <w:pStyle w:val="EndnoteText"/>
              <w:widowControl w:val="0"/>
              <w:rPr>
                <w:color w:val="000000"/>
                <w:szCs w:val="22"/>
                <w:lang w:val="fi-FI"/>
              </w:rPr>
            </w:pPr>
            <w:r w:rsidRPr="00396314">
              <w:rPr>
                <w:color w:val="000000"/>
                <w:szCs w:val="22"/>
                <w:lang w:val="fi-FI"/>
              </w:rPr>
              <w:t>Sytarabiini (3 g/m</w:t>
            </w:r>
            <w:r w:rsidRPr="00396314">
              <w:rPr>
                <w:color w:val="000000"/>
                <w:szCs w:val="22"/>
                <w:vertAlign w:val="superscript"/>
                <w:lang w:val="fi-FI"/>
              </w:rPr>
              <w:t>2</w:t>
            </w:r>
            <w:r w:rsidRPr="00396314">
              <w:rPr>
                <w:color w:val="000000"/>
                <w:szCs w:val="22"/>
                <w:lang w:val="fi-FI"/>
              </w:rPr>
              <w:t>, 12 h välein, laskimoon): päivät 43, 44</w:t>
            </w:r>
          </w:p>
          <w:p w14:paraId="586FC8B1" w14:textId="77777777" w:rsidR="00311DC5" w:rsidRPr="00396314" w:rsidRDefault="00311DC5" w:rsidP="008238ED">
            <w:pPr>
              <w:pStyle w:val="EndnoteText"/>
              <w:widowControl w:val="0"/>
              <w:rPr>
                <w:color w:val="000000"/>
                <w:szCs w:val="22"/>
                <w:lang w:val="fi-FI"/>
              </w:rPr>
            </w:pPr>
            <w:r w:rsidRPr="00396314">
              <w:rPr>
                <w:color w:val="000000"/>
                <w:szCs w:val="22"/>
                <w:lang w:val="fi-FI"/>
              </w:rPr>
              <w:t>L-asparaginaasi (6 000 ky/m</w:t>
            </w:r>
            <w:r w:rsidRPr="00396314">
              <w:rPr>
                <w:color w:val="000000"/>
                <w:szCs w:val="22"/>
                <w:vertAlign w:val="superscript"/>
                <w:lang w:val="fi-FI"/>
              </w:rPr>
              <w:t>2</w:t>
            </w:r>
            <w:r w:rsidRPr="00396314">
              <w:rPr>
                <w:color w:val="000000"/>
                <w:szCs w:val="22"/>
                <w:lang w:val="fi-FI"/>
              </w:rPr>
              <w:t>, lihakseen): päivä 44</w:t>
            </w:r>
          </w:p>
        </w:tc>
      </w:tr>
      <w:tr w:rsidR="00311DC5" w:rsidRPr="00396314" w14:paraId="586FC8BC" w14:textId="77777777" w:rsidTr="00331A48">
        <w:trPr>
          <w:cantSplit/>
        </w:trPr>
        <w:tc>
          <w:tcPr>
            <w:tcW w:w="2358" w:type="dxa"/>
            <w:shd w:val="clear" w:color="auto" w:fill="auto"/>
          </w:tcPr>
          <w:p w14:paraId="586FC8B3" w14:textId="77777777" w:rsidR="00311DC5" w:rsidRPr="00396314" w:rsidRDefault="00311DC5" w:rsidP="008238ED">
            <w:pPr>
              <w:pStyle w:val="EndnoteText"/>
              <w:widowControl w:val="0"/>
              <w:rPr>
                <w:color w:val="000000"/>
                <w:szCs w:val="22"/>
                <w:lang w:val="fi-FI"/>
              </w:rPr>
            </w:pPr>
            <w:r w:rsidRPr="00396314">
              <w:rPr>
                <w:color w:val="000000"/>
                <w:szCs w:val="22"/>
                <w:lang w:val="fi-FI"/>
              </w:rPr>
              <w:t>Uudelleeninduktio</w:t>
            </w:r>
            <w:r>
              <w:rPr>
                <w:color w:val="000000"/>
                <w:szCs w:val="22"/>
                <w:lang w:val="fi-FI"/>
              </w:rPr>
              <w:softHyphen/>
            </w:r>
            <w:r w:rsidRPr="00396314">
              <w:rPr>
                <w:color w:val="000000"/>
                <w:szCs w:val="22"/>
                <w:lang w:val="fi-FI"/>
              </w:rPr>
              <w:t>jakso 2</w:t>
            </w:r>
          </w:p>
          <w:p w14:paraId="586FC8B4" w14:textId="77777777" w:rsidR="00311DC5" w:rsidRPr="00396314" w:rsidRDefault="00311DC5" w:rsidP="008238ED">
            <w:pPr>
              <w:pStyle w:val="EndnoteText"/>
              <w:widowControl w:val="0"/>
              <w:rPr>
                <w:color w:val="000000"/>
                <w:szCs w:val="22"/>
                <w:lang w:val="fi-FI"/>
              </w:rPr>
            </w:pPr>
            <w:r w:rsidRPr="00396314">
              <w:rPr>
                <w:color w:val="000000"/>
                <w:szCs w:val="22"/>
                <w:lang w:val="fi-FI"/>
              </w:rPr>
              <w:t>(3 viikkoa)</w:t>
            </w:r>
          </w:p>
        </w:tc>
        <w:tc>
          <w:tcPr>
            <w:tcW w:w="6929" w:type="dxa"/>
            <w:shd w:val="clear" w:color="auto" w:fill="auto"/>
          </w:tcPr>
          <w:p w14:paraId="586FC8B5" w14:textId="77777777" w:rsidR="00311DC5" w:rsidRPr="00396314" w:rsidRDefault="00311DC5" w:rsidP="008238ED">
            <w:pPr>
              <w:pStyle w:val="EndnoteT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/vrk, laskimoon): päivät 1, 8 ja 15</w:t>
            </w:r>
          </w:p>
          <w:p w14:paraId="586FC8B6" w14:textId="77777777" w:rsidR="00311DC5" w:rsidRPr="00396314" w:rsidRDefault="00311DC5" w:rsidP="008238ED">
            <w:pPr>
              <w:pStyle w:val="EndnoteText"/>
              <w:widowControl w:val="0"/>
              <w:rPr>
                <w:color w:val="000000"/>
                <w:szCs w:val="22"/>
                <w:lang w:val="fi-FI"/>
              </w:rPr>
            </w:pPr>
            <w:r w:rsidRPr="00396314">
              <w:rPr>
                <w:color w:val="000000"/>
                <w:szCs w:val="22"/>
                <w:lang w:val="fi-FI"/>
              </w:rPr>
              <w:t>Daunorubisiini (45 mg/m</w:t>
            </w:r>
            <w:r w:rsidRPr="00396314">
              <w:rPr>
                <w:color w:val="000000"/>
                <w:szCs w:val="22"/>
                <w:vertAlign w:val="superscript"/>
                <w:lang w:val="fi-FI"/>
              </w:rPr>
              <w:t>2</w:t>
            </w:r>
            <w:r w:rsidRPr="00396314">
              <w:rPr>
                <w:color w:val="000000"/>
                <w:szCs w:val="22"/>
                <w:lang w:val="fi-FI"/>
              </w:rPr>
              <w:t>/vrk boluksena, laskimoon): päivät 1 ja 2</w:t>
            </w:r>
          </w:p>
          <w:p w14:paraId="586FC8B7" w14:textId="77777777" w:rsidR="00311DC5" w:rsidRPr="00396314" w:rsidRDefault="00311DC5" w:rsidP="008238ED">
            <w:pPr>
              <w:pStyle w:val="EndnoteText"/>
              <w:widowControl w:val="0"/>
              <w:rPr>
                <w:color w:val="000000"/>
                <w:szCs w:val="22"/>
                <w:lang w:val="fi-FI"/>
              </w:rPr>
            </w:pPr>
            <w:r w:rsidRPr="00396314">
              <w:rPr>
                <w:color w:val="000000"/>
                <w:szCs w:val="22"/>
                <w:lang w:val="fi-FI"/>
              </w:rPr>
              <w:t>Syklofosfamidi (250 mg/m</w:t>
            </w:r>
            <w:r w:rsidRPr="00396314">
              <w:rPr>
                <w:color w:val="000000"/>
                <w:szCs w:val="22"/>
                <w:vertAlign w:val="superscript"/>
                <w:lang w:val="fi-FI"/>
              </w:rPr>
              <w:t>2</w:t>
            </w:r>
            <w:r w:rsidRPr="00396314">
              <w:rPr>
                <w:color w:val="000000"/>
                <w:szCs w:val="22"/>
                <w:lang w:val="fi-FI"/>
              </w:rPr>
              <w:t>/annos 12 h välein, 4 annosta, laskimoon): päivät 3 ja 4</w:t>
            </w:r>
          </w:p>
          <w:p w14:paraId="586FC8B8" w14:textId="77777777" w:rsidR="00311DC5" w:rsidRPr="00396314" w:rsidRDefault="00311DC5" w:rsidP="008238ED">
            <w:pPr>
              <w:pStyle w:val="EndnoteText"/>
              <w:widowControl w:val="0"/>
              <w:rPr>
                <w:color w:val="000000"/>
                <w:szCs w:val="22"/>
                <w:lang w:val="fi-FI"/>
              </w:rPr>
            </w:pPr>
            <w:r w:rsidRPr="00396314">
              <w:rPr>
                <w:color w:val="000000"/>
                <w:szCs w:val="22"/>
                <w:lang w:val="fi-FI"/>
              </w:rPr>
              <w:t>PEG-asparaginaasi (2 500 ky/m</w:t>
            </w:r>
            <w:r w:rsidRPr="00396314">
              <w:rPr>
                <w:color w:val="000000"/>
                <w:szCs w:val="22"/>
                <w:vertAlign w:val="superscript"/>
                <w:lang w:val="fi-FI"/>
              </w:rPr>
              <w:t>2</w:t>
            </w:r>
            <w:r w:rsidRPr="00396314">
              <w:rPr>
                <w:color w:val="000000"/>
                <w:szCs w:val="22"/>
                <w:lang w:val="fi-FI"/>
              </w:rPr>
              <w:t>, lihakseen): päivä 4</w:t>
            </w:r>
          </w:p>
          <w:p w14:paraId="586FC8B9" w14:textId="77777777" w:rsidR="00311DC5" w:rsidRPr="00396314" w:rsidRDefault="00311DC5" w:rsidP="008238ED">
            <w:pPr>
              <w:pStyle w:val="EndnoteText"/>
              <w:widowControl w:val="0"/>
              <w:rPr>
                <w:color w:val="000000"/>
                <w:szCs w:val="22"/>
                <w:lang w:val="fi-FI"/>
              </w:rPr>
            </w:pPr>
            <w:r w:rsidRPr="00396314">
              <w:rPr>
                <w:color w:val="000000"/>
                <w:szCs w:val="22"/>
                <w:lang w:val="fi-FI"/>
              </w:rPr>
              <w:t>Granulosyyttikasvutekijä</w:t>
            </w:r>
            <w:r w:rsidRPr="001678D7">
              <w:rPr>
                <w:color w:val="000000"/>
                <w:szCs w:val="22"/>
                <w:lang w:val="fi-FI"/>
              </w:rPr>
              <w:t xml:space="preserve"> (5 µg/kg, ihon alle): päivät 5–</w:t>
            </w:r>
            <w:r w:rsidRPr="00396314">
              <w:rPr>
                <w:color w:val="000000"/>
                <w:szCs w:val="22"/>
                <w:lang w:val="fi-FI"/>
              </w:rPr>
              <w:t xml:space="preserve">14 tai kunnes ANC &gt; 1 500 </w:t>
            </w:r>
            <w:r>
              <w:rPr>
                <w:color w:val="000000"/>
                <w:szCs w:val="22"/>
                <w:lang w:val="fi-FI"/>
              </w:rPr>
              <w:t>neutropenian</w:t>
            </w:r>
            <w:r w:rsidRPr="00396314">
              <w:rPr>
                <w:color w:val="000000"/>
                <w:szCs w:val="22"/>
                <w:lang w:val="fi-FI"/>
              </w:rPr>
              <w:t xml:space="preserve"> jälkeen</w:t>
            </w:r>
          </w:p>
          <w:p w14:paraId="586FC8BA" w14:textId="77777777" w:rsidR="00311DC5" w:rsidRPr="00396314" w:rsidRDefault="00311DC5" w:rsidP="008238ED">
            <w:pPr>
              <w:pStyle w:val="EndnoteText"/>
              <w:widowControl w:val="0"/>
              <w:rPr>
                <w:color w:val="000000"/>
                <w:szCs w:val="22"/>
                <w:lang w:val="fi-FI"/>
              </w:rPr>
            </w:pPr>
            <w:r w:rsidRPr="00396314">
              <w:rPr>
                <w:color w:val="000000"/>
                <w:szCs w:val="22"/>
                <w:lang w:val="fi-FI"/>
              </w:rPr>
              <w:t>Intratekaalinen kolmoishoito (mukautettu iän mukaan): päivät 1 ja 15</w:t>
            </w:r>
          </w:p>
          <w:p w14:paraId="586FC8BB" w14:textId="77777777" w:rsidR="00311DC5" w:rsidRPr="00396314" w:rsidRDefault="00311DC5" w:rsidP="008238ED">
            <w:pPr>
              <w:pStyle w:val="EndnoteT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7 ja 15</w:t>
            </w:r>
            <w:r w:rsidRPr="001678D7">
              <w:rPr>
                <w:szCs w:val="22"/>
                <w:lang w:val="fi-FI"/>
              </w:rPr>
              <w:t>–</w:t>
            </w:r>
            <w:r w:rsidRPr="00396314">
              <w:rPr>
                <w:color w:val="000000"/>
                <w:szCs w:val="22"/>
                <w:lang w:val="fi-FI"/>
              </w:rPr>
              <w:t>21</w:t>
            </w:r>
          </w:p>
        </w:tc>
      </w:tr>
      <w:tr w:rsidR="00311DC5" w:rsidRPr="00396314" w14:paraId="586FC8C8" w14:textId="77777777" w:rsidTr="00331A48">
        <w:trPr>
          <w:cantSplit/>
        </w:trPr>
        <w:tc>
          <w:tcPr>
            <w:tcW w:w="2358" w:type="dxa"/>
            <w:shd w:val="clear" w:color="auto" w:fill="auto"/>
          </w:tcPr>
          <w:p w14:paraId="586FC8BD" w14:textId="77777777" w:rsidR="00311DC5" w:rsidRPr="00396314" w:rsidRDefault="00311DC5" w:rsidP="008238ED">
            <w:pPr>
              <w:pStyle w:val="EndnoteText"/>
              <w:widowControl w:val="0"/>
              <w:rPr>
                <w:color w:val="000000"/>
                <w:szCs w:val="22"/>
                <w:lang w:val="fi-FI"/>
              </w:rPr>
            </w:pPr>
            <w:r w:rsidRPr="00396314">
              <w:rPr>
                <w:color w:val="000000"/>
                <w:szCs w:val="22"/>
                <w:lang w:val="fi-FI"/>
              </w:rPr>
              <w:t>Tehostusjakso 2</w:t>
            </w:r>
          </w:p>
          <w:p w14:paraId="586FC8BE" w14:textId="77777777" w:rsidR="00311DC5" w:rsidRPr="00396314" w:rsidRDefault="00311DC5" w:rsidP="008238ED">
            <w:pPr>
              <w:pStyle w:val="EndnoteText"/>
              <w:widowControl w:val="0"/>
              <w:rPr>
                <w:color w:val="000000"/>
                <w:szCs w:val="22"/>
                <w:lang w:val="fi-FI"/>
              </w:rPr>
            </w:pPr>
            <w:r w:rsidRPr="00396314">
              <w:rPr>
                <w:color w:val="000000"/>
                <w:szCs w:val="22"/>
                <w:lang w:val="fi-FI"/>
              </w:rPr>
              <w:t>(9 viikkoa)</w:t>
            </w:r>
          </w:p>
        </w:tc>
        <w:tc>
          <w:tcPr>
            <w:tcW w:w="6929" w:type="dxa"/>
            <w:shd w:val="clear" w:color="auto" w:fill="auto"/>
          </w:tcPr>
          <w:p w14:paraId="586FC8BF" w14:textId="77777777" w:rsidR="00311DC5" w:rsidRPr="00396314" w:rsidRDefault="00311DC5" w:rsidP="008238ED">
            <w:pPr>
              <w:pStyle w:val="EndnoteText"/>
              <w:widowControl w:val="0"/>
              <w:rPr>
                <w:color w:val="000000"/>
                <w:szCs w:val="22"/>
                <w:lang w:val="fi-FI"/>
              </w:rPr>
            </w:pPr>
            <w:r w:rsidRPr="00396314">
              <w:rPr>
                <w:color w:val="000000"/>
                <w:szCs w:val="22"/>
                <w:lang w:val="fi-FI"/>
              </w:rPr>
              <w:t>Metotreksaatti (5 g/m</w:t>
            </w:r>
            <w:r w:rsidRPr="00396314">
              <w:rPr>
                <w:color w:val="000000"/>
                <w:szCs w:val="22"/>
                <w:vertAlign w:val="superscript"/>
                <w:lang w:val="fi-FI"/>
              </w:rPr>
              <w:t>2</w:t>
            </w:r>
            <w:r w:rsidRPr="00396314">
              <w:rPr>
                <w:color w:val="000000"/>
                <w:szCs w:val="22"/>
                <w:lang w:val="fi-FI"/>
              </w:rPr>
              <w:t xml:space="preserve"> 24 tunnin aikana, laskimoon): päivät 1 ja 15</w:t>
            </w:r>
          </w:p>
          <w:p w14:paraId="586FC8C0" w14:textId="77777777" w:rsidR="00311DC5" w:rsidRPr="00396314" w:rsidRDefault="00311DC5" w:rsidP="008238ED">
            <w:pPr>
              <w:pStyle w:val="EndnoteText"/>
              <w:widowControl w:val="0"/>
              <w:rPr>
                <w:color w:val="000000"/>
                <w:szCs w:val="22"/>
                <w:lang w:val="fi-FI"/>
              </w:rPr>
            </w:pPr>
            <w:r w:rsidRPr="00396314">
              <w:rPr>
                <w:color w:val="000000"/>
                <w:szCs w:val="22"/>
                <w:lang w:val="fi-FI"/>
              </w:rPr>
              <w:t>Foliinihappo (75 mg/m</w:t>
            </w:r>
            <w:r w:rsidRPr="00396314">
              <w:rPr>
                <w:color w:val="000000"/>
                <w:szCs w:val="22"/>
                <w:vertAlign w:val="superscript"/>
                <w:lang w:val="fi-FI"/>
              </w:rPr>
              <w:t>2</w:t>
            </w:r>
            <w:r w:rsidRPr="00396314">
              <w:rPr>
                <w:color w:val="000000"/>
                <w:szCs w:val="22"/>
                <w:lang w:val="fi-FI"/>
              </w:rPr>
              <w:t xml:space="preserve"> 36 tunnin kohdalla, laskimoon; 15 mg/m</w:t>
            </w:r>
            <w:r w:rsidRPr="00396314">
              <w:rPr>
                <w:color w:val="000000"/>
                <w:szCs w:val="22"/>
                <w:vertAlign w:val="superscript"/>
                <w:lang w:val="fi-FI"/>
              </w:rPr>
              <w:t>2</w:t>
            </w:r>
            <w:r w:rsidRPr="00396314">
              <w:rPr>
                <w:color w:val="000000"/>
                <w:szCs w:val="22"/>
                <w:lang w:val="fi-FI"/>
              </w:rPr>
              <w:t xml:space="preserve"> laskimoon tai suun kautta 6 h välein, 6 annosta)iii: päivät 2, 3, 16 ja 17</w:t>
            </w:r>
          </w:p>
          <w:p w14:paraId="586FC8C1" w14:textId="77777777" w:rsidR="00311DC5" w:rsidRPr="00396314" w:rsidRDefault="00311DC5" w:rsidP="008238ED">
            <w:pPr>
              <w:pStyle w:val="EndnoteText"/>
              <w:widowControl w:val="0"/>
              <w:rPr>
                <w:color w:val="000000"/>
                <w:szCs w:val="22"/>
                <w:lang w:val="fi-FI"/>
              </w:rPr>
            </w:pPr>
            <w:r w:rsidRPr="00396314">
              <w:rPr>
                <w:color w:val="000000"/>
                <w:szCs w:val="22"/>
                <w:lang w:val="fi-FI"/>
              </w:rPr>
              <w:t>Intratekaalinen kolmoishoito (mukautettu iän mukaan): päivät 1 ja 22</w:t>
            </w:r>
          </w:p>
          <w:p w14:paraId="586FC8C2" w14:textId="77777777" w:rsidR="00311DC5" w:rsidRPr="00396314" w:rsidRDefault="00311DC5" w:rsidP="008238ED">
            <w:pPr>
              <w:pStyle w:val="EndnoteText"/>
              <w:widowControl w:val="0"/>
              <w:rPr>
                <w:color w:val="000000"/>
                <w:szCs w:val="22"/>
                <w:lang w:val="fi-FI"/>
              </w:rPr>
            </w:pPr>
            <w:r w:rsidRPr="00396314">
              <w:rPr>
                <w:color w:val="000000"/>
                <w:szCs w:val="22"/>
                <w:lang w:val="fi-FI"/>
              </w:rPr>
              <w:t>Etoposidi (100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8C3" w14:textId="77777777" w:rsidR="00311DC5" w:rsidRPr="00396314" w:rsidRDefault="00311DC5" w:rsidP="008238ED">
            <w:pPr>
              <w:pStyle w:val="EndnoteText"/>
              <w:widowControl w:val="0"/>
              <w:rPr>
                <w:color w:val="000000"/>
                <w:szCs w:val="22"/>
                <w:lang w:val="fi-FI"/>
              </w:rPr>
            </w:pPr>
            <w:r w:rsidRPr="00396314">
              <w:rPr>
                <w:color w:val="000000"/>
                <w:szCs w:val="22"/>
                <w:lang w:val="fi-FI"/>
              </w:rPr>
              <w:t>Syklofosfamidi (300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8C4" w14:textId="77777777" w:rsidR="00311DC5" w:rsidRPr="00396314" w:rsidRDefault="00311DC5" w:rsidP="008238ED">
            <w:pPr>
              <w:pStyle w:val="EndnoteText"/>
              <w:widowControl w:val="0"/>
              <w:rPr>
                <w:color w:val="000000"/>
                <w:szCs w:val="22"/>
                <w:lang w:val="fi-FI"/>
              </w:rPr>
            </w:pPr>
            <w:r w:rsidRPr="00396314">
              <w:rPr>
                <w:color w:val="000000"/>
                <w:szCs w:val="22"/>
                <w:lang w:val="fi-FI"/>
              </w:rPr>
              <w:t>MESNA (150 mg/m</w:t>
            </w:r>
            <w:r w:rsidRPr="00396314">
              <w:rPr>
                <w:color w:val="000000"/>
                <w:szCs w:val="22"/>
                <w:vertAlign w:val="superscript"/>
                <w:lang w:val="fi-FI"/>
              </w:rPr>
              <w:t>2</w:t>
            </w:r>
            <w:r w:rsidRPr="00396314">
              <w:rPr>
                <w:color w:val="000000"/>
                <w:szCs w:val="22"/>
                <w:lang w:val="fi-FI"/>
              </w:rPr>
              <w:t>/vrk, laskimoon): päivät 22</w:t>
            </w:r>
            <w:r w:rsidRPr="001678D7">
              <w:rPr>
                <w:szCs w:val="22"/>
                <w:lang w:val="fi-FI"/>
              </w:rPr>
              <w:t>–</w:t>
            </w:r>
            <w:r w:rsidRPr="00396314">
              <w:rPr>
                <w:color w:val="000000"/>
                <w:szCs w:val="22"/>
                <w:lang w:val="fi-FI"/>
              </w:rPr>
              <w:t>26</w:t>
            </w:r>
          </w:p>
          <w:p w14:paraId="586FC8C5" w14:textId="77777777" w:rsidR="00311DC5" w:rsidRPr="00396314" w:rsidRDefault="00311DC5" w:rsidP="008238ED">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g/kg, ihon alle): päivät 27</w:t>
            </w:r>
            <w:r w:rsidRPr="001678D7">
              <w:rPr>
                <w:szCs w:val="22"/>
                <w:lang w:val="fi-FI"/>
              </w:rPr>
              <w:t>–</w:t>
            </w:r>
            <w:r w:rsidRPr="00396314">
              <w:rPr>
                <w:color w:val="000000"/>
                <w:szCs w:val="22"/>
                <w:lang w:val="fi-FI"/>
              </w:rPr>
              <w:t xml:space="preserve">36 tai kunnes ANC &gt; 1 500 </w:t>
            </w:r>
            <w:r>
              <w:rPr>
                <w:color w:val="000000"/>
                <w:szCs w:val="22"/>
                <w:lang w:val="fi-FI"/>
              </w:rPr>
              <w:t>neutropenian</w:t>
            </w:r>
            <w:r w:rsidRPr="00396314">
              <w:rPr>
                <w:color w:val="000000"/>
                <w:szCs w:val="22"/>
                <w:lang w:val="fi-FI"/>
              </w:rPr>
              <w:t xml:space="preserve"> jälkeen</w:t>
            </w:r>
          </w:p>
          <w:p w14:paraId="586FC8C6" w14:textId="77777777" w:rsidR="00311DC5" w:rsidRPr="00396314" w:rsidRDefault="00311DC5" w:rsidP="008238ED">
            <w:pPr>
              <w:pStyle w:val="EndnoteText"/>
              <w:widowControl w:val="0"/>
              <w:rPr>
                <w:color w:val="000000"/>
                <w:szCs w:val="22"/>
                <w:lang w:val="fi-FI"/>
              </w:rPr>
            </w:pPr>
            <w:r w:rsidRPr="00396314">
              <w:rPr>
                <w:color w:val="000000"/>
                <w:szCs w:val="22"/>
                <w:lang w:val="fi-FI"/>
              </w:rPr>
              <w:t>Sytarabiini (3 g/m</w:t>
            </w:r>
            <w:r w:rsidRPr="00396314">
              <w:rPr>
                <w:color w:val="000000"/>
                <w:szCs w:val="22"/>
                <w:vertAlign w:val="superscript"/>
                <w:lang w:val="fi-FI"/>
              </w:rPr>
              <w:t>2</w:t>
            </w:r>
            <w:r w:rsidRPr="00396314">
              <w:rPr>
                <w:color w:val="000000"/>
                <w:szCs w:val="22"/>
                <w:lang w:val="fi-FI"/>
              </w:rPr>
              <w:t>, 12 h välein, laskimoon): päivät 43, 44</w:t>
            </w:r>
          </w:p>
          <w:p w14:paraId="586FC8C7" w14:textId="77777777" w:rsidR="00311DC5" w:rsidRPr="00396314" w:rsidRDefault="00311DC5" w:rsidP="008238ED">
            <w:pPr>
              <w:pStyle w:val="EndnoteText"/>
              <w:widowControl w:val="0"/>
              <w:rPr>
                <w:color w:val="000000"/>
                <w:szCs w:val="22"/>
                <w:lang w:val="fi-FI"/>
              </w:rPr>
            </w:pPr>
            <w:r w:rsidRPr="00396314">
              <w:rPr>
                <w:color w:val="000000"/>
                <w:szCs w:val="22"/>
                <w:lang w:val="fi-FI"/>
              </w:rPr>
              <w:t>L-asparaginaasi (6 000 ky/m</w:t>
            </w:r>
            <w:r w:rsidRPr="00396314">
              <w:rPr>
                <w:color w:val="000000"/>
                <w:szCs w:val="22"/>
                <w:vertAlign w:val="superscript"/>
                <w:lang w:val="fi-FI"/>
              </w:rPr>
              <w:t>2</w:t>
            </w:r>
            <w:r w:rsidRPr="00396314">
              <w:rPr>
                <w:color w:val="000000"/>
                <w:szCs w:val="22"/>
                <w:lang w:val="fi-FI"/>
              </w:rPr>
              <w:t>, lihakseen): päivä 44</w:t>
            </w:r>
          </w:p>
        </w:tc>
      </w:tr>
      <w:tr w:rsidR="00311DC5" w:rsidRPr="00396314" w14:paraId="586FC8D7" w14:textId="77777777" w:rsidTr="00331A48">
        <w:trPr>
          <w:cantSplit/>
        </w:trPr>
        <w:tc>
          <w:tcPr>
            <w:tcW w:w="2358" w:type="dxa"/>
            <w:shd w:val="clear" w:color="auto" w:fill="auto"/>
          </w:tcPr>
          <w:p w14:paraId="586FC8C9" w14:textId="77777777" w:rsidR="00311DC5" w:rsidRPr="00396314" w:rsidRDefault="00311DC5" w:rsidP="008238ED">
            <w:pPr>
              <w:pStyle w:val="EndnoteText"/>
              <w:widowControl w:val="0"/>
              <w:rPr>
                <w:color w:val="000000"/>
                <w:szCs w:val="22"/>
                <w:lang w:val="fi-FI"/>
              </w:rPr>
            </w:pPr>
            <w:r w:rsidRPr="00396314">
              <w:rPr>
                <w:color w:val="000000"/>
                <w:szCs w:val="22"/>
                <w:lang w:val="fi-FI"/>
              </w:rPr>
              <w:lastRenderedPageBreak/>
              <w:t>Ylläpito</w:t>
            </w:r>
          </w:p>
          <w:p w14:paraId="586FC8CA" w14:textId="77777777" w:rsidR="00311DC5" w:rsidRPr="00396314" w:rsidRDefault="00311DC5" w:rsidP="008238ED">
            <w:pPr>
              <w:pStyle w:val="EndnoteText"/>
              <w:widowControl w:val="0"/>
              <w:rPr>
                <w:color w:val="000000"/>
                <w:szCs w:val="22"/>
                <w:lang w:val="fi-FI"/>
              </w:rPr>
            </w:pPr>
            <w:r w:rsidRPr="00396314">
              <w:rPr>
                <w:color w:val="000000"/>
                <w:szCs w:val="22"/>
                <w:lang w:val="fi-FI"/>
              </w:rPr>
              <w:t>(8 viikon hoitojaksot)</w:t>
            </w:r>
          </w:p>
          <w:p w14:paraId="586FC8CB" w14:textId="77777777" w:rsidR="00311DC5" w:rsidRPr="00396314" w:rsidRDefault="00311DC5" w:rsidP="008238ED">
            <w:pPr>
              <w:pStyle w:val="EndnoteText"/>
              <w:widowControl w:val="0"/>
              <w:rPr>
                <w:color w:val="000000"/>
                <w:szCs w:val="22"/>
                <w:lang w:val="fi-FI"/>
              </w:rPr>
            </w:pPr>
            <w:r w:rsidRPr="00396314">
              <w:rPr>
                <w:color w:val="000000"/>
                <w:szCs w:val="22"/>
                <w:lang w:val="fi-FI"/>
              </w:rPr>
              <w:t>Hoitojaksot 1–4</w:t>
            </w:r>
          </w:p>
        </w:tc>
        <w:tc>
          <w:tcPr>
            <w:tcW w:w="6929" w:type="dxa"/>
            <w:shd w:val="clear" w:color="auto" w:fill="auto"/>
          </w:tcPr>
          <w:p w14:paraId="586FC8CC" w14:textId="77777777" w:rsidR="00311DC5" w:rsidRPr="00396314" w:rsidRDefault="00311DC5" w:rsidP="008238ED">
            <w:pPr>
              <w:pStyle w:val="EndnoteText"/>
              <w:widowControl w:val="0"/>
              <w:rPr>
                <w:color w:val="000000"/>
                <w:szCs w:val="22"/>
                <w:lang w:val="fi-FI"/>
              </w:rPr>
            </w:pPr>
            <w:r w:rsidRPr="00396314">
              <w:rPr>
                <w:color w:val="000000"/>
                <w:szCs w:val="22"/>
                <w:lang w:val="fi-FI"/>
              </w:rPr>
              <w:t>Metotreksaatti (5 g/m</w:t>
            </w:r>
            <w:r w:rsidRPr="00396314">
              <w:rPr>
                <w:color w:val="000000"/>
                <w:szCs w:val="22"/>
                <w:vertAlign w:val="superscript"/>
                <w:lang w:val="fi-FI"/>
              </w:rPr>
              <w:t>2</w:t>
            </w:r>
            <w:r w:rsidRPr="00396314">
              <w:rPr>
                <w:color w:val="000000"/>
                <w:szCs w:val="22"/>
                <w:lang w:val="fi-FI"/>
              </w:rPr>
              <w:t xml:space="preserve"> 24 tunnin aikana, laskimoon): päivä 1</w:t>
            </w:r>
          </w:p>
          <w:p w14:paraId="586FC8CD" w14:textId="77777777" w:rsidR="00311DC5" w:rsidRPr="00396314" w:rsidRDefault="00311DC5" w:rsidP="008238ED">
            <w:pPr>
              <w:pStyle w:val="EndnoteText"/>
              <w:widowControl w:val="0"/>
              <w:rPr>
                <w:color w:val="000000"/>
                <w:szCs w:val="22"/>
                <w:lang w:val="fi-FI"/>
              </w:rPr>
            </w:pPr>
            <w:r w:rsidRPr="00396314">
              <w:rPr>
                <w:color w:val="000000"/>
                <w:szCs w:val="22"/>
                <w:lang w:val="fi-FI"/>
              </w:rPr>
              <w:t>Foliinihappo (75 mg/m</w:t>
            </w:r>
            <w:r w:rsidRPr="00396314">
              <w:rPr>
                <w:color w:val="000000"/>
                <w:szCs w:val="22"/>
                <w:vertAlign w:val="superscript"/>
                <w:lang w:val="fi-FI"/>
              </w:rPr>
              <w:t>2</w:t>
            </w:r>
            <w:r w:rsidRPr="00396314">
              <w:rPr>
                <w:color w:val="000000"/>
                <w:szCs w:val="22"/>
                <w:lang w:val="fi-FI"/>
              </w:rPr>
              <w:t xml:space="preserve"> 36 tunnin kohdalla, laskimoon; 15 mg/m</w:t>
            </w:r>
            <w:r w:rsidRPr="00396314">
              <w:rPr>
                <w:color w:val="000000"/>
                <w:szCs w:val="22"/>
                <w:vertAlign w:val="superscript"/>
                <w:lang w:val="fi-FI"/>
              </w:rPr>
              <w:t>2</w:t>
            </w:r>
            <w:r w:rsidRPr="00396314">
              <w:rPr>
                <w:color w:val="000000"/>
                <w:szCs w:val="22"/>
                <w:lang w:val="fi-FI"/>
              </w:rPr>
              <w:t xml:space="preserve"> laskimoon tai suun kautta 6 h välein, 6 annosta)iii: päivät 2 ja 3</w:t>
            </w:r>
          </w:p>
          <w:p w14:paraId="586FC8CE" w14:textId="77777777" w:rsidR="00311DC5" w:rsidRPr="00396314" w:rsidRDefault="00311DC5" w:rsidP="008238ED">
            <w:pPr>
              <w:pStyle w:val="EndnoteText"/>
              <w:widowControl w:val="0"/>
              <w:rPr>
                <w:color w:val="000000"/>
                <w:szCs w:val="22"/>
                <w:lang w:val="fi-FI"/>
              </w:rPr>
            </w:pPr>
            <w:r w:rsidRPr="00396314">
              <w:rPr>
                <w:color w:val="000000"/>
                <w:szCs w:val="22"/>
                <w:lang w:val="fi-FI"/>
              </w:rPr>
              <w:t>Intratekaalinen kolmoishoito (mukautettu iän mukaan): päivät 1, 29</w:t>
            </w:r>
          </w:p>
          <w:p w14:paraId="586FC8CF" w14:textId="77777777" w:rsidR="00311DC5" w:rsidRPr="00396314" w:rsidRDefault="00311DC5" w:rsidP="008238ED">
            <w:pPr>
              <w:pStyle w:val="EndnoteT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 laskimoon): päivät 1, 29</w:t>
            </w:r>
          </w:p>
          <w:p w14:paraId="586FC8D0" w14:textId="77777777" w:rsidR="00311DC5" w:rsidRPr="00396314" w:rsidRDefault="00311DC5" w:rsidP="008238ED">
            <w:pPr>
              <w:pStyle w:val="EndnoteT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5; 29</w:t>
            </w:r>
            <w:r w:rsidRPr="001678D7">
              <w:rPr>
                <w:szCs w:val="22"/>
                <w:lang w:val="fi-FI"/>
              </w:rPr>
              <w:t>–</w:t>
            </w:r>
            <w:r w:rsidRPr="00396314">
              <w:rPr>
                <w:color w:val="000000"/>
                <w:szCs w:val="22"/>
                <w:lang w:val="fi-FI"/>
              </w:rPr>
              <w:t>33</w:t>
            </w:r>
          </w:p>
          <w:p w14:paraId="586FC8D1" w14:textId="77777777" w:rsidR="00311DC5" w:rsidRPr="00396314" w:rsidRDefault="00311DC5" w:rsidP="008238ED">
            <w:pPr>
              <w:pStyle w:val="EndnoteText"/>
              <w:widowControl w:val="0"/>
              <w:rPr>
                <w:color w:val="000000"/>
                <w:szCs w:val="22"/>
                <w:lang w:val="fi-FI"/>
              </w:rPr>
            </w:pPr>
            <w:r w:rsidRPr="00396314">
              <w:rPr>
                <w:color w:val="000000"/>
                <w:szCs w:val="22"/>
                <w:lang w:val="fi-FI"/>
              </w:rPr>
              <w:t>6-merkaptopuriini (75 mg/m</w:t>
            </w:r>
            <w:r w:rsidRPr="00396314">
              <w:rPr>
                <w:color w:val="000000"/>
                <w:szCs w:val="22"/>
                <w:vertAlign w:val="superscript"/>
                <w:lang w:val="fi-FI"/>
              </w:rPr>
              <w:t>2</w:t>
            </w:r>
            <w:r w:rsidRPr="00396314">
              <w:rPr>
                <w:color w:val="000000"/>
                <w:szCs w:val="22"/>
                <w:lang w:val="fi-FI"/>
              </w:rPr>
              <w:t>/vrk, suun kautta): päivät 8–28</w:t>
            </w:r>
          </w:p>
          <w:p w14:paraId="586FC8D2" w14:textId="77777777" w:rsidR="00311DC5" w:rsidRPr="00396314" w:rsidRDefault="00311DC5" w:rsidP="008238ED">
            <w:pPr>
              <w:pStyle w:val="EndnoteText"/>
              <w:widowControl w:val="0"/>
              <w:rPr>
                <w:color w:val="000000"/>
                <w:szCs w:val="22"/>
                <w:lang w:val="fi-FI"/>
              </w:rPr>
            </w:pPr>
            <w:r w:rsidRPr="00396314">
              <w:rPr>
                <w:color w:val="000000"/>
                <w:szCs w:val="22"/>
                <w:lang w:val="fi-FI"/>
              </w:rPr>
              <w:t>Metotreksaatti (20 mg/m</w:t>
            </w:r>
            <w:r w:rsidRPr="00396314">
              <w:rPr>
                <w:color w:val="000000"/>
                <w:szCs w:val="22"/>
                <w:vertAlign w:val="superscript"/>
                <w:lang w:val="fi-FI"/>
              </w:rPr>
              <w:t>2</w:t>
            </w:r>
            <w:r w:rsidRPr="00396314">
              <w:rPr>
                <w:color w:val="000000"/>
                <w:szCs w:val="22"/>
                <w:lang w:val="fi-FI"/>
              </w:rPr>
              <w:t>/vrk, suun kautta): päivät 8, 15, 22</w:t>
            </w:r>
          </w:p>
          <w:p w14:paraId="586FC8D3" w14:textId="77777777" w:rsidR="00311DC5" w:rsidRPr="00396314" w:rsidRDefault="00311DC5" w:rsidP="008238ED">
            <w:pPr>
              <w:pStyle w:val="EndnoteText"/>
              <w:widowControl w:val="0"/>
              <w:rPr>
                <w:color w:val="000000"/>
                <w:szCs w:val="22"/>
                <w:lang w:val="fi-FI"/>
              </w:rPr>
            </w:pPr>
            <w:r w:rsidRPr="00396314">
              <w:rPr>
                <w:color w:val="000000"/>
                <w:szCs w:val="22"/>
                <w:lang w:val="fi-FI"/>
              </w:rPr>
              <w:t>Etoposidi (100 mg/m</w:t>
            </w:r>
            <w:r w:rsidRPr="00396314">
              <w:rPr>
                <w:color w:val="000000"/>
                <w:szCs w:val="22"/>
                <w:vertAlign w:val="superscript"/>
                <w:lang w:val="fi-FI"/>
              </w:rPr>
              <w:t>2</w:t>
            </w:r>
            <w:r w:rsidRPr="00396314">
              <w:rPr>
                <w:color w:val="000000"/>
                <w:szCs w:val="22"/>
                <w:lang w:val="fi-FI"/>
              </w:rPr>
              <w:t>, laskimoon): päivät 29</w:t>
            </w:r>
            <w:r w:rsidRPr="001678D7">
              <w:rPr>
                <w:szCs w:val="22"/>
                <w:lang w:val="fi-FI"/>
              </w:rPr>
              <w:t>–</w:t>
            </w:r>
            <w:r w:rsidRPr="00396314">
              <w:rPr>
                <w:color w:val="000000"/>
                <w:szCs w:val="22"/>
                <w:lang w:val="fi-FI"/>
              </w:rPr>
              <w:t>33</w:t>
            </w:r>
          </w:p>
          <w:p w14:paraId="586FC8D4" w14:textId="77777777" w:rsidR="00311DC5" w:rsidRPr="00396314" w:rsidRDefault="00311DC5" w:rsidP="008238ED">
            <w:pPr>
              <w:pStyle w:val="EndnoteText"/>
              <w:widowControl w:val="0"/>
              <w:rPr>
                <w:color w:val="000000"/>
                <w:szCs w:val="22"/>
                <w:lang w:val="fi-FI"/>
              </w:rPr>
            </w:pPr>
            <w:r w:rsidRPr="00396314">
              <w:rPr>
                <w:color w:val="000000"/>
                <w:szCs w:val="22"/>
                <w:lang w:val="fi-FI"/>
              </w:rPr>
              <w:t>Syklofosfamidi (300 mg/m</w:t>
            </w:r>
            <w:r w:rsidRPr="00396314">
              <w:rPr>
                <w:color w:val="000000"/>
                <w:szCs w:val="22"/>
                <w:vertAlign w:val="superscript"/>
                <w:lang w:val="fi-FI"/>
              </w:rPr>
              <w:t>2</w:t>
            </w:r>
            <w:r w:rsidRPr="00396314">
              <w:rPr>
                <w:color w:val="000000"/>
                <w:szCs w:val="22"/>
                <w:lang w:val="fi-FI"/>
              </w:rPr>
              <w:t>, laskimoon): päivät 29</w:t>
            </w:r>
            <w:r w:rsidRPr="001678D7">
              <w:rPr>
                <w:szCs w:val="22"/>
                <w:lang w:val="fi-FI"/>
              </w:rPr>
              <w:t>–</w:t>
            </w:r>
            <w:r w:rsidRPr="00396314">
              <w:rPr>
                <w:color w:val="000000"/>
                <w:szCs w:val="22"/>
                <w:lang w:val="fi-FI"/>
              </w:rPr>
              <w:t>33</w:t>
            </w:r>
          </w:p>
          <w:p w14:paraId="586FC8D5" w14:textId="77777777" w:rsidR="00311DC5" w:rsidRPr="00396314" w:rsidRDefault="00311DC5" w:rsidP="008238ED">
            <w:pPr>
              <w:pStyle w:val="EndnoteText"/>
              <w:widowControl w:val="0"/>
              <w:rPr>
                <w:color w:val="000000"/>
                <w:szCs w:val="22"/>
                <w:lang w:val="fi-FI"/>
              </w:rPr>
            </w:pPr>
            <w:r w:rsidRPr="00396314">
              <w:rPr>
                <w:color w:val="000000"/>
                <w:szCs w:val="22"/>
                <w:lang w:val="fi-FI"/>
              </w:rPr>
              <w:t>MESNA laskimoon, päivät 29</w:t>
            </w:r>
            <w:r w:rsidRPr="001678D7">
              <w:rPr>
                <w:szCs w:val="22"/>
                <w:lang w:val="fi-FI"/>
              </w:rPr>
              <w:t>–</w:t>
            </w:r>
            <w:r w:rsidRPr="00396314">
              <w:rPr>
                <w:color w:val="000000"/>
                <w:szCs w:val="22"/>
                <w:lang w:val="fi-FI"/>
              </w:rPr>
              <w:t>33</w:t>
            </w:r>
          </w:p>
          <w:p w14:paraId="586FC8D6" w14:textId="77777777" w:rsidR="00311DC5" w:rsidRPr="00396314" w:rsidRDefault="00311DC5" w:rsidP="008238ED">
            <w:pPr>
              <w:pStyle w:val="EndnoteText"/>
              <w:widowControl w:val="0"/>
              <w:rPr>
                <w:color w:val="000000"/>
                <w:szCs w:val="22"/>
                <w:lang w:val="fi-FI"/>
              </w:rPr>
            </w:pPr>
            <w:r w:rsidRPr="001678D7">
              <w:rPr>
                <w:color w:val="000000"/>
                <w:szCs w:val="22"/>
                <w:lang w:val="fi-FI"/>
              </w:rPr>
              <w:t>Granulosyyttikasvutekijä (5 µ</w:t>
            </w:r>
            <w:r w:rsidRPr="00396314">
              <w:rPr>
                <w:color w:val="000000"/>
                <w:szCs w:val="22"/>
                <w:lang w:val="fi-FI"/>
              </w:rPr>
              <w:t>g/kg, ihon alle): päivät 34</w:t>
            </w:r>
            <w:r w:rsidRPr="001678D7">
              <w:rPr>
                <w:szCs w:val="22"/>
                <w:lang w:val="fi-FI"/>
              </w:rPr>
              <w:t>–</w:t>
            </w:r>
            <w:r w:rsidRPr="00396314">
              <w:rPr>
                <w:color w:val="000000"/>
                <w:szCs w:val="22"/>
                <w:lang w:val="fi-FI"/>
              </w:rPr>
              <w:t>43</w:t>
            </w:r>
          </w:p>
        </w:tc>
      </w:tr>
      <w:tr w:rsidR="00311DC5" w:rsidRPr="00396314" w14:paraId="586FC8E2" w14:textId="77777777" w:rsidTr="00331A48">
        <w:trPr>
          <w:cantSplit/>
        </w:trPr>
        <w:tc>
          <w:tcPr>
            <w:tcW w:w="2358" w:type="dxa"/>
            <w:shd w:val="clear" w:color="auto" w:fill="auto"/>
          </w:tcPr>
          <w:p w14:paraId="586FC8D8" w14:textId="77777777" w:rsidR="00311DC5" w:rsidRPr="00396314" w:rsidRDefault="00311DC5" w:rsidP="008238ED">
            <w:pPr>
              <w:pStyle w:val="EndnoteText"/>
              <w:widowControl w:val="0"/>
              <w:rPr>
                <w:color w:val="000000"/>
                <w:szCs w:val="22"/>
                <w:lang w:val="fi-FI"/>
              </w:rPr>
            </w:pPr>
            <w:r w:rsidRPr="00396314">
              <w:rPr>
                <w:color w:val="000000"/>
                <w:szCs w:val="22"/>
                <w:lang w:val="fi-FI"/>
              </w:rPr>
              <w:t>Ylläpito</w:t>
            </w:r>
          </w:p>
          <w:p w14:paraId="586FC8D9" w14:textId="77777777" w:rsidR="00311DC5" w:rsidRPr="00396314" w:rsidRDefault="00311DC5" w:rsidP="008238ED">
            <w:pPr>
              <w:pStyle w:val="EndnoteText"/>
              <w:widowControl w:val="0"/>
              <w:rPr>
                <w:color w:val="000000"/>
                <w:szCs w:val="22"/>
                <w:lang w:val="fi-FI"/>
              </w:rPr>
            </w:pPr>
            <w:r w:rsidRPr="00396314">
              <w:rPr>
                <w:color w:val="000000"/>
                <w:szCs w:val="22"/>
                <w:lang w:val="fi-FI"/>
              </w:rPr>
              <w:t>(8 viikon hoitojaksot)</w:t>
            </w:r>
          </w:p>
          <w:p w14:paraId="586FC8DA" w14:textId="77777777" w:rsidR="00311DC5" w:rsidRPr="00396314" w:rsidRDefault="00311DC5" w:rsidP="008238ED">
            <w:pPr>
              <w:pStyle w:val="EndnoteText"/>
              <w:widowControl w:val="0"/>
              <w:rPr>
                <w:color w:val="000000"/>
                <w:szCs w:val="22"/>
                <w:lang w:val="fi-FI"/>
              </w:rPr>
            </w:pPr>
            <w:r w:rsidRPr="00396314">
              <w:rPr>
                <w:color w:val="000000"/>
                <w:szCs w:val="22"/>
                <w:lang w:val="fi-FI"/>
              </w:rPr>
              <w:t>Hoitojakso 5</w:t>
            </w:r>
          </w:p>
        </w:tc>
        <w:tc>
          <w:tcPr>
            <w:tcW w:w="6929" w:type="dxa"/>
            <w:shd w:val="clear" w:color="auto" w:fill="auto"/>
          </w:tcPr>
          <w:p w14:paraId="586FC8DB" w14:textId="77777777" w:rsidR="00311DC5" w:rsidRPr="00396314" w:rsidRDefault="00311DC5" w:rsidP="008238ED">
            <w:pPr>
              <w:pStyle w:val="EndnoteText"/>
              <w:widowControl w:val="0"/>
              <w:rPr>
                <w:color w:val="000000"/>
                <w:szCs w:val="22"/>
                <w:lang w:val="fi-FI"/>
              </w:rPr>
            </w:pPr>
            <w:r w:rsidRPr="00396314">
              <w:rPr>
                <w:color w:val="000000"/>
                <w:szCs w:val="22"/>
                <w:lang w:val="fi-FI"/>
              </w:rPr>
              <w:t>Pään sädehoito (vain jakso 5)</w:t>
            </w:r>
          </w:p>
          <w:p w14:paraId="586FC8DC" w14:textId="77777777" w:rsidR="00311DC5" w:rsidRPr="00396314" w:rsidRDefault="00311DC5" w:rsidP="008238ED">
            <w:pPr>
              <w:pStyle w:val="EndnoteText"/>
              <w:widowControl w:val="0"/>
              <w:rPr>
                <w:color w:val="000000"/>
                <w:szCs w:val="22"/>
                <w:lang w:val="fi-FI"/>
              </w:rPr>
            </w:pPr>
            <w:r w:rsidRPr="00396314">
              <w:rPr>
                <w:color w:val="000000"/>
                <w:szCs w:val="22"/>
                <w:lang w:val="fi-FI"/>
              </w:rPr>
              <w:t>12 Gy 8 fraktiossa kaikille potilaille, joiden tila toteamishetkellä CNS1 tai CNS2</w:t>
            </w:r>
          </w:p>
          <w:p w14:paraId="586FC8DD" w14:textId="77777777" w:rsidR="00311DC5" w:rsidRPr="00396314" w:rsidRDefault="00311DC5" w:rsidP="008238ED">
            <w:pPr>
              <w:pStyle w:val="EndnoteText"/>
              <w:widowControl w:val="0"/>
              <w:rPr>
                <w:color w:val="000000"/>
                <w:szCs w:val="22"/>
                <w:lang w:val="fi-FI"/>
              </w:rPr>
            </w:pPr>
            <w:r w:rsidRPr="00396314">
              <w:rPr>
                <w:color w:val="000000"/>
                <w:szCs w:val="22"/>
                <w:lang w:val="fi-FI"/>
              </w:rPr>
              <w:t>18 Gy 10 fraktiossa potilaille, joiden tila toteamishetkellä CNS3</w:t>
            </w:r>
          </w:p>
          <w:p w14:paraId="586FC8DE" w14:textId="77777777" w:rsidR="00311DC5" w:rsidRPr="00396314" w:rsidRDefault="00311DC5" w:rsidP="008238ED">
            <w:pPr>
              <w:pStyle w:val="EndnoteT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/vrk, laskimoon): päivät 1, 29</w:t>
            </w:r>
          </w:p>
          <w:p w14:paraId="586FC8DF" w14:textId="77777777" w:rsidR="00311DC5" w:rsidRPr="00396314" w:rsidRDefault="00311DC5" w:rsidP="008238ED">
            <w:pPr>
              <w:pStyle w:val="EndnoteT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5; 29</w:t>
            </w:r>
            <w:r w:rsidRPr="001678D7">
              <w:rPr>
                <w:szCs w:val="22"/>
                <w:lang w:val="fi-FI"/>
              </w:rPr>
              <w:t>–</w:t>
            </w:r>
            <w:r w:rsidRPr="00396314">
              <w:rPr>
                <w:color w:val="000000"/>
                <w:szCs w:val="22"/>
                <w:lang w:val="fi-FI"/>
              </w:rPr>
              <w:t>33</w:t>
            </w:r>
          </w:p>
          <w:p w14:paraId="586FC8E0" w14:textId="77777777" w:rsidR="00311DC5" w:rsidRPr="00396314" w:rsidRDefault="00311DC5" w:rsidP="008238ED">
            <w:pPr>
              <w:pStyle w:val="EndnoteText"/>
              <w:widowControl w:val="0"/>
              <w:rPr>
                <w:color w:val="000000"/>
                <w:szCs w:val="22"/>
                <w:lang w:val="fi-FI"/>
              </w:rPr>
            </w:pPr>
            <w:r w:rsidRPr="00396314">
              <w:rPr>
                <w:color w:val="000000"/>
                <w:szCs w:val="22"/>
                <w:lang w:val="fi-FI"/>
              </w:rPr>
              <w:t>6-merkaptopuriini (75 mg/m</w:t>
            </w:r>
            <w:r w:rsidRPr="00396314">
              <w:rPr>
                <w:color w:val="000000"/>
                <w:szCs w:val="22"/>
                <w:vertAlign w:val="superscript"/>
                <w:lang w:val="fi-FI"/>
              </w:rPr>
              <w:t>2</w:t>
            </w:r>
            <w:r w:rsidRPr="00396314">
              <w:rPr>
                <w:color w:val="000000"/>
                <w:szCs w:val="22"/>
                <w:lang w:val="fi-FI"/>
              </w:rPr>
              <w:t>/vrk, suun kautta): päivät 11</w:t>
            </w:r>
            <w:r w:rsidRPr="001678D7">
              <w:rPr>
                <w:szCs w:val="22"/>
                <w:lang w:val="fi-FI"/>
              </w:rPr>
              <w:t>–</w:t>
            </w:r>
            <w:r w:rsidRPr="00396314">
              <w:rPr>
                <w:color w:val="000000"/>
                <w:szCs w:val="22"/>
                <w:lang w:val="fi-FI"/>
              </w:rPr>
              <w:t>56 (6-merkaptopuriini tauotetaan 6</w:t>
            </w:r>
            <w:r w:rsidRPr="001678D7">
              <w:rPr>
                <w:szCs w:val="22"/>
                <w:lang w:val="fi-FI"/>
              </w:rPr>
              <w:t>–</w:t>
            </w:r>
            <w:r w:rsidRPr="00396314">
              <w:rPr>
                <w:color w:val="000000"/>
                <w:szCs w:val="22"/>
                <w:lang w:val="fi-FI"/>
              </w:rPr>
              <w:t>10 päivän pään sädehoidon ajaksi alkaen hoitojakson 5 päivästä 1. 6-merkaptopuriini aloitetaan ensimmäisenä päivänä pään sädehoidon päättymisen jälkeen.)</w:t>
            </w:r>
          </w:p>
          <w:p w14:paraId="586FC8E1" w14:textId="77777777" w:rsidR="00311DC5" w:rsidRPr="00396314" w:rsidRDefault="00311DC5" w:rsidP="008238ED">
            <w:pPr>
              <w:pStyle w:val="EndnoteText"/>
              <w:widowControl w:val="0"/>
              <w:rPr>
                <w:color w:val="000000"/>
                <w:szCs w:val="22"/>
                <w:lang w:val="fi-FI"/>
              </w:rPr>
            </w:pPr>
            <w:r w:rsidRPr="00396314">
              <w:rPr>
                <w:color w:val="000000"/>
                <w:szCs w:val="22"/>
                <w:lang w:val="fi-FI"/>
              </w:rPr>
              <w:t>Metotreksaatti (20 mg/m</w:t>
            </w:r>
            <w:r w:rsidRPr="00396314">
              <w:rPr>
                <w:color w:val="000000"/>
                <w:szCs w:val="22"/>
                <w:vertAlign w:val="superscript"/>
                <w:lang w:val="fi-FI"/>
              </w:rPr>
              <w:t>2</w:t>
            </w:r>
            <w:r w:rsidRPr="00396314">
              <w:rPr>
                <w:color w:val="000000"/>
                <w:szCs w:val="22"/>
                <w:lang w:val="fi-FI"/>
              </w:rPr>
              <w:t>/viikko, suun kautta): päivät 8, 15, 22, 29, 36, 43, 50</w:t>
            </w:r>
          </w:p>
        </w:tc>
      </w:tr>
      <w:tr w:rsidR="00311DC5" w:rsidRPr="00396314" w14:paraId="586FC8EA" w14:textId="77777777" w:rsidTr="00331A48">
        <w:trPr>
          <w:cantSplit/>
        </w:trPr>
        <w:tc>
          <w:tcPr>
            <w:tcW w:w="2358" w:type="dxa"/>
            <w:shd w:val="clear" w:color="auto" w:fill="auto"/>
          </w:tcPr>
          <w:p w14:paraId="586FC8E3" w14:textId="77777777" w:rsidR="00311DC5" w:rsidRPr="00396314" w:rsidRDefault="00311DC5" w:rsidP="00331A48">
            <w:pPr>
              <w:pStyle w:val="EndnoteText"/>
              <w:keepNext/>
              <w:widowControl w:val="0"/>
              <w:rPr>
                <w:color w:val="000000"/>
                <w:szCs w:val="22"/>
                <w:lang w:val="fi-FI"/>
              </w:rPr>
            </w:pPr>
            <w:r w:rsidRPr="00396314">
              <w:rPr>
                <w:color w:val="000000"/>
                <w:szCs w:val="22"/>
                <w:lang w:val="fi-FI"/>
              </w:rPr>
              <w:t>Ylläpito</w:t>
            </w:r>
          </w:p>
          <w:p w14:paraId="586FC8E4" w14:textId="77777777" w:rsidR="00311DC5" w:rsidRPr="00396314" w:rsidRDefault="00311DC5" w:rsidP="00331A48">
            <w:pPr>
              <w:pStyle w:val="EndnoteText"/>
              <w:keepNext/>
              <w:widowControl w:val="0"/>
              <w:rPr>
                <w:color w:val="000000"/>
                <w:szCs w:val="22"/>
                <w:lang w:val="fi-FI"/>
              </w:rPr>
            </w:pPr>
            <w:r w:rsidRPr="00396314">
              <w:rPr>
                <w:color w:val="000000"/>
                <w:szCs w:val="22"/>
                <w:lang w:val="fi-FI"/>
              </w:rPr>
              <w:t>(8 viikon hoitojaksot)</w:t>
            </w:r>
          </w:p>
          <w:p w14:paraId="586FC8E5" w14:textId="77777777" w:rsidR="00311DC5" w:rsidRPr="00396314" w:rsidRDefault="00311DC5" w:rsidP="00331A48">
            <w:pPr>
              <w:pStyle w:val="EndnoteText"/>
              <w:keepNext/>
              <w:widowControl w:val="0"/>
              <w:rPr>
                <w:color w:val="000000"/>
                <w:szCs w:val="22"/>
                <w:lang w:val="fi-FI"/>
              </w:rPr>
            </w:pPr>
            <w:r w:rsidRPr="00396314">
              <w:rPr>
                <w:color w:val="000000"/>
                <w:szCs w:val="22"/>
                <w:lang w:val="fi-FI"/>
              </w:rPr>
              <w:t>Hoitojaksot 6</w:t>
            </w:r>
            <w:r w:rsidRPr="00396314">
              <w:rPr>
                <w:szCs w:val="22"/>
              </w:rPr>
              <w:t>–</w:t>
            </w:r>
            <w:r w:rsidRPr="00396314">
              <w:rPr>
                <w:color w:val="000000"/>
                <w:szCs w:val="22"/>
                <w:lang w:val="fi-FI"/>
              </w:rPr>
              <w:t>12</w:t>
            </w:r>
          </w:p>
        </w:tc>
        <w:tc>
          <w:tcPr>
            <w:tcW w:w="6929" w:type="dxa"/>
            <w:shd w:val="clear" w:color="auto" w:fill="auto"/>
          </w:tcPr>
          <w:p w14:paraId="586FC8E6" w14:textId="77777777" w:rsidR="00311DC5" w:rsidRPr="00396314" w:rsidRDefault="00311DC5" w:rsidP="00331A48">
            <w:pPr>
              <w:pStyle w:val="EndnoteText"/>
              <w:keepNext/>
              <w:widowControl w:val="0"/>
              <w:rPr>
                <w:color w:val="000000"/>
                <w:szCs w:val="22"/>
                <w:lang w:val="fi-FI"/>
              </w:rPr>
            </w:pPr>
            <w:r w:rsidRPr="00396314">
              <w:rPr>
                <w:color w:val="000000"/>
                <w:szCs w:val="22"/>
                <w:lang w:val="fi-FI"/>
              </w:rPr>
              <w:t>Vinkristiini (1,5 mg/m</w:t>
            </w:r>
            <w:r w:rsidRPr="00396314">
              <w:rPr>
                <w:color w:val="000000"/>
                <w:szCs w:val="22"/>
                <w:vertAlign w:val="superscript"/>
                <w:lang w:val="fi-FI"/>
              </w:rPr>
              <w:t>2</w:t>
            </w:r>
            <w:r w:rsidRPr="00396314">
              <w:rPr>
                <w:color w:val="000000"/>
                <w:szCs w:val="22"/>
                <w:lang w:val="fi-FI"/>
              </w:rPr>
              <w:t>/vrk, laskimoon): päivät 1, 29</w:t>
            </w:r>
          </w:p>
          <w:p w14:paraId="586FC8E7" w14:textId="77777777" w:rsidR="00311DC5" w:rsidRPr="00396314" w:rsidRDefault="00311DC5" w:rsidP="00331A48">
            <w:pPr>
              <w:pStyle w:val="EndnoteText"/>
              <w:keepNext/>
              <w:widowControl w:val="0"/>
              <w:rPr>
                <w:color w:val="000000"/>
                <w:szCs w:val="22"/>
                <w:lang w:val="fi-FI"/>
              </w:rPr>
            </w:pPr>
            <w:r w:rsidRPr="00396314">
              <w:rPr>
                <w:color w:val="000000"/>
                <w:szCs w:val="22"/>
                <w:lang w:val="fi-FI"/>
              </w:rPr>
              <w:t>Deksametasoni (6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5; 29</w:t>
            </w:r>
            <w:r w:rsidRPr="001678D7">
              <w:rPr>
                <w:szCs w:val="22"/>
                <w:lang w:val="fi-FI"/>
              </w:rPr>
              <w:t>–</w:t>
            </w:r>
            <w:r w:rsidRPr="00396314">
              <w:rPr>
                <w:color w:val="000000"/>
                <w:szCs w:val="22"/>
                <w:lang w:val="fi-FI"/>
              </w:rPr>
              <w:t>33</w:t>
            </w:r>
          </w:p>
          <w:p w14:paraId="586FC8E8" w14:textId="77777777" w:rsidR="00311DC5" w:rsidRPr="00396314" w:rsidRDefault="00311DC5" w:rsidP="00331A48">
            <w:pPr>
              <w:pStyle w:val="EndnoteText"/>
              <w:keepNext/>
              <w:widowControl w:val="0"/>
              <w:rPr>
                <w:color w:val="000000"/>
                <w:szCs w:val="22"/>
                <w:lang w:val="fi-FI"/>
              </w:rPr>
            </w:pPr>
            <w:r w:rsidRPr="00396314">
              <w:rPr>
                <w:color w:val="000000"/>
                <w:szCs w:val="22"/>
                <w:lang w:val="fi-FI"/>
              </w:rPr>
              <w:t>6-merkaptopuriini (75 mg/m</w:t>
            </w:r>
            <w:r w:rsidRPr="00396314">
              <w:rPr>
                <w:color w:val="000000"/>
                <w:szCs w:val="22"/>
                <w:vertAlign w:val="superscript"/>
                <w:lang w:val="fi-FI"/>
              </w:rPr>
              <w:t>2</w:t>
            </w:r>
            <w:r w:rsidRPr="00396314">
              <w:rPr>
                <w:color w:val="000000"/>
                <w:szCs w:val="22"/>
                <w:lang w:val="fi-FI"/>
              </w:rPr>
              <w:t>/vrk, suun kautta): päivät 1</w:t>
            </w:r>
            <w:r w:rsidRPr="001678D7">
              <w:rPr>
                <w:szCs w:val="22"/>
                <w:lang w:val="fi-FI"/>
              </w:rPr>
              <w:t>–</w:t>
            </w:r>
            <w:r w:rsidRPr="00396314">
              <w:rPr>
                <w:color w:val="000000"/>
                <w:szCs w:val="22"/>
                <w:lang w:val="fi-FI"/>
              </w:rPr>
              <w:t>56</w:t>
            </w:r>
          </w:p>
          <w:p w14:paraId="586FC8E9" w14:textId="77777777" w:rsidR="00311DC5" w:rsidRPr="00396314" w:rsidRDefault="00311DC5" w:rsidP="00331A48">
            <w:pPr>
              <w:pStyle w:val="EndnoteText"/>
              <w:keepNext/>
              <w:widowControl w:val="0"/>
              <w:rPr>
                <w:color w:val="000000"/>
                <w:szCs w:val="22"/>
                <w:lang w:val="fi-FI"/>
              </w:rPr>
            </w:pPr>
            <w:r w:rsidRPr="00396314">
              <w:rPr>
                <w:color w:val="000000"/>
                <w:szCs w:val="22"/>
                <w:lang w:val="fi-FI"/>
              </w:rPr>
              <w:t>Metotreksaatti (20 mg/m</w:t>
            </w:r>
            <w:r w:rsidRPr="00396314">
              <w:rPr>
                <w:color w:val="000000"/>
                <w:szCs w:val="22"/>
                <w:vertAlign w:val="superscript"/>
                <w:lang w:val="fi-FI"/>
              </w:rPr>
              <w:t>2</w:t>
            </w:r>
            <w:r w:rsidRPr="00396314">
              <w:rPr>
                <w:color w:val="000000"/>
                <w:szCs w:val="22"/>
                <w:lang w:val="fi-FI"/>
              </w:rPr>
              <w:t>/viikko, suun kautta): päivät 1, 8, 15, 22, 29, 36, 43, 50</w:t>
            </w:r>
          </w:p>
        </w:tc>
      </w:tr>
    </w:tbl>
    <w:p w14:paraId="586FC8EB" w14:textId="77777777" w:rsidR="00311DC5" w:rsidRPr="00396314" w:rsidRDefault="00311DC5" w:rsidP="00331A48">
      <w:pPr>
        <w:pStyle w:val="EndnoteText"/>
        <w:keepLines/>
        <w:widowControl w:val="0"/>
        <w:rPr>
          <w:color w:val="000000"/>
          <w:szCs w:val="22"/>
          <w:lang w:val="fi-FI"/>
        </w:rPr>
      </w:pPr>
      <w:r w:rsidRPr="00396314">
        <w:rPr>
          <w:color w:val="000000"/>
          <w:szCs w:val="22"/>
          <w:lang w:val="fi-FI"/>
        </w:rPr>
        <w:t>MESNA = 2-merkaptoetaanisulfonaattinatrium, iii = tai kunnes me</w:t>
      </w:r>
      <w:r w:rsidRPr="001678D7">
        <w:rPr>
          <w:color w:val="000000"/>
          <w:szCs w:val="22"/>
          <w:lang w:val="fi-FI"/>
        </w:rPr>
        <w:t>totreksaattipitoisuus on &lt; 0,1 µ</w:t>
      </w:r>
      <w:r w:rsidRPr="00396314">
        <w:rPr>
          <w:color w:val="000000"/>
          <w:szCs w:val="22"/>
          <w:lang w:val="fi-FI"/>
        </w:rPr>
        <w:t>mol, Gy = gray</w:t>
      </w:r>
    </w:p>
    <w:p w14:paraId="586FC8EC" w14:textId="77777777" w:rsidR="00311DC5" w:rsidRPr="00396314" w:rsidRDefault="00311DC5" w:rsidP="00311DC5">
      <w:pPr>
        <w:pStyle w:val="EndnoteText"/>
        <w:widowControl w:val="0"/>
        <w:jc w:val="both"/>
        <w:rPr>
          <w:color w:val="000000"/>
          <w:szCs w:val="22"/>
          <w:lang w:val="fi-FI"/>
        </w:rPr>
      </w:pPr>
    </w:p>
    <w:p w14:paraId="586FC8ED" w14:textId="77777777" w:rsidR="00311DC5" w:rsidRPr="00396314" w:rsidRDefault="00311DC5" w:rsidP="00311DC5">
      <w:pPr>
        <w:pStyle w:val="EndnoteText"/>
        <w:widowControl w:val="0"/>
        <w:rPr>
          <w:color w:val="000000"/>
          <w:szCs w:val="22"/>
          <w:lang w:val="fi-FI"/>
        </w:rPr>
      </w:pPr>
      <w:r w:rsidRPr="00396314">
        <w:rPr>
          <w:color w:val="000000"/>
          <w:szCs w:val="22"/>
          <w:lang w:val="fi-FI"/>
        </w:rPr>
        <w:t xml:space="preserve">AIT07-tutkimus oli avoin, satunnaistettu, vaiheen II/III monikeskustutkimus, johon osallistui 128 potilasta (1–&lt; 18 v), jotka saivat imatinibin ja kemoterapian yhdistelmähoitoa. Tutkimuksen turvallisuustiedot </w:t>
      </w:r>
      <w:r>
        <w:rPr>
          <w:color w:val="000000"/>
          <w:szCs w:val="22"/>
          <w:lang w:val="fi-FI"/>
        </w:rPr>
        <w:t>näyttävät olevan yhdenmukaiset</w:t>
      </w:r>
      <w:r w:rsidRPr="00396314">
        <w:rPr>
          <w:color w:val="000000"/>
          <w:szCs w:val="22"/>
          <w:lang w:val="fi-FI"/>
        </w:rPr>
        <w:t xml:space="preserve"> imatinibin </w:t>
      </w:r>
      <w:r w:rsidRPr="00913E55">
        <w:rPr>
          <w:color w:val="000000"/>
          <w:szCs w:val="22"/>
          <w:lang w:val="fi-FI"/>
        </w:rPr>
        <w:t>turvallisuusprofiili</w:t>
      </w:r>
      <w:r>
        <w:rPr>
          <w:color w:val="000000"/>
          <w:szCs w:val="22"/>
          <w:lang w:val="fi-FI"/>
        </w:rPr>
        <w:t>n kanssa</w:t>
      </w:r>
      <w:r w:rsidRPr="00913E55">
        <w:rPr>
          <w:color w:val="000000"/>
          <w:szCs w:val="22"/>
          <w:lang w:val="fi-FI"/>
        </w:rPr>
        <w:t xml:space="preserve"> Ph+ ALL</w:t>
      </w:r>
      <w:r>
        <w:rPr>
          <w:color w:val="000000"/>
          <w:szCs w:val="22"/>
          <w:lang w:val="fi-FI"/>
        </w:rPr>
        <w:t> -</w:t>
      </w:r>
      <w:r w:rsidRPr="00396314">
        <w:rPr>
          <w:color w:val="000000"/>
          <w:szCs w:val="22"/>
          <w:lang w:val="fi-FI"/>
        </w:rPr>
        <w:t>potilailla.</w:t>
      </w:r>
    </w:p>
    <w:p w14:paraId="586FC8EE" w14:textId="77777777" w:rsidR="00311DC5" w:rsidRPr="00912A5D" w:rsidRDefault="00311DC5" w:rsidP="00311DC5">
      <w:pPr>
        <w:pStyle w:val="EndnoteText"/>
        <w:widowControl w:val="0"/>
        <w:tabs>
          <w:tab w:val="clear" w:pos="567"/>
        </w:tabs>
        <w:rPr>
          <w:color w:val="000000"/>
          <w:szCs w:val="22"/>
          <w:lang w:val="fi-FI"/>
        </w:rPr>
      </w:pPr>
    </w:p>
    <w:p w14:paraId="586FC8EF" w14:textId="77777777" w:rsidR="00311DC5" w:rsidRPr="00912A5D" w:rsidRDefault="00311DC5" w:rsidP="00311DC5">
      <w:pPr>
        <w:pStyle w:val="EndnoteText"/>
        <w:widowControl w:val="0"/>
        <w:tabs>
          <w:tab w:val="clear" w:pos="567"/>
        </w:tabs>
        <w:rPr>
          <w:color w:val="000000"/>
          <w:lang w:val="fi-FI"/>
        </w:rPr>
      </w:pPr>
      <w:r w:rsidRPr="00912A5D">
        <w:rPr>
          <w:i/>
          <w:iCs/>
          <w:color w:val="000000"/>
          <w:szCs w:val="22"/>
          <w:lang w:val="fi-FI"/>
        </w:rPr>
        <w:t xml:space="preserve">Uusiutunut/vaikeahoitoinen Ph+ </w:t>
      </w:r>
      <w:smartTag w:uri="urn:schemas-microsoft-com:office:smarttags" w:element="State">
        <w:r w:rsidRPr="00912A5D">
          <w:rPr>
            <w:i/>
            <w:iCs/>
            <w:color w:val="000000"/>
            <w:szCs w:val="22"/>
            <w:lang w:val="fi-FI"/>
          </w:rPr>
          <w:t>ALL</w:t>
        </w:r>
      </w:smartTag>
      <w:r w:rsidRPr="00912A5D">
        <w:rPr>
          <w:i/>
          <w:iCs/>
          <w:color w:val="000000"/>
          <w:szCs w:val="22"/>
          <w:lang w:val="fi-FI"/>
        </w:rPr>
        <w:t>:</w:t>
      </w:r>
      <w:r w:rsidRPr="00912A5D">
        <w:rPr>
          <w:color w:val="000000"/>
          <w:szCs w:val="22"/>
          <w:lang w:val="fi-FI"/>
        </w:rPr>
        <w:t xml:space="preserve"> Kun imatinibia annettiin monoterapiana potilaille, joilla oli uusiutunut/vaikeahoitoinen Ph+ </w:t>
      </w:r>
      <w:smartTag w:uri="urn:schemas-microsoft-com:office:smarttags" w:element="State">
        <w:r w:rsidRPr="00912A5D">
          <w:rPr>
            <w:color w:val="000000"/>
            <w:szCs w:val="22"/>
            <w:lang w:val="fi-FI"/>
          </w:rPr>
          <w:t>ALL</w:t>
        </w:r>
      </w:smartTag>
      <w:r w:rsidRPr="00912A5D">
        <w:rPr>
          <w:color w:val="000000"/>
          <w:szCs w:val="22"/>
          <w:lang w:val="fi-FI"/>
        </w:rPr>
        <w:t xml:space="preserve">, saavutettiin hematologinen vaste 30 %:lla (täydellinen vaste, 9 %) ja huomattava sytogeneettinen vaste 23 %:lla. Kaikkiaan 53 potilasta 411:sta oli arviointikelpoisia. 353 potilaalta ei kerätty ensisijaisia vastetietoja (an expanded access program). Koko potilasjoukossa (411 potilasta, joilla oli uusiutunut/vaikeahoitoinen Ph+ </w:t>
      </w:r>
      <w:smartTag w:uri="urn:schemas-microsoft-com:office:smarttags" w:element="State">
        <w:r w:rsidRPr="00912A5D">
          <w:rPr>
            <w:color w:val="000000"/>
            <w:szCs w:val="22"/>
            <w:lang w:val="fi-FI"/>
          </w:rPr>
          <w:t>ALL</w:t>
        </w:r>
      </w:smartTag>
      <w:r w:rsidRPr="00912A5D">
        <w:rPr>
          <w:color w:val="000000"/>
          <w:szCs w:val="22"/>
          <w:lang w:val="fi-FI"/>
        </w:rPr>
        <w:t>), taudin etenemiseen kulunut mediaaniaika vaihteli 2,6 kuukaudesta 3,1 kuukauteen, ja kokonaiselossaoloajan mediaani 401 arviointikelpoisella potilaalla vaihteli 4,9 kuukaudesta 9 kuukauteen.</w:t>
      </w:r>
      <w:r w:rsidRPr="00912A5D">
        <w:rPr>
          <w:color w:val="000000"/>
          <w:lang w:val="fi-FI"/>
        </w:rPr>
        <w:t xml:space="preserve"> Tiedot olivat samanlaiset, kun analyysi tehtiin uudelleen ja mukaan otettiin vain 55-vuotiaat ja sitä vanhemmat potilaat.</w:t>
      </w:r>
    </w:p>
    <w:p w14:paraId="586FC8F0" w14:textId="77777777" w:rsidR="00311DC5" w:rsidRPr="00912A5D" w:rsidRDefault="00311DC5" w:rsidP="00311DC5">
      <w:pPr>
        <w:pStyle w:val="EndnoteText"/>
        <w:widowControl w:val="0"/>
        <w:tabs>
          <w:tab w:val="clear" w:pos="567"/>
        </w:tabs>
        <w:rPr>
          <w:color w:val="000000"/>
          <w:lang w:val="fi-FI"/>
        </w:rPr>
      </w:pPr>
    </w:p>
    <w:p w14:paraId="586FC8F1" w14:textId="77777777" w:rsidR="00311DC5" w:rsidRPr="00912A5D" w:rsidRDefault="00311DC5" w:rsidP="00331A48">
      <w:pPr>
        <w:pStyle w:val="EndnoteText"/>
        <w:keepNext/>
        <w:widowControl w:val="0"/>
        <w:tabs>
          <w:tab w:val="clear" w:pos="567"/>
        </w:tabs>
        <w:rPr>
          <w:color w:val="000000"/>
          <w:szCs w:val="22"/>
          <w:u w:val="single"/>
          <w:lang w:val="fi-FI"/>
        </w:rPr>
      </w:pPr>
      <w:r w:rsidRPr="00912A5D">
        <w:rPr>
          <w:color w:val="000000"/>
          <w:szCs w:val="22"/>
          <w:u w:val="single"/>
          <w:lang w:val="fi-FI"/>
        </w:rPr>
        <w:t>Kliiniset tutkimukset myelodysplastisessa oireyhtymässä / myeloproliferatiivisissa sairauksissa (</w:t>
      </w:r>
      <w:smartTag w:uri="urn:schemas-microsoft-com:office:smarttags" w:element="State">
        <w:r w:rsidRPr="00912A5D">
          <w:rPr>
            <w:color w:val="000000"/>
            <w:szCs w:val="22"/>
            <w:u w:val="single"/>
            <w:lang w:val="fi-FI"/>
          </w:rPr>
          <w:t>MDS</w:t>
        </w:r>
      </w:smartTag>
      <w:r w:rsidRPr="00912A5D">
        <w:rPr>
          <w:color w:val="000000"/>
          <w:szCs w:val="22"/>
          <w:u w:val="single"/>
          <w:lang w:val="fi-FI"/>
        </w:rPr>
        <w:t>/MPD)</w:t>
      </w:r>
    </w:p>
    <w:p w14:paraId="586FC8F2" w14:textId="77777777" w:rsidR="002E4FEF" w:rsidRDefault="00311DC5" w:rsidP="00311DC5">
      <w:pPr>
        <w:pStyle w:val="EndnoteText"/>
        <w:widowControl w:val="0"/>
        <w:tabs>
          <w:tab w:val="clear" w:pos="567"/>
        </w:tabs>
        <w:rPr>
          <w:color w:val="000000"/>
          <w:szCs w:val="22"/>
          <w:lang w:val="fi-FI" w:eastAsia="ja-JP"/>
        </w:rPr>
      </w:pPr>
      <w:r w:rsidRPr="00912A5D">
        <w:rPr>
          <w:color w:val="000000"/>
          <w:szCs w:val="22"/>
          <w:lang w:val="fi-FI"/>
        </w:rPr>
        <w:t>Glivecin käytöstä tässä käyttöaiheessa on hyvin vähän kokemusta, ja se perustuu hematologisten ja sytogeneettisten vasteiden määrään. Kliinistä hyötyä tai elinajan pitenemistä ei ole osoitettu yhdessäkään kliinisessä tutkimuksessa. Yhdessä avoimessa vaiheen II kliinisessä monikeskustutkimuksessa (tutkimus B2225) Gliveciä annettiin monentyyppisille potilaille, joilla oli hengenvaarallisia sairauksia liittyneenä Abl</w:t>
      </w:r>
      <w:r w:rsidRPr="00912A5D">
        <w:rPr>
          <w:color w:val="000000"/>
          <w:szCs w:val="22"/>
          <w:lang w:val="fi-FI"/>
        </w:rPr>
        <w:noBreakHyphen/>
        <w:t xml:space="preserve">, Kit- tai PDGFR-proteiinityrosiinikinaaseihin. Tähän tutkimukseen osallistui myös 7 potilasta, joilla oli myelodysplastinen oireyhtymä/myeloproliferatiivinen tauti. He saivat Gliveciä annoksena 400 mg/vrk. Kolme potilasta saavutti täydellisen hematologisen vasteen ja yksi potilas osittaisen hematologisen vasteen. </w:t>
      </w:r>
      <w:r w:rsidRPr="00912A5D">
        <w:rPr>
          <w:color w:val="000000"/>
          <w:szCs w:val="22"/>
          <w:lang w:val="fi-FI"/>
        </w:rPr>
        <w:lastRenderedPageBreak/>
        <w:t xml:space="preserve">Alkuperäisen analyysin tekemisvaiheessa neljällä potilaalla todettiin PDGFR-geenin uudelleenjärjestäytymistä, ja näistä potilaista kolme saavutti hematologisen vasteen (2 täydellisen ja 1 osittaisen hematologisen vasteen). </w:t>
      </w:r>
      <w:r w:rsidRPr="00912A5D">
        <w:rPr>
          <w:color w:val="000000"/>
          <w:szCs w:val="22"/>
          <w:lang w:val="fi-FI" w:eastAsia="ja-JP"/>
        </w:rPr>
        <w:t>Nämä potilaat olivat 20</w:t>
      </w:r>
      <w:r w:rsidRPr="00912A5D">
        <w:rPr>
          <w:color w:val="000000"/>
          <w:szCs w:val="22"/>
          <w:lang w:val="fi-FI" w:eastAsia="ja-JP"/>
        </w:rPr>
        <w:noBreakHyphen/>
        <w:t>72-vuotiaita.</w:t>
      </w:r>
    </w:p>
    <w:p w14:paraId="586FC8F3" w14:textId="77777777" w:rsidR="002E4FEF" w:rsidRDefault="002E4FEF" w:rsidP="00311DC5">
      <w:pPr>
        <w:pStyle w:val="EndnoteText"/>
        <w:widowControl w:val="0"/>
        <w:tabs>
          <w:tab w:val="clear" w:pos="567"/>
        </w:tabs>
        <w:rPr>
          <w:color w:val="000000"/>
          <w:szCs w:val="22"/>
          <w:lang w:val="fi-FI" w:eastAsia="ja-JP"/>
        </w:rPr>
      </w:pPr>
    </w:p>
    <w:p w14:paraId="586FC8F4" w14:textId="77777777" w:rsidR="002E4FEF" w:rsidRDefault="002E4FEF" w:rsidP="00311DC5">
      <w:pPr>
        <w:pStyle w:val="EndnoteText"/>
        <w:widowControl w:val="0"/>
        <w:tabs>
          <w:tab w:val="clear" w:pos="567"/>
        </w:tabs>
        <w:rPr>
          <w:color w:val="000000"/>
          <w:szCs w:val="22"/>
          <w:lang w:val="fi-FI" w:eastAsia="ja-JP"/>
        </w:rPr>
      </w:pPr>
      <w:r w:rsidRPr="004177D4">
        <w:rPr>
          <w:color w:val="000000"/>
          <w:szCs w:val="22"/>
          <w:lang w:val="fi-FI" w:eastAsia="ja-JP"/>
        </w:rPr>
        <w:t>Hoidon pitkäaikaisturvallisuus- ja tehotietojen keräämiseksi toteutettiin havainnoiva rekisteritutkimus (tutkimus L2401). Siihen otettiin Glivec-hoitoa saavia potilaita, joilla oli myeloproliferatiivisia kasvaimia ja PDGFR-β-geenin uudelleenjärjest</w:t>
      </w:r>
      <w:r>
        <w:rPr>
          <w:color w:val="000000"/>
          <w:szCs w:val="22"/>
          <w:lang w:val="fi-FI" w:eastAsia="ja-JP"/>
        </w:rPr>
        <w:t>ymä. Rekisteri sisälsi 23 </w:t>
      </w:r>
      <w:r w:rsidRPr="004177D4">
        <w:rPr>
          <w:color w:val="000000"/>
          <w:szCs w:val="22"/>
          <w:lang w:val="fi-FI" w:eastAsia="ja-JP"/>
        </w:rPr>
        <w:t>potilasta, joiden Glivec-vuoroka</w:t>
      </w:r>
      <w:r>
        <w:rPr>
          <w:color w:val="000000"/>
          <w:szCs w:val="22"/>
          <w:lang w:val="fi-FI" w:eastAsia="ja-JP"/>
        </w:rPr>
        <w:t>usiannoksen mediaani oli 264 mg (vaihteluväli 100–400 </w:t>
      </w:r>
      <w:r w:rsidRPr="004177D4">
        <w:rPr>
          <w:color w:val="000000"/>
          <w:szCs w:val="22"/>
          <w:lang w:val="fi-FI" w:eastAsia="ja-JP"/>
        </w:rPr>
        <w:t>mg) ja hoidon mediaanikesto 7,2</w:t>
      </w:r>
      <w:r>
        <w:rPr>
          <w:color w:val="000000"/>
          <w:szCs w:val="22"/>
          <w:lang w:val="fi-FI" w:eastAsia="ja-JP"/>
        </w:rPr>
        <w:t> </w:t>
      </w:r>
      <w:r w:rsidRPr="004177D4">
        <w:rPr>
          <w:color w:val="000000"/>
          <w:szCs w:val="22"/>
          <w:lang w:val="fi-FI" w:eastAsia="ja-JP"/>
        </w:rPr>
        <w:t>v (vaihteluväli 0,1–12,7</w:t>
      </w:r>
      <w:r>
        <w:rPr>
          <w:color w:val="000000"/>
          <w:szCs w:val="22"/>
          <w:lang w:val="fi-FI" w:eastAsia="ja-JP"/>
        </w:rPr>
        <w:t xml:space="preserve"> v). Koska kyseessä </w:t>
      </w:r>
      <w:r w:rsidRPr="004177D4">
        <w:rPr>
          <w:color w:val="000000"/>
          <w:szCs w:val="22"/>
          <w:lang w:val="fi-FI" w:eastAsia="ja-JP"/>
        </w:rPr>
        <w:t>oli havainnoiva</w:t>
      </w:r>
      <w:r>
        <w:rPr>
          <w:color w:val="000000"/>
          <w:szCs w:val="22"/>
          <w:lang w:val="fi-FI" w:eastAsia="ja-JP"/>
        </w:rPr>
        <w:t xml:space="preserve"> rekisteri</w:t>
      </w:r>
      <w:r w:rsidRPr="004177D4">
        <w:rPr>
          <w:color w:val="000000"/>
          <w:szCs w:val="22"/>
          <w:lang w:val="fi-FI" w:eastAsia="ja-JP"/>
        </w:rPr>
        <w:t>,</w:t>
      </w:r>
      <w:r>
        <w:rPr>
          <w:color w:val="000000"/>
          <w:szCs w:val="22"/>
          <w:lang w:val="fi-FI" w:eastAsia="ja-JP"/>
        </w:rPr>
        <w:t xml:space="preserve"> oli</w:t>
      </w:r>
      <w:r w:rsidRPr="004177D4">
        <w:rPr>
          <w:color w:val="000000"/>
          <w:szCs w:val="22"/>
          <w:lang w:val="fi-FI" w:eastAsia="ja-JP"/>
        </w:rPr>
        <w:t xml:space="preserve"> hematologis</w:t>
      </w:r>
      <w:r>
        <w:rPr>
          <w:color w:val="000000"/>
          <w:szCs w:val="22"/>
          <w:lang w:val="fi-FI" w:eastAsia="ja-JP"/>
        </w:rPr>
        <w:t>ia</w:t>
      </w:r>
      <w:r w:rsidRPr="004177D4">
        <w:rPr>
          <w:color w:val="000000"/>
          <w:szCs w:val="22"/>
          <w:lang w:val="fi-FI" w:eastAsia="ja-JP"/>
        </w:rPr>
        <w:t xml:space="preserve"> arvioi</w:t>
      </w:r>
      <w:r>
        <w:rPr>
          <w:color w:val="000000"/>
          <w:szCs w:val="22"/>
          <w:lang w:val="fi-FI" w:eastAsia="ja-JP"/>
        </w:rPr>
        <w:t>nteja saatavilla 22</w:t>
      </w:r>
      <w:r w:rsidRPr="004177D4">
        <w:rPr>
          <w:color w:val="000000"/>
          <w:szCs w:val="22"/>
          <w:lang w:val="fi-FI" w:eastAsia="ja-JP"/>
        </w:rPr>
        <w:t>, sytogenee</w:t>
      </w:r>
      <w:r>
        <w:rPr>
          <w:color w:val="000000"/>
          <w:szCs w:val="22"/>
          <w:lang w:val="fi-FI" w:eastAsia="ja-JP"/>
        </w:rPr>
        <w:t>ttisiä arviointeja 9 </w:t>
      </w:r>
      <w:r w:rsidRPr="004177D4">
        <w:rPr>
          <w:color w:val="000000"/>
          <w:szCs w:val="22"/>
          <w:lang w:val="fi-FI" w:eastAsia="ja-JP"/>
        </w:rPr>
        <w:t xml:space="preserve">ja </w:t>
      </w:r>
      <w:r>
        <w:rPr>
          <w:color w:val="000000"/>
          <w:szCs w:val="22"/>
          <w:lang w:val="fi-FI" w:eastAsia="ja-JP"/>
        </w:rPr>
        <w:t>molekulaarisia arviointeja 17 </w:t>
      </w:r>
      <w:r w:rsidR="005E7841">
        <w:rPr>
          <w:color w:val="000000"/>
          <w:szCs w:val="22"/>
          <w:lang w:val="fi-FI" w:eastAsia="ja-JP"/>
        </w:rPr>
        <w:t>tutkimukseen otetuista 23</w:t>
      </w:r>
      <w:r w:rsidR="00680E36">
        <w:rPr>
          <w:color w:val="000000"/>
          <w:szCs w:val="22"/>
          <w:lang w:val="fi-FI" w:eastAsia="ja-JP"/>
        </w:rPr>
        <w:t> </w:t>
      </w:r>
      <w:r w:rsidRPr="004177D4">
        <w:rPr>
          <w:color w:val="000000"/>
          <w:szCs w:val="22"/>
          <w:lang w:val="fi-FI" w:eastAsia="ja-JP"/>
        </w:rPr>
        <w:t xml:space="preserve">potilaasta. </w:t>
      </w:r>
      <w:r>
        <w:rPr>
          <w:color w:val="000000"/>
          <w:szCs w:val="22"/>
          <w:lang w:val="fi-FI" w:eastAsia="ja-JP"/>
        </w:rPr>
        <w:t xml:space="preserve">Jos </w:t>
      </w:r>
      <w:r w:rsidRPr="004177D4">
        <w:rPr>
          <w:color w:val="000000"/>
          <w:szCs w:val="22"/>
          <w:lang w:val="fi-FI" w:eastAsia="ja-JP"/>
        </w:rPr>
        <w:t xml:space="preserve">konservatiivisesti oletetaan, että </w:t>
      </w:r>
      <w:r>
        <w:rPr>
          <w:color w:val="000000"/>
          <w:szCs w:val="22"/>
          <w:lang w:val="fi-FI" w:eastAsia="ja-JP"/>
        </w:rPr>
        <w:t xml:space="preserve">ne </w:t>
      </w:r>
      <w:r w:rsidRPr="004177D4">
        <w:rPr>
          <w:color w:val="000000"/>
          <w:szCs w:val="22"/>
          <w:lang w:val="fi-FI" w:eastAsia="ja-JP"/>
        </w:rPr>
        <w:t xml:space="preserve">potilaat joilta tietoja </w:t>
      </w:r>
      <w:r>
        <w:rPr>
          <w:color w:val="000000"/>
          <w:szCs w:val="22"/>
          <w:lang w:val="fi-FI" w:eastAsia="ja-JP"/>
        </w:rPr>
        <w:t>ei ollut saatavilla</w:t>
      </w:r>
      <w:r w:rsidRPr="004177D4">
        <w:rPr>
          <w:color w:val="000000"/>
          <w:szCs w:val="22"/>
          <w:lang w:val="fi-FI" w:eastAsia="ja-JP"/>
        </w:rPr>
        <w:t xml:space="preserve"> </w:t>
      </w:r>
      <w:r>
        <w:rPr>
          <w:color w:val="000000"/>
          <w:szCs w:val="22"/>
          <w:lang w:val="fi-FI" w:eastAsia="ja-JP"/>
        </w:rPr>
        <w:t>eivät saavuttaneet vastetta, niin 20 </w:t>
      </w:r>
      <w:r w:rsidRPr="004177D4">
        <w:rPr>
          <w:color w:val="000000"/>
          <w:szCs w:val="22"/>
          <w:lang w:val="fi-FI" w:eastAsia="ja-JP"/>
        </w:rPr>
        <w:t>potilasta 23:sta (87</w:t>
      </w:r>
      <w:r>
        <w:rPr>
          <w:color w:val="000000"/>
          <w:szCs w:val="22"/>
          <w:lang w:val="fi-FI" w:eastAsia="ja-JP"/>
        </w:rPr>
        <w:t> </w:t>
      </w:r>
      <w:r w:rsidRPr="004177D4">
        <w:rPr>
          <w:color w:val="000000"/>
          <w:szCs w:val="22"/>
          <w:lang w:val="fi-FI" w:eastAsia="ja-JP"/>
        </w:rPr>
        <w:t>%) saavutti täydellisen hematologisen vast</w:t>
      </w:r>
      <w:r>
        <w:rPr>
          <w:color w:val="000000"/>
          <w:szCs w:val="22"/>
          <w:lang w:val="fi-FI" w:eastAsia="ja-JP"/>
        </w:rPr>
        <w:t>een, 9 </w:t>
      </w:r>
      <w:r w:rsidRPr="004177D4">
        <w:rPr>
          <w:color w:val="000000"/>
          <w:szCs w:val="22"/>
          <w:lang w:val="fi-FI" w:eastAsia="ja-JP"/>
        </w:rPr>
        <w:t>potilasta 23:sta (39,1</w:t>
      </w:r>
      <w:r>
        <w:rPr>
          <w:color w:val="000000"/>
          <w:szCs w:val="22"/>
          <w:lang w:val="fi-FI" w:eastAsia="ja-JP"/>
        </w:rPr>
        <w:t> </w:t>
      </w:r>
      <w:r w:rsidRPr="004177D4">
        <w:rPr>
          <w:color w:val="000000"/>
          <w:szCs w:val="22"/>
          <w:lang w:val="fi-FI" w:eastAsia="ja-JP"/>
        </w:rPr>
        <w:t>%) saavutti täydellisen sytogeneettisen vaste</w:t>
      </w:r>
      <w:r>
        <w:rPr>
          <w:color w:val="000000"/>
          <w:szCs w:val="22"/>
          <w:lang w:val="fi-FI" w:eastAsia="ja-JP"/>
        </w:rPr>
        <w:t>en ja 11 potilasta 23:sta (47,8 </w:t>
      </w:r>
      <w:r w:rsidRPr="004177D4">
        <w:rPr>
          <w:color w:val="000000"/>
          <w:szCs w:val="22"/>
          <w:lang w:val="fi-FI" w:eastAsia="ja-JP"/>
        </w:rPr>
        <w:t xml:space="preserve">%) saavutti molekulaarisen vasteen. </w:t>
      </w:r>
      <w:r>
        <w:rPr>
          <w:color w:val="000000"/>
          <w:szCs w:val="22"/>
          <w:lang w:val="fi-FI" w:eastAsia="ja-JP"/>
        </w:rPr>
        <w:t>Jos</w:t>
      </w:r>
      <w:r w:rsidRPr="004177D4">
        <w:rPr>
          <w:color w:val="000000"/>
          <w:szCs w:val="22"/>
          <w:lang w:val="fi-FI" w:eastAsia="ja-JP"/>
        </w:rPr>
        <w:t xml:space="preserve"> vasteprosentit lasketaan potilaista, joilta on tiedossa vähintään yksi validi arviointitulos, täydellisen hematologisen vasteen saavutti </w:t>
      </w:r>
      <w:r>
        <w:rPr>
          <w:color w:val="000000"/>
          <w:szCs w:val="22"/>
          <w:lang w:val="fi-FI" w:eastAsia="ja-JP"/>
        </w:rPr>
        <w:t>20 </w:t>
      </w:r>
      <w:r w:rsidRPr="004177D4">
        <w:rPr>
          <w:color w:val="000000"/>
          <w:szCs w:val="22"/>
          <w:lang w:val="fi-FI" w:eastAsia="ja-JP"/>
        </w:rPr>
        <w:t>potilasta 22:sta (90,9</w:t>
      </w:r>
      <w:r>
        <w:rPr>
          <w:color w:val="000000"/>
          <w:szCs w:val="22"/>
          <w:lang w:val="fi-FI" w:eastAsia="ja-JP"/>
        </w:rPr>
        <w:t> </w:t>
      </w:r>
      <w:r w:rsidRPr="004177D4">
        <w:rPr>
          <w:color w:val="000000"/>
          <w:szCs w:val="22"/>
          <w:lang w:val="fi-FI" w:eastAsia="ja-JP"/>
        </w:rPr>
        <w:t>%), täydellisen sytogeneettisen vasteen 9</w:t>
      </w:r>
      <w:r>
        <w:rPr>
          <w:color w:val="000000"/>
          <w:szCs w:val="22"/>
          <w:lang w:val="fi-FI" w:eastAsia="ja-JP"/>
        </w:rPr>
        <w:t> potilasta 9:stä (100 %) ja molekulaarisen vasteen 11 </w:t>
      </w:r>
      <w:r w:rsidRPr="004177D4">
        <w:rPr>
          <w:color w:val="000000"/>
          <w:szCs w:val="22"/>
          <w:lang w:val="fi-FI" w:eastAsia="ja-JP"/>
        </w:rPr>
        <w:t>potilasta 17:stä (64,7</w:t>
      </w:r>
      <w:r>
        <w:rPr>
          <w:color w:val="000000"/>
          <w:szCs w:val="22"/>
          <w:lang w:val="fi-FI" w:eastAsia="ja-JP"/>
        </w:rPr>
        <w:t> </w:t>
      </w:r>
      <w:r w:rsidRPr="004177D4">
        <w:rPr>
          <w:color w:val="000000"/>
          <w:szCs w:val="22"/>
          <w:lang w:val="fi-FI" w:eastAsia="ja-JP"/>
        </w:rPr>
        <w:t>%).</w:t>
      </w:r>
    </w:p>
    <w:p w14:paraId="586FC8F5" w14:textId="77777777" w:rsidR="002E4FEF" w:rsidRDefault="002E4FEF" w:rsidP="00311DC5">
      <w:pPr>
        <w:pStyle w:val="EndnoteText"/>
        <w:widowControl w:val="0"/>
        <w:tabs>
          <w:tab w:val="clear" w:pos="567"/>
        </w:tabs>
        <w:rPr>
          <w:color w:val="000000"/>
          <w:szCs w:val="22"/>
          <w:lang w:val="fi-FI" w:eastAsia="ja-JP"/>
        </w:rPr>
      </w:pPr>
    </w:p>
    <w:p w14:paraId="586FC8F6"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Lisäksi 13 julkaisussa on annettu tietoa 24 potilaasta, joilla oli myelodysplastinen oireyhtymä/myeloproliferatiivinen tauti. 21 potilasta sai Gliveciä annoksena 400 mg/vrk, ja loput kolme saivat pienempiä annoksia. Yhdellätoista potilaalla todettiin PDGFR-geenin uudelleenjärjestäytymistä. Heistä 9 saavutti täydellisen hematologisen vasteen ja 1 osittaisen hematologisen vasteen. Nämä potilaat olivat 2</w:t>
      </w:r>
      <w:r w:rsidRPr="00912A5D">
        <w:rPr>
          <w:color w:val="000000"/>
          <w:szCs w:val="22"/>
          <w:lang w:val="fi-FI"/>
        </w:rPr>
        <w:noBreakHyphen/>
        <w:t>79-vuotiaita. Eräässä julkaisussa annettiin äskettäin uutta tietoa kuudesta näistä 11 potilaasta, ja tietojen mukaan kaikki kuusi ovat edelleen sytogeneettisessä remissiossa (vaihteluväli 32–38 kuukautta). Samassa julkaisussa raportoitiin pitkäaikaisseurantatietoja 12 potilaasta, joilla oli myelodysplastinen oireyhtymä/myeloproliferatiivinen tauti ja PDGFR-geenin uudelleenjärjestäytymistä (5 potilasta B2225-tutkimuksesta). Näillä potilailla Glivec-hoidon mediaanikesto oli 47 kuukautta (vaihteluväli 24 vuorokautta – 60 kuukautta). Näistä potilaista kuutta on nyt seurattu yli 4 vuoden ajan. Yksitoista potilasta saavutti nopeasti täydellisen hematologisen vasteen. Kymmenellä potilaalla sytogeneettiset poikkeavuudet korjaantuivat täysin ja RT-</w:t>
      </w:r>
      <w:smartTag w:uri="urn:schemas-microsoft-com:office:smarttags" w:element="State">
        <w:r w:rsidRPr="00912A5D">
          <w:rPr>
            <w:color w:val="000000"/>
            <w:szCs w:val="22"/>
            <w:lang w:val="fi-FI"/>
          </w:rPr>
          <w:t>PCR</w:t>
        </w:r>
      </w:smartTag>
      <w:r w:rsidRPr="00912A5D">
        <w:rPr>
          <w:color w:val="000000"/>
          <w:szCs w:val="22"/>
          <w:lang w:val="fi-FI"/>
        </w:rPr>
        <w:t>-tutkimuksella määritettävät fuusiotranskriptit joko vähenivät tai hävisivät täysin. Hematologisten vasteiden mediaanikesto on ollut 49 kuukautta (vaihteluväli 19</w:t>
      </w:r>
      <w:r w:rsidRPr="00912A5D">
        <w:rPr>
          <w:color w:val="000000"/>
          <w:szCs w:val="22"/>
          <w:lang w:val="fi-FI"/>
        </w:rPr>
        <w:noBreakHyphen/>
        <w:t>60 kuukautta) ja sytogeneettisten vasteiden 47 kuukautta (vaihteluväli 16</w:t>
      </w:r>
      <w:r w:rsidRPr="00912A5D">
        <w:rPr>
          <w:color w:val="000000"/>
          <w:szCs w:val="22"/>
          <w:lang w:val="fi-FI"/>
        </w:rPr>
        <w:noBreakHyphen/>
        <w:t>59 kuukautta). Kokonaiselinaika on 65 kuukautta diagnoosista (vaihteluväli 25</w:t>
      </w:r>
      <w:r w:rsidRPr="00912A5D">
        <w:rPr>
          <w:color w:val="000000"/>
          <w:szCs w:val="22"/>
          <w:lang w:val="fi-FI"/>
        </w:rPr>
        <w:noBreakHyphen/>
        <w:t>234 kuukautta). Jos potilaalla ei ole todettu tätä geenin translokaatiota, ei Glivec-hoidon antamisesta ole hyötyä.</w:t>
      </w:r>
    </w:p>
    <w:p w14:paraId="586FC8F7" w14:textId="77777777" w:rsidR="00311DC5" w:rsidRPr="00912A5D" w:rsidRDefault="00311DC5" w:rsidP="00311DC5">
      <w:pPr>
        <w:pStyle w:val="EndnoteText"/>
        <w:widowControl w:val="0"/>
        <w:tabs>
          <w:tab w:val="clear" w:pos="567"/>
        </w:tabs>
        <w:rPr>
          <w:color w:val="000000"/>
          <w:szCs w:val="22"/>
          <w:lang w:val="fi-FI"/>
        </w:rPr>
      </w:pPr>
    </w:p>
    <w:p w14:paraId="586FC8F8" w14:textId="77777777" w:rsidR="00311DC5" w:rsidRDefault="00311DC5" w:rsidP="00311DC5">
      <w:pPr>
        <w:pStyle w:val="EndnoteText"/>
        <w:widowControl w:val="0"/>
        <w:tabs>
          <w:tab w:val="clear" w:pos="567"/>
        </w:tabs>
        <w:rPr>
          <w:color w:val="000000"/>
          <w:szCs w:val="22"/>
          <w:lang w:val="fi-FI"/>
        </w:rPr>
      </w:pPr>
      <w:r>
        <w:rPr>
          <w:color w:val="000000"/>
          <w:szCs w:val="22"/>
          <w:lang w:val="fi-FI"/>
        </w:rPr>
        <w:t>Pediatrisilla potilailla, joilla on m</w:t>
      </w:r>
      <w:r w:rsidRPr="00912A5D">
        <w:rPr>
          <w:color w:val="000000"/>
          <w:szCs w:val="22"/>
          <w:lang w:val="fi-FI"/>
        </w:rPr>
        <w:t>yelodysplasti</w:t>
      </w:r>
      <w:r>
        <w:rPr>
          <w:color w:val="000000"/>
          <w:szCs w:val="22"/>
          <w:lang w:val="fi-FI"/>
        </w:rPr>
        <w:t>nen</w:t>
      </w:r>
      <w:r w:rsidRPr="00912A5D">
        <w:rPr>
          <w:color w:val="000000"/>
          <w:szCs w:val="22"/>
          <w:lang w:val="fi-FI"/>
        </w:rPr>
        <w:t xml:space="preserve"> oireyhtymä</w:t>
      </w:r>
      <w:r>
        <w:rPr>
          <w:color w:val="000000"/>
          <w:szCs w:val="22"/>
          <w:lang w:val="fi-FI"/>
        </w:rPr>
        <w:t>/</w:t>
      </w:r>
      <w:r w:rsidRPr="00912A5D">
        <w:rPr>
          <w:color w:val="000000"/>
          <w:szCs w:val="22"/>
          <w:lang w:val="fi-FI"/>
        </w:rPr>
        <w:t>myeloproliferatiivi</w:t>
      </w:r>
      <w:r>
        <w:rPr>
          <w:color w:val="000000"/>
          <w:szCs w:val="22"/>
          <w:lang w:val="fi-FI"/>
        </w:rPr>
        <w:t>nen</w:t>
      </w:r>
      <w:r w:rsidRPr="00912A5D">
        <w:rPr>
          <w:color w:val="000000"/>
          <w:szCs w:val="22"/>
          <w:lang w:val="fi-FI"/>
        </w:rPr>
        <w:t xml:space="preserve"> sairau</w:t>
      </w:r>
      <w:r>
        <w:rPr>
          <w:color w:val="000000"/>
          <w:szCs w:val="22"/>
          <w:lang w:val="fi-FI"/>
        </w:rPr>
        <w:t>s,</w:t>
      </w:r>
      <w:r w:rsidRPr="00C3684E">
        <w:rPr>
          <w:color w:val="000000"/>
          <w:szCs w:val="22"/>
          <w:lang w:val="fi-FI"/>
        </w:rPr>
        <w:t xml:space="preserve"> </w:t>
      </w:r>
      <w:r>
        <w:rPr>
          <w:color w:val="000000"/>
          <w:szCs w:val="22"/>
          <w:lang w:val="fi-FI"/>
        </w:rPr>
        <w:t xml:space="preserve">ei ole tehty kontrolloituja kliinisiä tutkimuksia. Viisi MDS/MPD-tapausta, joihin liittyi </w:t>
      </w:r>
      <w:r w:rsidRPr="00912A5D">
        <w:rPr>
          <w:color w:val="000000"/>
          <w:szCs w:val="22"/>
          <w:lang w:val="fi-FI"/>
        </w:rPr>
        <w:t>PDGFR</w:t>
      </w:r>
      <w:r>
        <w:rPr>
          <w:color w:val="000000"/>
          <w:szCs w:val="22"/>
          <w:lang w:val="fi-FI"/>
        </w:rPr>
        <w:t>-geenin</w:t>
      </w:r>
      <w:r w:rsidRPr="00912A5D">
        <w:rPr>
          <w:color w:val="000000"/>
          <w:szCs w:val="22"/>
          <w:lang w:val="fi-FI"/>
        </w:rPr>
        <w:t xml:space="preserve"> uudelleenjärjestäytymis</w:t>
      </w:r>
      <w:r>
        <w:rPr>
          <w:color w:val="000000"/>
          <w:szCs w:val="22"/>
          <w:lang w:val="fi-FI"/>
        </w:rPr>
        <w:t>tä, on raportoitu neljässä eri julkaisussa</w:t>
      </w:r>
      <w:r w:rsidRPr="00912A5D">
        <w:rPr>
          <w:color w:val="000000"/>
          <w:szCs w:val="22"/>
          <w:lang w:val="fi-FI"/>
        </w:rPr>
        <w:t>.</w:t>
      </w:r>
      <w:r>
        <w:rPr>
          <w:color w:val="000000"/>
          <w:szCs w:val="22"/>
          <w:lang w:val="fi-FI"/>
        </w:rPr>
        <w:t xml:space="preserve"> Nämä potilaat olivat iältään 3 kk – 4 vuotta ja imatinibia annettiin annoksin 50 mg/vrk tai 92,5</w:t>
      </w:r>
      <w:r>
        <w:rPr>
          <w:color w:val="000000"/>
          <w:szCs w:val="22"/>
          <w:lang w:val="fi-FI"/>
        </w:rPr>
        <w:noBreakHyphen/>
        <w:t>340 mg/m</w:t>
      </w:r>
      <w:r w:rsidRPr="00933AD7">
        <w:rPr>
          <w:color w:val="000000"/>
          <w:szCs w:val="22"/>
          <w:vertAlign w:val="superscript"/>
          <w:lang w:val="fi-FI"/>
        </w:rPr>
        <w:t>2</w:t>
      </w:r>
      <w:r>
        <w:rPr>
          <w:color w:val="000000"/>
          <w:szCs w:val="22"/>
          <w:lang w:val="fi-FI"/>
        </w:rPr>
        <w:t>/vrk. Kaikki potilaat saavuttivat täydellisen hematologisen vasteen, sytogeneettisen vasteen ja/tai kliinisen vasteen.</w:t>
      </w:r>
    </w:p>
    <w:p w14:paraId="586FC8F9" w14:textId="77777777" w:rsidR="00311DC5" w:rsidRDefault="00311DC5" w:rsidP="00311DC5">
      <w:pPr>
        <w:pStyle w:val="EndnoteText"/>
        <w:widowControl w:val="0"/>
        <w:tabs>
          <w:tab w:val="clear" w:pos="567"/>
        </w:tabs>
        <w:rPr>
          <w:color w:val="000000"/>
          <w:szCs w:val="22"/>
          <w:u w:val="single"/>
          <w:lang w:val="fi-FI"/>
        </w:rPr>
      </w:pPr>
    </w:p>
    <w:p w14:paraId="586FC8FA"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u w:val="single"/>
          <w:lang w:val="fi-FI"/>
        </w:rPr>
        <w:t>Kliiniset tutkimukset koskien hypereosinofiilista oireyhtymää (HES)/kroonista eosinofiilistä leukemiaa (</w:t>
      </w:r>
      <w:smartTag w:uri="urn:schemas-microsoft-com:office:smarttags" w:element="State">
        <w:r w:rsidRPr="00912A5D">
          <w:rPr>
            <w:color w:val="000000"/>
            <w:szCs w:val="22"/>
            <w:u w:val="single"/>
            <w:lang w:val="fi-FI"/>
          </w:rPr>
          <w:t>CEL</w:t>
        </w:r>
      </w:smartTag>
      <w:r w:rsidRPr="00912A5D">
        <w:rPr>
          <w:color w:val="000000"/>
          <w:szCs w:val="22"/>
          <w:u w:val="single"/>
          <w:lang w:val="fi-FI"/>
        </w:rPr>
        <w:t>)</w:t>
      </w:r>
    </w:p>
    <w:p w14:paraId="586FC8FB" w14:textId="77777777" w:rsidR="00311DC5" w:rsidRPr="00912A5D" w:rsidRDefault="00311DC5" w:rsidP="00311DC5">
      <w:pPr>
        <w:pStyle w:val="Text"/>
        <w:spacing w:before="0"/>
        <w:jc w:val="left"/>
        <w:rPr>
          <w:color w:val="000000"/>
          <w:sz w:val="22"/>
          <w:szCs w:val="22"/>
          <w:lang w:val="fi-FI"/>
        </w:rPr>
      </w:pPr>
      <w:r w:rsidRPr="00912A5D">
        <w:rPr>
          <w:color w:val="000000"/>
          <w:sz w:val="22"/>
          <w:szCs w:val="22"/>
          <w:lang w:val="fi-FI" w:eastAsia="ja-JP"/>
        </w:rPr>
        <w:t xml:space="preserve">Yhdessä avoimessa vaiheen II kliinisessä monikeskustutkimuksessa (tutkimus B2225) Gliveciä annettiin monentyyppisille potilaille, joilla oli hengenvaarallisia sairauksia liittyneenä Abl-, Kit- tai PDGFR-proteiinityrosiinikinaaseihin. Tässä tutkimuksessa 14 potilasta, joilla oli </w:t>
      </w:r>
      <w:r w:rsidRPr="00912A5D">
        <w:rPr>
          <w:color w:val="000000"/>
          <w:sz w:val="22"/>
          <w:szCs w:val="22"/>
          <w:lang w:val="fi-FI"/>
        </w:rPr>
        <w:t>hypereosinofiilinen oireyhtymä/krooninen eosinofiilinen leukemia, sai Gliveciä annoksena 100</w:t>
      </w:r>
      <w:r w:rsidRPr="00912A5D">
        <w:rPr>
          <w:color w:val="000000"/>
          <w:sz w:val="22"/>
          <w:szCs w:val="22"/>
          <w:lang w:val="fi-FI"/>
        </w:rPr>
        <w:noBreakHyphen/>
        <w:t>1 000 mg/vrk.</w:t>
      </w:r>
      <w:r w:rsidRPr="00912A5D">
        <w:rPr>
          <w:color w:val="000000"/>
          <w:sz w:val="22"/>
          <w:szCs w:val="22"/>
          <w:lang w:val="fi-FI" w:eastAsia="ja-JP"/>
        </w:rPr>
        <w:t xml:space="preserve"> Lisäksi 35 julkaistussa tapauskertomuksessa ja tapaussarjassa on annettu tietoa 162 potilaasta, joilla oli </w:t>
      </w:r>
      <w:r w:rsidRPr="00912A5D">
        <w:rPr>
          <w:color w:val="000000"/>
          <w:sz w:val="22"/>
          <w:szCs w:val="22"/>
          <w:lang w:val="fi-FI"/>
        </w:rPr>
        <w:t>hypereosinofiilinen oireyhtymä/krooninen eosinofiilinen leukemia ja jotka saivat Gliveciä annoksena 75</w:t>
      </w:r>
      <w:r w:rsidRPr="00912A5D">
        <w:rPr>
          <w:color w:val="000000"/>
          <w:sz w:val="22"/>
          <w:szCs w:val="22"/>
          <w:lang w:val="fi-FI"/>
        </w:rPr>
        <w:noBreakHyphen/>
        <w:t xml:space="preserve">800 mg/vrk. Sytogeneettiset poikkeavuudet arvioitiin tässä 176 potilaan kokonaispopulaatiossa 117 potilaalta. Näistä 117 potilaasta 61 todettiin FIP1L1-PDGFRα-fuusiokinaasipositiivisiksi. Kolmessa muussa julkaistussa raportissa on kuvattu vielä 4 hypereosinofiilista oireyhtymää sairastavaa potilasta, jotka todettiin FIP1L1-PDGFRα-positiivisiksi. Kaikki 65 FIP1L1-PDGFRα-fuusiokinaasipositiivista potilasta saavuttivat täydellisen hematologisen vasteen, joka säilyi kuukausien ajan (vaihteluväli 1+ – 44+ kuukautta raportointivaiheeseen mennessä). Erään tuoreen julkaisun tietojen mukaan näistä 65 potilaasta 21 saavutti myös täydellisen molekulaarisen remission. </w:t>
      </w:r>
      <w:r w:rsidRPr="00912A5D">
        <w:rPr>
          <w:color w:val="000000"/>
          <w:sz w:val="22"/>
          <w:szCs w:val="22"/>
          <w:lang w:val="fi-FI"/>
        </w:rPr>
        <w:lastRenderedPageBreak/>
        <w:t>Seuranta-ajan mediaani oli 28 kuukautta (vaihteluväli 13</w:t>
      </w:r>
      <w:r w:rsidRPr="00912A5D">
        <w:rPr>
          <w:color w:val="000000"/>
          <w:sz w:val="22"/>
          <w:szCs w:val="22"/>
          <w:lang w:val="fi-FI"/>
        </w:rPr>
        <w:noBreakHyphen/>
        <w:t>67 kuukautta). Nämä potilaat olivat 25</w:t>
      </w:r>
      <w:r w:rsidRPr="00912A5D">
        <w:rPr>
          <w:color w:val="000000"/>
          <w:sz w:val="22"/>
          <w:szCs w:val="22"/>
          <w:lang w:val="fi-FI"/>
        </w:rPr>
        <w:noBreakHyphen/>
        <w:t>72-vuotiaita. Tutkijat ovat raportoineet tapauskertomuksissa myös oireiston ja elinten toimintahäiriöiden paranemista. Paranemista raportoitiin seuraavissa elinjärjestelmissä: sydän, hermosto, iho/ihonalaiskudokset, hengityselimet/rintakehä/välikarsina, tuki- ja liikuntaelimistö/sidekudokset/verisuonet sekä ruoansulatuskanava.</w:t>
      </w:r>
    </w:p>
    <w:p w14:paraId="586FC8FC" w14:textId="77777777" w:rsidR="00311DC5" w:rsidRDefault="00311DC5" w:rsidP="00311DC5">
      <w:pPr>
        <w:pStyle w:val="Text"/>
        <w:spacing w:before="0"/>
        <w:jc w:val="left"/>
        <w:rPr>
          <w:color w:val="000000"/>
          <w:sz w:val="22"/>
          <w:szCs w:val="22"/>
          <w:lang w:val="fi-FI"/>
        </w:rPr>
      </w:pPr>
    </w:p>
    <w:p w14:paraId="586FC8FD" w14:textId="77777777" w:rsidR="00311DC5" w:rsidRDefault="00311DC5" w:rsidP="00311DC5">
      <w:pPr>
        <w:pStyle w:val="EndnoteText"/>
        <w:widowControl w:val="0"/>
        <w:tabs>
          <w:tab w:val="clear" w:pos="567"/>
        </w:tabs>
        <w:rPr>
          <w:color w:val="000000"/>
          <w:szCs w:val="22"/>
          <w:lang w:val="fi-FI"/>
        </w:rPr>
      </w:pPr>
      <w:r>
        <w:rPr>
          <w:color w:val="000000"/>
          <w:szCs w:val="22"/>
          <w:lang w:val="fi-FI"/>
        </w:rPr>
        <w:t xml:space="preserve">Kontrolloituja tutkimuksia </w:t>
      </w:r>
      <w:r w:rsidRPr="00912A5D">
        <w:rPr>
          <w:color w:val="000000"/>
          <w:szCs w:val="22"/>
          <w:lang w:val="fi-FI"/>
        </w:rPr>
        <w:t>hypereosinofiili</w:t>
      </w:r>
      <w:r>
        <w:rPr>
          <w:color w:val="000000"/>
          <w:szCs w:val="22"/>
          <w:lang w:val="fi-FI"/>
        </w:rPr>
        <w:t>sta</w:t>
      </w:r>
      <w:r w:rsidRPr="00912A5D">
        <w:rPr>
          <w:color w:val="000000"/>
          <w:szCs w:val="22"/>
          <w:lang w:val="fi-FI"/>
        </w:rPr>
        <w:t xml:space="preserve"> oireyhtymä</w:t>
      </w:r>
      <w:r>
        <w:rPr>
          <w:color w:val="000000"/>
          <w:szCs w:val="22"/>
          <w:lang w:val="fi-FI"/>
        </w:rPr>
        <w:t>ä</w:t>
      </w:r>
      <w:r w:rsidRPr="00912A5D">
        <w:rPr>
          <w:color w:val="000000"/>
          <w:szCs w:val="22"/>
          <w:lang w:val="fi-FI"/>
        </w:rPr>
        <w:t xml:space="preserve"> tai krooni</w:t>
      </w:r>
      <w:r>
        <w:rPr>
          <w:color w:val="000000"/>
          <w:szCs w:val="22"/>
          <w:lang w:val="fi-FI"/>
        </w:rPr>
        <w:t>sta</w:t>
      </w:r>
      <w:r w:rsidRPr="00912A5D">
        <w:rPr>
          <w:color w:val="000000"/>
          <w:szCs w:val="22"/>
          <w:lang w:val="fi-FI"/>
        </w:rPr>
        <w:t xml:space="preserve"> eosinofiili</w:t>
      </w:r>
      <w:r>
        <w:rPr>
          <w:color w:val="000000"/>
          <w:szCs w:val="22"/>
          <w:lang w:val="fi-FI"/>
        </w:rPr>
        <w:t>sta</w:t>
      </w:r>
      <w:r w:rsidRPr="00912A5D">
        <w:rPr>
          <w:color w:val="000000"/>
          <w:szCs w:val="22"/>
          <w:lang w:val="fi-FI"/>
        </w:rPr>
        <w:t xml:space="preserve"> leukemia</w:t>
      </w:r>
      <w:r>
        <w:rPr>
          <w:color w:val="000000"/>
          <w:szCs w:val="22"/>
          <w:lang w:val="fi-FI"/>
        </w:rPr>
        <w:t xml:space="preserve">a sairastavilla pediatrisilla potilailla ei ole tehty. Kolme potilasta, joilla oli </w:t>
      </w:r>
      <w:r w:rsidRPr="001E6A99">
        <w:rPr>
          <w:color w:val="000000"/>
          <w:szCs w:val="22"/>
          <w:lang w:val="fi-FI"/>
        </w:rPr>
        <w:t>hypereosinofiili</w:t>
      </w:r>
      <w:r>
        <w:rPr>
          <w:color w:val="000000"/>
          <w:szCs w:val="22"/>
          <w:lang w:val="fi-FI"/>
        </w:rPr>
        <w:t>nen</w:t>
      </w:r>
      <w:r w:rsidRPr="001E6A99">
        <w:rPr>
          <w:color w:val="000000"/>
          <w:szCs w:val="22"/>
          <w:lang w:val="fi-FI"/>
        </w:rPr>
        <w:t xml:space="preserve"> oireyhtymä </w:t>
      </w:r>
      <w:r>
        <w:rPr>
          <w:color w:val="000000"/>
          <w:szCs w:val="22"/>
          <w:lang w:val="fi-FI"/>
        </w:rPr>
        <w:t xml:space="preserve">ja </w:t>
      </w:r>
      <w:r w:rsidRPr="001E6A99">
        <w:rPr>
          <w:color w:val="000000"/>
          <w:szCs w:val="22"/>
          <w:lang w:val="fi-FI"/>
        </w:rPr>
        <w:t>krooni</w:t>
      </w:r>
      <w:r>
        <w:rPr>
          <w:color w:val="000000"/>
          <w:szCs w:val="22"/>
          <w:lang w:val="fi-FI"/>
        </w:rPr>
        <w:t>nen</w:t>
      </w:r>
      <w:r w:rsidRPr="001E6A99">
        <w:rPr>
          <w:color w:val="000000"/>
          <w:szCs w:val="22"/>
          <w:lang w:val="fi-FI"/>
        </w:rPr>
        <w:t xml:space="preserve"> eosinofiili</w:t>
      </w:r>
      <w:r>
        <w:rPr>
          <w:color w:val="000000"/>
          <w:szCs w:val="22"/>
          <w:lang w:val="fi-FI"/>
        </w:rPr>
        <w:t>nen</w:t>
      </w:r>
      <w:r w:rsidRPr="001E6A99">
        <w:rPr>
          <w:color w:val="000000"/>
          <w:szCs w:val="22"/>
          <w:lang w:val="fi-FI"/>
        </w:rPr>
        <w:t xml:space="preserve"> leukemia</w:t>
      </w:r>
      <w:r>
        <w:rPr>
          <w:color w:val="000000"/>
          <w:szCs w:val="22"/>
          <w:lang w:val="fi-FI"/>
        </w:rPr>
        <w:t xml:space="preserve">, joihin liittyi </w:t>
      </w:r>
      <w:r w:rsidRPr="001E6A99">
        <w:rPr>
          <w:color w:val="000000"/>
          <w:szCs w:val="22"/>
          <w:lang w:val="fi-FI"/>
        </w:rPr>
        <w:t>PDGFR</w:t>
      </w:r>
      <w:r>
        <w:rPr>
          <w:color w:val="000000"/>
          <w:szCs w:val="22"/>
          <w:lang w:val="fi-FI"/>
        </w:rPr>
        <w:t>-geenin</w:t>
      </w:r>
      <w:r w:rsidRPr="001E6A99">
        <w:rPr>
          <w:color w:val="000000"/>
          <w:szCs w:val="22"/>
          <w:lang w:val="fi-FI"/>
        </w:rPr>
        <w:t xml:space="preserve"> uudelleenjärjestäytymis</w:t>
      </w:r>
      <w:r>
        <w:rPr>
          <w:color w:val="000000"/>
          <w:szCs w:val="22"/>
          <w:lang w:val="fi-FI"/>
        </w:rPr>
        <w:t>tä, on raportoitu kolmessa julkaisussa. Nämä potilaat olivat 2</w:t>
      </w:r>
      <w:r>
        <w:rPr>
          <w:color w:val="000000"/>
          <w:szCs w:val="22"/>
          <w:lang w:val="fi-FI"/>
        </w:rPr>
        <w:noBreakHyphen/>
        <w:t>16-vuotiaita ja imatinibia annettiin annoksin</w:t>
      </w:r>
      <w:r w:rsidRPr="000B122B">
        <w:rPr>
          <w:color w:val="000000"/>
          <w:szCs w:val="22"/>
          <w:lang w:val="fi-FI"/>
        </w:rPr>
        <w:t xml:space="preserve"> </w:t>
      </w:r>
      <w:r>
        <w:rPr>
          <w:color w:val="000000"/>
          <w:szCs w:val="22"/>
          <w:lang w:val="fi-FI"/>
        </w:rPr>
        <w:t>300 mg/m</w:t>
      </w:r>
      <w:r w:rsidRPr="001E6A99">
        <w:rPr>
          <w:color w:val="000000"/>
          <w:szCs w:val="22"/>
          <w:vertAlign w:val="superscript"/>
          <w:lang w:val="fi-FI"/>
        </w:rPr>
        <w:t>2</w:t>
      </w:r>
      <w:r>
        <w:rPr>
          <w:color w:val="000000"/>
          <w:szCs w:val="22"/>
          <w:lang w:val="fi-FI"/>
        </w:rPr>
        <w:t>/vrk tai 200</w:t>
      </w:r>
      <w:r>
        <w:rPr>
          <w:color w:val="000000"/>
          <w:szCs w:val="22"/>
          <w:lang w:val="fi-FI"/>
        </w:rPr>
        <w:noBreakHyphen/>
        <w:t>400 mg/vrk. Kaikki potilaat saavuttivat täydellisen hematologisen vasteen, täydellisen sytogeneettisen vasteen ja/tai täydellisen molekulaarisen vasteen.</w:t>
      </w:r>
    </w:p>
    <w:p w14:paraId="586FC8FE" w14:textId="77777777" w:rsidR="00311DC5" w:rsidRPr="00912A5D" w:rsidRDefault="00311DC5" w:rsidP="00311DC5">
      <w:pPr>
        <w:pStyle w:val="EndnoteText"/>
        <w:widowControl w:val="0"/>
        <w:tabs>
          <w:tab w:val="clear" w:pos="567"/>
        </w:tabs>
        <w:rPr>
          <w:color w:val="000000"/>
          <w:szCs w:val="22"/>
          <w:u w:val="single"/>
          <w:lang w:val="fi-FI"/>
        </w:rPr>
      </w:pPr>
    </w:p>
    <w:p w14:paraId="586FC8FF" w14:textId="77777777" w:rsidR="00311DC5" w:rsidRPr="00757264" w:rsidRDefault="00311DC5" w:rsidP="00331A48">
      <w:pPr>
        <w:pStyle w:val="EndnoteText"/>
        <w:keepNext/>
        <w:widowControl w:val="0"/>
        <w:tabs>
          <w:tab w:val="clear" w:pos="567"/>
        </w:tabs>
        <w:rPr>
          <w:color w:val="000000"/>
          <w:szCs w:val="22"/>
          <w:u w:val="single"/>
          <w:lang w:val="fi-FI"/>
        </w:rPr>
      </w:pPr>
      <w:r w:rsidRPr="00912A5D">
        <w:rPr>
          <w:color w:val="000000"/>
          <w:szCs w:val="22"/>
          <w:u w:val="single"/>
          <w:lang w:val="fi-FI"/>
        </w:rPr>
        <w:t>Kliininen tutkimus koskien ruuansulatuskanavan stroomakasvaimia (GIST</w:t>
      </w:r>
      <w:r w:rsidRPr="00757264">
        <w:rPr>
          <w:color w:val="000000"/>
          <w:szCs w:val="22"/>
          <w:u w:val="single"/>
          <w:lang w:val="fi-FI"/>
        </w:rPr>
        <w:t>),</w:t>
      </w:r>
      <w:r w:rsidRPr="00757264">
        <w:rPr>
          <w:szCs w:val="22"/>
          <w:u w:val="single"/>
          <w:lang w:val="fi-FI"/>
        </w:rPr>
        <w:t xml:space="preserve"> jota ei voida leikata ja/tai joka on metastasoitunut</w:t>
      </w:r>
    </w:p>
    <w:p w14:paraId="586FC900"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Pahanlaatuista ruuansulatuskanavan stroomakasvainta (GIST), jota ei voida leikata ja/tai joka on metastasoitunut, sairastavilla potilailla suoritettiin yksi II vaiheen, avoin, kontrolloimaton, satunnaistettu, kansainvälinen tutkimus. Tutkimukseen otettiin 147 potilasta, jotka satunnaistettiin saamaan suun kautta joko 400 mg tai 600 mg imatinibia kerran vuorokaudessa 36 kuukauden ajan. Potilaat olivat 18–83-vuotiaita ja heillä oli histologisesti todettu Kit-positiivinen pahanlaatuinen GIST, jota ei voitu leikata ja/tai joka oli metastasoitunut. Immunohistokemiallinen määritys suoritettiin rutiininomaisesti Kit vasta-aineella (A-4502, kaniinin polyklonaalinen antiseerumi, 1:100; DAKO Corporation, Carpinteria, CA). Antigeenin eristämisen jälkeinen analyysi perustui avidiini-biotiini-peroksidaasi-kompleksi-menetelmään.</w:t>
      </w:r>
    </w:p>
    <w:p w14:paraId="586FC901" w14:textId="77777777" w:rsidR="00311DC5" w:rsidRPr="00912A5D" w:rsidRDefault="00311DC5" w:rsidP="00311DC5">
      <w:pPr>
        <w:pStyle w:val="EndnoteText"/>
        <w:widowControl w:val="0"/>
        <w:tabs>
          <w:tab w:val="clear" w:pos="567"/>
        </w:tabs>
        <w:rPr>
          <w:color w:val="000000"/>
          <w:szCs w:val="22"/>
          <w:lang w:val="fi-FI"/>
        </w:rPr>
      </w:pPr>
    </w:p>
    <w:p w14:paraId="586FC902"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Ensisijainen tehon osoitus perustui objektiivisten vasteiden määrään. Kasvainten piti olla mitattavissa ainakin yhdellä kasvainalueella ja vasteen luokittelu perustui SWOG-kriteeriin (Southwestern Oncology Group). Tulokset on esitetty Taulukossa </w:t>
      </w:r>
      <w:r w:rsidR="0086657A">
        <w:rPr>
          <w:color w:val="000000"/>
          <w:szCs w:val="22"/>
          <w:lang w:val="fi-FI"/>
        </w:rPr>
        <w:t>6</w:t>
      </w:r>
      <w:r w:rsidRPr="00912A5D">
        <w:rPr>
          <w:color w:val="000000"/>
          <w:szCs w:val="22"/>
          <w:lang w:val="fi-FI"/>
        </w:rPr>
        <w:t>.</w:t>
      </w:r>
    </w:p>
    <w:p w14:paraId="586FC903" w14:textId="77777777" w:rsidR="00311DC5" w:rsidRPr="00912A5D" w:rsidRDefault="00311DC5" w:rsidP="00311DC5">
      <w:pPr>
        <w:pStyle w:val="EndnoteText"/>
        <w:widowControl w:val="0"/>
        <w:tabs>
          <w:tab w:val="clear" w:pos="567"/>
        </w:tabs>
        <w:rPr>
          <w:color w:val="000000"/>
          <w:szCs w:val="22"/>
          <w:lang w:val="fi-FI"/>
        </w:rPr>
      </w:pPr>
    </w:p>
    <w:p w14:paraId="586FC904" w14:textId="77777777" w:rsidR="00311DC5" w:rsidRPr="00912A5D" w:rsidRDefault="00311DC5" w:rsidP="00331A48">
      <w:pPr>
        <w:pStyle w:val="EndnoteText"/>
        <w:keepNext/>
        <w:widowControl w:val="0"/>
        <w:tabs>
          <w:tab w:val="clear" w:pos="567"/>
        </w:tabs>
        <w:ind w:left="1418" w:hanging="1418"/>
        <w:rPr>
          <w:color w:val="000000"/>
          <w:szCs w:val="22"/>
          <w:lang w:val="fi-FI"/>
        </w:rPr>
      </w:pPr>
      <w:r w:rsidRPr="00912A5D">
        <w:rPr>
          <w:b/>
          <w:color w:val="000000"/>
          <w:szCs w:val="22"/>
          <w:lang w:val="fi-FI"/>
        </w:rPr>
        <w:t>Taulukko </w:t>
      </w:r>
      <w:r w:rsidR="0086657A">
        <w:rPr>
          <w:b/>
          <w:color w:val="000000"/>
          <w:szCs w:val="22"/>
          <w:lang w:val="fi-FI"/>
        </w:rPr>
        <w:t>6</w:t>
      </w:r>
      <w:r w:rsidRPr="00912A5D">
        <w:rPr>
          <w:b/>
          <w:color w:val="000000"/>
          <w:szCs w:val="22"/>
          <w:lang w:val="fi-FI"/>
        </w:rPr>
        <w:tab/>
        <w:t>Paras hoitovaste (kasvaimiin) GIST-tutkimuksessa STIB2222</w:t>
      </w:r>
    </w:p>
    <w:p w14:paraId="586FC905" w14:textId="77777777" w:rsidR="00311DC5" w:rsidRPr="00912A5D" w:rsidRDefault="00311DC5" w:rsidP="00331A48">
      <w:pPr>
        <w:pStyle w:val="EndnoteText"/>
        <w:keepNext/>
        <w:widowControl w:val="0"/>
        <w:tabs>
          <w:tab w:val="clear" w:pos="567"/>
        </w:tabs>
        <w:rPr>
          <w:color w:val="000000"/>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311DC5" w:rsidRPr="00912A5D" w14:paraId="586FC90E" w14:textId="77777777" w:rsidTr="00331A48">
        <w:trPr>
          <w:cantSplit/>
        </w:trPr>
        <w:tc>
          <w:tcPr>
            <w:tcW w:w="4643" w:type="dxa"/>
            <w:tcBorders>
              <w:bottom w:val="nil"/>
            </w:tcBorders>
          </w:tcPr>
          <w:p w14:paraId="586FC906" w14:textId="77777777" w:rsidR="00311DC5" w:rsidRPr="00912A5D" w:rsidRDefault="00311DC5" w:rsidP="00331A48">
            <w:pPr>
              <w:pStyle w:val="EndnoteText"/>
              <w:keepNext/>
              <w:widowControl w:val="0"/>
              <w:tabs>
                <w:tab w:val="clear" w:pos="567"/>
              </w:tabs>
              <w:rPr>
                <w:color w:val="000000"/>
                <w:szCs w:val="22"/>
                <w:lang w:val="fi-FI"/>
              </w:rPr>
            </w:pPr>
          </w:p>
          <w:p w14:paraId="586FC907" w14:textId="77777777" w:rsidR="00311DC5" w:rsidRPr="00912A5D" w:rsidRDefault="00311DC5" w:rsidP="00331A48">
            <w:pPr>
              <w:pStyle w:val="EndnoteText"/>
              <w:keepNext/>
              <w:widowControl w:val="0"/>
              <w:tabs>
                <w:tab w:val="clear" w:pos="567"/>
              </w:tabs>
              <w:rPr>
                <w:color w:val="000000"/>
                <w:szCs w:val="22"/>
                <w:lang w:val="fi-FI"/>
              </w:rPr>
            </w:pPr>
          </w:p>
          <w:p w14:paraId="586FC908" w14:textId="77777777" w:rsidR="00311DC5" w:rsidRPr="00912A5D" w:rsidRDefault="00311DC5" w:rsidP="00331A48">
            <w:pPr>
              <w:pStyle w:val="EndnoteText"/>
              <w:keepNext/>
              <w:widowControl w:val="0"/>
              <w:tabs>
                <w:tab w:val="clear" w:pos="567"/>
              </w:tabs>
              <w:rPr>
                <w:color w:val="000000"/>
                <w:szCs w:val="22"/>
                <w:lang w:val="fi-FI"/>
              </w:rPr>
            </w:pPr>
          </w:p>
          <w:p w14:paraId="586FC909"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lang w:val="fi-FI"/>
              </w:rPr>
              <w:t>Paras hoitovaste</w:t>
            </w:r>
          </w:p>
        </w:tc>
        <w:tc>
          <w:tcPr>
            <w:tcW w:w="4643" w:type="dxa"/>
            <w:tcBorders>
              <w:bottom w:val="nil"/>
            </w:tcBorders>
          </w:tcPr>
          <w:p w14:paraId="586FC90A"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Kaikki annokset (n=147)</w:t>
            </w:r>
          </w:p>
          <w:p w14:paraId="586FC90B"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400 mg (n=73)</w:t>
            </w:r>
          </w:p>
          <w:p w14:paraId="586FC90C"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600 mg (n=74)</w:t>
            </w:r>
          </w:p>
          <w:p w14:paraId="586FC90D"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color w:val="000000"/>
                <w:szCs w:val="22"/>
                <w:lang w:val="fi-FI"/>
              </w:rPr>
              <w:t>n (%)</w:t>
            </w:r>
          </w:p>
        </w:tc>
      </w:tr>
      <w:tr w:rsidR="00311DC5" w:rsidRPr="00912A5D" w14:paraId="586FC911" w14:textId="77777777" w:rsidTr="00331A48">
        <w:trPr>
          <w:cantSplit/>
        </w:trPr>
        <w:tc>
          <w:tcPr>
            <w:tcW w:w="4643" w:type="dxa"/>
            <w:tcBorders>
              <w:bottom w:val="nil"/>
            </w:tcBorders>
          </w:tcPr>
          <w:p w14:paraId="586FC90F"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lang w:val="fi-FI"/>
              </w:rPr>
              <w:t>Täydellinen vaste</w:t>
            </w:r>
          </w:p>
        </w:tc>
        <w:tc>
          <w:tcPr>
            <w:tcW w:w="4643" w:type="dxa"/>
            <w:tcBorders>
              <w:bottom w:val="nil"/>
            </w:tcBorders>
          </w:tcPr>
          <w:p w14:paraId="586FC910"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rFonts w:eastAsia="MS Mincho"/>
                <w:color w:val="000000"/>
                <w:szCs w:val="22"/>
              </w:rPr>
              <w:t>1 (0,7)</w:t>
            </w:r>
          </w:p>
        </w:tc>
      </w:tr>
      <w:tr w:rsidR="00311DC5" w:rsidRPr="00912A5D" w14:paraId="586FC914" w14:textId="77777777" w:rsidTr="00331A48">
        <w:trPr>
          <w:cantSplit/>
        </w:trPr>
        <w:tc>
          <w:tcPr>
            <w:tcW w:w="4643" w:type="dxa"/>
            <w:tcBorders>
              <w:top w:val="nil"/>
              <w:bottom w:val="nil"/>
            </w:tcBorders>
          </w:tcPr>
          <w:p w14:paraId="586FC912"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lang w:val="fi-FI"/>
              </w:rPr>
              <w:t>Osittainen vaste</w:t>
            </w:r>
          </w:p>
        </w:tc>
        <w:tc>
          <w:tcPr>
            <w:tcW w:w="4643" w:type="dxa"/>
            <w:tcBorders>
              <w:top w:val="nil"/>
              <w:bottom w:val="nil"/>
            </w:tcBorders>
          </w:tcPr>
          <w:p w14:paraId="586FC913"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rFonts w:eastAsia="MS Mincho"/>
                <w:color w:val="000000"/>
                <w:szCs w:val="22"/>
              </w:rPr>
              <w:t>98 (66,7)</w:t>
            </w:r>
          </w:p>
        </w:tc>
      </w:tr>
      <w:tr w:rsidR="00311DC5" w:rsidRPr="00912A5D" w14:paraId="586FC917" w14:textId="77777777" w:rsidTr="00331A48">
        <w:trPr>
          <w:cantSplit/>
        </w:trPr>
        <w:tc>
          <w:tcPr>
            <w:tcW w:w="4643" w:type="dxa"/>
            <w:tcBorders>
              <w:top w:val="nil"/>
              <w:bottom w:val="nil"/>
            </w:tcBorders>
          </w:tcPr>
          <w:p w14:paraId="586FC915"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lang w:val="fi-FI"/>
              </w:rPr>
              <w:t>Vakiintunut sairaus</w:t>
            </w:r>
          </w:p>
        </w:tc>
        <w:tc>
          <w:tcPr>
            <w:tcW w:w="4643" w:type="dxa"/>
            <w:tcBorders>
              <w:top w:val="nil"/>
              <w:bottom w:val="nil"/>
            </w:tcBorders>
          </w:tcPr>
          <w:p w14:paraId="586FC916"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rFonts w:eastAsia="MS Mincho"/>
                <w:color w:val="000000"/>
                <w:szCs w:val="22"/>
              </w:rPr>
              <w:t>23 (15,6)</w:t>
            </w:r>
          </w:p>
        </w:tc>
      </w:tr>
      <w:tr w:rsidR="00311DC5" w:rsidRPr="00912A5D" w14:paraId="586FC91A" w14:textId="77777777" w:rsidTr="00331A48">
        <w:trPr>
          <w:cantSplit/>
        </w:trPr>
        <w:tc>
          <w:tcPr>
            <w:tcW w:w="4643" w:type="dxa"/>
            <w:tcBorders>
              <w:top w:val="nil"/>
              <w:bottom w:val="nil"/>
            </w:tcBorders>
          </w:tcPr>
          <w:p w14:paraId="586FC918"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lang w:val="fi-FI"/>
              </w:rPr>
              <w:t>Etenevä sairaus</w:t>
            </w:r>
          </w:p>
        </w:tc>
        <w:tc>
          <w:tcPr>
            <w:tcW w:w="4643" w:type="dxa"/>
            <w:tcBorders>
              <w:top w:val="nil"/>
              <w:bottom w:val="nil"/>
            </w:tcBorders>
          </w:tcPr>
          <w:p w14:paraId="586FC919"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rFonts w:eastAsia="MS Mincho"/>
                <w:color w:val="000000"/>
                <w:szCs w:val="22"/>
              </w:rPr>
              <w:t>18 (12,2)</w:t>
            </w:r>
          </w:p>
        </w:tc>
      </w:tr>
      <w:tr w:rsidR="00311DC5" w:rsidRPr="00912A5D" w14:paraId="586FC91D" w14:textId="77777777" w:rsidTr="00331A48">
        <w:trPr>
          <w:cantSplit/>
        </w:trPr>
        <w:tc>
          <w:tcPr>
            <w:tcW w:w="4643" w:type="dxa"/>
            <w:tcBorders>
              <w:top w:val="nil"/>
              <w:bottom w:val="nil"/>
            </w:tcBorders>
          </w:tcPr>
          <w:p w14:paraId="586FC91B" w14:textId="77777777" w:rsidR="00311DC5" w:rsidRPr="00912A5D" w:rsidRDefault="00311DC5" w:rsidP="00331A48">
            <w:pPr>
              <w:pStyle w:val="EndnoteText"/>
              <w:keepNext/>
              <w:widowControl w:val="0"/>
              <w:tabs>
                <w:tab w:val="clear" w:pos="567"/>
              </w:tabs>
              <w:rPr>
                <w:color w:val="000000"/>
                <w:szCs w:val="22"/>
                <w:lang w:val="fi-FI"/>
              </w:rPr>
            </w:pPr>
            <w:r w:rsidRPr="00912A5D">
              <w:rPr>
                <w:color w:val="000000"/>
                <w:szCs w:val="22"/>
                <w:lang w:val="fi-FI"/>
              </w:rPr>
              <w:t>Ei mitattavissa</w:t>
            </w:r>
          </w:p>
        </w:tc>
        <w:tc>
          <w:tcPr>
            <w:tcW w:w="4643" w:type="dxa"/>
            <w:tcBorders>
              <w:top w:val="nil"/>
              <w:bottom w:val="nil"/>
            </w:tcBorders>
          </w:tcPr>
          <w:p w14:paraId="586FC91C" w14:textId="77777777" w:rsidR="00311DC5" w:rsidRPr="00912A5D" w:rsidRDefault="00311DC5" w:rsidP="00331A48">
            <w:pPr>
              <w:pStyle w:val="EndnoteText"/>
              <w:keepNext/>
              <w:widowControl w:val="0"/>
              <w:tabs>
                <w:tab w:val="clear" w:pos="567"/>
              </w:tabs>
              <w:jc w:val="center"/>
              <w:rPr>
                <w:color w:val="000000"/>
                <w:szCs w:val="22"/>
                <w:lang w:val="fi-FI"/>
              </w:rPr>
            </w:pPr>
            <w:r w:rsidRPr="00912A5D">
              <w:rPr>
                <w:rFonts w:eastAsia="MS Mincho"/>
                <w:color w:val="000000"/>
                <w:szCs w:val="22"/>
              </w:rPr>
              <w:t>5 (3,4)</w:t>
            </w:r>
          </w:p>
        </w:tc>
      </w:tr>
      <w:tr w:rsidR="00311DC5" w:rsidRPr="00912A5D" w14:paraId="586FC920" w14:textId="77777777" w:rsidTr="00331A48">
        <w:trPr>
          <w:cantSplit/>
        </w:trPr>
        <w:tc>
          <w:tcPr>
            <w:tcW w:w="4643" w:type="dxa"/>
            <w:tcBorders>
              <w:top w:val="nil"/>
            </w:tcBorders>
          </w:tcPr>
          <w:p w14:paraId="586FC91E" w14:textId="77777777" w:rsidR="00311DC5" w:rsidRPr="00912A5D" w:rsidRDefault="00311DC5" w:rsidP="008238ED">
            <w:pPr>
              <w:pStyle w:val="EndnoteText"/>
              <w:widowControl w:val="0"/>
              <w:tabs>
                <w:tab w:val="clear" w:pos="567"/>
              </w:tabs>
              <w:rPr>
                <w:color w:val="000000"/>
                <w:szCs w:val="22"/>
                <w:lang w:val="fi-FI"/>
              </w:rPr>
            </w:pPr>
            <w:r w:rsidRPr="00912A5D">
              <w:rPr>
                <w:color w:val="000000"/>
                <w:szCs w:val="22"/>
                <w:lang w:val="fi-FI"/>
              </w:rPr>
              <w:t>Tuntematon</w:t>
            </w:r>
          </w:p>
        </w:tc>
        <w:tc>
          <w:tcPr>
            <w:tcW w:w="4643" w:type="dxa"/>
            <w:tcBorders>
              <w:top w:val="nil"/>
            </w:tcBorders>
          </w:tcPr>
          <w:p w14:paraId="586FC91F" w14:textId="77777777" w:rsidR="00311DC5" w:rsidRPr="00912A5D" w:rsidRDefault="00311DC5" w:rsidP="008238ED">
            <w:pPr>
              <w:pStyle w:val="EndnoteText"/>
              <w:widowControl w:val="0"/>
              <w:tabs>
                <w:tab w:val="clear" w:pos="567"/>
              </w:tabs>
              <w:jc w:val="center"/>
              <w:rPr>
                <w:color w:val="000000"/>
                <w:szCs w:val="22"/>
                <w:lang w:val="fi-FI"/>
              </w:rPr>
            </w:pPr>
            <w:r w:rsidRPr="00912A5D">
              <w:rPr>
                <w:color w:val="000000"/>
                <w:szCs w:val="22"/>
                <w:lang w:val="fi-FI"/>
              </w:rPr>
              <w:t>2 (1,4)</w:t>
            </w:r>
          </w:p>
        </w:tc>
      </w:tr>
    </w:tbl>
    <w:p w14:paraId="586FC921" w14:textId="77777777" w:rsidR="00311DC5" w:rsidRPr="00912A5D" w:rsidRDefault="00311DC5" w:rsidP="00311DC5">
      <w:pPr>
        <w:pStyle w:val="EndnoteText"/>
        <w:widowControl w:val="0"/>
        <w:tabs>
          <w:tab w:val="clear" w:pos="567"/>
        </w:tabs>
        <w:rPr>
          <w:color w:val="000000"/>
          <w:szCs w:val="22"/>
          <w:lang w:val="fi-FI"/>
        </w:rPr>
      </w:pPr>
    </w:p>
    <w:p w14:paraId="586FC922" w14:textId="77777777" w:rsidR="00311DC5" w:rsidRPr="00912A5D" w:rsidRDefault="00311DC5" w:rsidP="00311DC5">
      <w:pPr>
        <w:pStyle w:val="EndnoteText"/>
        <w:widowControl w:val="0"/>
        <w:tabs>
          <w:tab w:val="clear" w:pos="567"/>
        </w:tabs>
        <w:rPr>
          <w:color w:val="000000"/>
          <w:szCs w:val="22"/>
          <w:lang w:val="fi-FI"/>
        </w:rPr>
      </w:pPr>
      <w:r w:rsidRPr="00912A5D">
        <w:rPr>
          <w:color w:val="000000"/>
          <w:szCs w:val="22"/>
          <w:lang w:val="fi-FI"/>
        </w:rPr>
        <w:t>Kahden annosryhmän välillä ei ollut eroja vasteiden määrissä. Huomattava osa potilaista, joilla oli vakiintunut sairaus välianalyysin aikaan, saavuttivat osittaisen vasteen pidemmällä hoidolla (mediaani seuranta-aika 31 kuukautta). Mediaaniaika vasteeseen oli 13 viikkoa 95 %:n luottamusväli 12–23). Mediaaniaika hoidon epäonnistumiseen hoitoon vastanneilla potilailla oli 122 viikkoa (95 %:n luottamusväli 106–147), kun se koko tutkimusjoukossa oli 84 viikkoa (95 %:n luottamusväli 71–109). Mediaania kokonaiskuolleisuutta ei ole vielä saavutettu. Kaplan-Meier estimaatti elossaololle 36 kuukauden seurannan jälkeen on 68 %.</w:t>
      </w:r>
    </w:p>
    <w:p w14:paraId="586FC923" w14:textId="77777777" w:rsidR="00311DC5" w:rsidRPr="00912A5D" w:rsidRDefault="00311DC5" w:rsidP="00311DC5">
      <w:pPr>
        <w:pStyle w:val="EndnoteText"/>
        <w:widowControl w:val="0"/>
        <w:tabs>
          <w:tab w:val="clear" w:pos="567"/>
        </w:tabs>
        <w:rPr>
          <w:color w:val="000000"/>
          <w:szCs w:val="22"/>
          <w:lang w:val="fi-FI"/>
        </w:rPr>
      </w:pPr>
    </w:p>
    <w:p w14:paraId="586FC924" w14:textId="77777777" w:rsidR="00311DC5" w:rsidRDefault="00311DC5" w:rsidP="00311DC5">
      <w:pPr>
        <w:pStyle w:val="EndnoteText"/>
        <w:widowControl w:val="0"/>
        <w:tabs>
          <w:tab w:val="clear" w:pos="567"/>
        </w:tabs>
        <w:rPr>
          <w:color w:val="000000"/>
          <w:szCs w:val="22"/>
          <w:lang w:val="fi-FI"/>
        </w:rPr>
      </w:pPr>
      <w:r w:rsidRPr="00912A5D">
        <w:rPr>
          <w:color w:val="000000"/>
          <w:szCs w:val="22"/>
          <w:lang w:val="fi-FI"/>
        </w:rPr>
        <w:t>Kahdessa kliinisessä tutkimuksessa (tutkimus B2222 ja ryhmän sisäinen tutkimus S0033) Glivecin päivittäinen annos suurennettiin 800 mg:aan niillä potilailla, joilla tauti eteni 400 mg:n tai 600 mg:n annoksilla. Päivittäinen annos suurennettiin 800 mg:aan kaiken kaikkiaan 103</w:t>
      </w:r>
      <w:r>
        <w:rPr>
          <w:color w:val="000000"/>
          <w:szCs w:val="22"/>
          <w:lang w:val="fi-FI"/>
        </w:rPr>
        <w:t> </w:t>
      </w:r>
      <w:r w:rsidRPr="00912A5D">
        <w:rPr>
          <w:color w:val="000000"/>
          <w:szCs w:val="22"/>
          <w:lang w:val="fi-FI"/>
        </w:rPr>
        <w:t xml:space="preserve">potilaalla. Näistä 6 potilasta saavutti osittaisen vasteen ja 21:lla tauti vakiintui annoksen suurennuksen jälkeen; kliinistä hyötyä oli 26 %:lla. Käytettävissä olevan turvallisuustiedon perusteella annoksen suurentaminen 800 mg:aan vuorokaudessa potilailla, joiden tauti etenee 400 mg:n ja 600 mg:n annoksilla, ei näytä </w:t>
      </w:r>
      <w:r w:rsidRPr="00912A5D">
        <w:rPr>
          <w:color w:val="000000"/>
          <w:szCs w:val="22"/>
          <w:lang w:val="fi-FI"/>
        </w:rPr>
        <w:lastRenderedPageBreak/>
        <w:t>vaikuttavan Glivecin turvallisuusprofiiliin.</w:t>
      </w:r>
    </w:p>
    <w:p w14:paraId="586FC925" w14:textId="77777777" w:rsidR="00311DC5" w:rsidRDefault="00311DC5" w:rsidP="00311DC5">
      <w:pPr>
        <w:pStyle w:val="EndnoteText"/>
        <w:widowControl w:val="0"/>
        <w:tabs>
          <w:tab w:val="clear" w:pos="567"/>
        </w:tabs>
        <w:rPr>
          <w:color w:val="000000"/>
          <w:szCs w:val="22"/>
          <w:lang w:val="fi-FI"/>
        </w:rPr>
      </w:pPr>
    </w:p>
    <w:p w14:paraId="586FC926" w14:textId="77777777" w:rsidR="00311DC5" w:rsidRDefault="00311DC5" w:rsidP="00331A48">
      <w:pPr>
        <w:pStyle w:val="EndnoteText"/>
        <w:keepNext/>
        <w:widowControl w:val="0"/>
        <w:tabs>
          <w:tab w:val="clear" w:pos="567"/>
        </w:tabs>
        <w:rPr>
          <w:color w:val="000000"/>
          <w:szCs w:val="22"/>
          <w:u w:val="single"/>
          <w:lang w:val="fi-FI"/>
        </w:rPr>
      </w:pPr>
      <w:r w:rsidRPr="001F55AC">
        <w:rPr>
          <w:color w:val="000000"/>
          <w:szCs w:val="22"/>
          <w:u w:val="single"/>
          <w:lang w:val="fi-FI"/>
        </w:rPr>
        <w:t>Kliini</w:t>
      </w:r>
      <w:r>
        <w:rPr>
          <w:color w:val="000000"/>
          <w:szCs w:val="22"/>
          <w:u w:val="single"/>
          <w:lang w:val="fi-FI"/>
        </w:rPr>
        <w:t>set</w:t>
      </w:r>
      <w:r w:rsidRPr="001F55AC">
        <w:rPr>
          <w:color w:val="000000"/>
          <w:szCs w:val="22"/>
          <w:u w:val="single"/>
          <w:lang w:val="fi-FI"/>
        </w:rPr>
        <w:t xml:space="preserve"> tutkimu</w:t>
      </w:r>
      <w:r>
        <w:rPr>
          <w:color w:val="000000"/>
          <w:szCs w:val="22"/>
          <w:u w:val="single"/>
          <w:lang w:val="fi-FI"/>
        </w:rPr>
        <w:t>k</w:t>
      </w:r>
      <w:r w:rsidRPr="001F55AC">
        <w:rPr>
          <w:color w:val="000000"/>
          <w:szCs w:val="22"/>
          <w:u w:val="single"/>
          <w:lang w:val="fi-FI"/>
        </w:rPr>
        <w:t>s</w:t>
      </w:r>
      <w:r>
        <w:rPr>
          <w:color w:val="000000"/>
          <w:szCs w:val="22"/>
          <w:u w:val="single"/>
          <w:lang w:val="fi-FI"/>
        </w:rPr>
        <w:t>et</w:t>
      </w:r>
      <w:r w:rsidRPr="001F55AC">
        <w:rPr>
          <w:color w:val="000000"/>
          <w:szCs w:val="22"/>
          <w:u w:val="single"/>
          <w:lang w:val="fi-FI"/>
        </w:rPr>
        <w:t xml:space="preserve"> liitännäishoidon GISTistä</w:t>
      </w:r>
    </w:p>
    <w:p w14:paraId="586FC927" w14:textId="77777777" w:rsidR="00311DC5" w:rsidRDefault="00311DC5" w:rsidP="00311DC5">
      <w:pPr>
        <w:pStyle w:val="EndnoteText"/>
        <w:widowControl w:val="0"/>
        <w:tabs>
          <w:tab w:val="clear" w:pos="567"/>
        </w:tabs>
        <w:rPr>
          <w:color w:val="000000"/>
          <w:szCs w:val="22"/>
          <w:lang w:val="fi-FI"/>
        </w:rPr>
      </w:pPr>
      <w:r>
        <w:rPr>
          <w:color w:val="000000"/>
          <w:szCs w:val="22"/>
          <w:lang w:val="fi-FI"/>
        </w:rPr>
        <w:t xml:space="preserve">Liitännäishoitotilanteessa Gliveciä tutkittiin kaksoissokkoutetussa, pitkäaikaisessa, plasebokontrolloidussa faasin </w:t>
      </w:r>
      <w:smartTag w:uri="urn:schemas-microsoft-com:office:smarttags" w:element="State">
        <w:r>
          <w:rPr>
            <w:color w:val="000000"/>
            <w:szCs w:val="22"/>
            <w:lang w:val="fi-FI"/>
          </w:rPr>
          <w:t>III</w:t>
        </w:r>
      </w:smartTag>
      <w:r>
        <w:rPr>
          <w:color w:val="000000"/>
          <w:szCs w:val="22"/>
          <w:lang w:val="fi-FI"/>
        </w:rPr>
        <w:t xml:space="preserve"> monikeskustutkimuksessa (Z9001) 773 potilaalla. Potilaiden ikä vaihteli 18 vuodesta 91 vuoteen. Potilailla, joilla oli kudosnäytteeseen perustuva diagnoosi ensivaiheen GIST:istä, jossa oli immunokemiallisesti</w:t>
      </w:r>
      <w:r w:rsidRPr="00E65CEA">
        <w:rPr>
          <w:color w:val="000000"/>
          <w:szCs w:val="22"/>
          <w:lang w:val="fi-FI"/>
        </w:rPr>
        <w:t xml:space="preserve"> </w:t>
      </w:r>
      <w:r>
        <w:rPr>
          <w:color w:val="000000"/>
          <w:szCs w:val="22"/>
          <w:lang w:val="fi-FI"/>
        </w:rPr>
        <w:t xml:space="preserve">osoitettu Kit-proteiini sekä kasvaimen maksimikoko </w:t>
      </w:r>
      <w:r>
        <w:rPr>
          <w:color w:val="000000"/>
          <w:szCs w:val="22"/>
          <w:lang w:val="fi-FI"/>
        </w:rPr>
        <w:sym w:font="Symbol" w:char="F0B3"/>
      </w:r>
      <w:r>
        <w:rPr>
          <w:color w:val="000000"/>
          <w:szCs w:val="22"/>
          <w:lang w:val="fi-FI"/>
        </w:rPr>
        <w:t> 3 cm, ja täydellinen resektio ensivaiheen GIST:istä tehtynä 14</w:t>
      </w:r>
      <w:r>
        <w:rPr>
          <w:color w:val="000000"/>
          <w:szCs w:val="22"/>
          <w:lang w:val="fi-FI"/>
        </w:rPr>
        <w:noBreakHyphen/>
        <w:t>70 päivää ennen rekisteröintiä otettiin mukaan. Ensivaiheen GIST:in poistoleikkauksen jälkeen potilaat sokkoutettiin yhteen kahdesta tutkimushaarasta: Glivec 400 mg/päivä tai vastaavanlainen plasebo yhden vuoden ajan.</w:t>
      </w:r>
    </w:p>
    <w:p w14:paraId="586FC928" w14:textId="77777777" w:rsidR="00311DC5" w:rsidRDefault="00311DC5" w:rsidP="00311DC5">
      <w:pPr>
        <w:pStyle w:val="EndnoteText"/>
        <w:widowControl w:val="0"/>
        <w:tabs>
          <w:tab w:val="clear" w:pos="567"/>
        </w:tabs>
        <w:rPr>
          <w:color w:val="000000"/>
          <w:szCs w:val="22"/>
          <w:lang w:val="fi-FI"/>
        </w:rPr>
      </w:pPr>
    </w:p>
    <w:p w14:paraId="586FC929" w14:textId="77777777" w:rsidR="00311DC5" w:rsidRDefault="00311DC5" w:rsidP="00311DC5">
      <w:pPr>
        <w:pStyle w:val="EndnoteText"/>
        <w:widowControl w:val="0"/>
        <w:tabs>
          <w:tab w:val="clear" w:pos="567"/>
        </w:tabs>
        <w:rPr>
          <w:lang w:val="fi-FI"/>
        </w:rPr>
      </w:pPr>
      <w:r>
        <w:rPr>
          <w:color w:val="000000"/>
          <w:szCs w:val="22"/>
          <w:lang w:val="fi-FI"/>
        </w:rPr>
        <w:t xml:space="preserve">Ensisijainen päätetapahtuma tutkimuksessa oli </w:t>
      </w:r>
      <w:r>
        <w:rPr>
          <w:lang w:val="fi-FI"/>
        </w:rPr>
        <w:t>uusiutumisvapaa eloonjääminen (recurrence-free survival [</w:t>
      </w:r>
      <w:smartTag w:uri="urn:schemas-microsoft-com:office:smarttags" w:element="State">
        <w:r>
          <w:rPr>
            <w:lang w:val="fi-FI"/>
          </w:rPr>
          <w:t>RFS</w:t>
        </w:r>
      </w:smartTag>
      <w:r>
        <w:rPr>
          <w:lang w:val="fi-FI"/>
        </w:rPr>
        <w:t>]), joka määriteltiin sokkoutuksen ajankohdasta uusiutumisen ajankohtaan tai kuolemaan, mistä tahansa syystä.</w:t>
      </w:r>
    </w:p>
    <w:p w14:paraId="586FC92A" w14:textId="77777777" w:rsidR="00311DC5" w:rsidRDefault="00311DC5" w:rsidP="00311DC5">
      <w:pPr>
        <w:pStyle w:val="EndnoteText"/>
        <w:widowControl w:val="0"/>
        <w:tabs>
          <w:tab w:val="clear" w:pos="567"/>
        </w:tabs>
        <w:rPr>
          <w:lang w:val="fi-FI"/>
        </w:rPr>
      </w:pPr>
    </w:p>
    <w:p w14:paraId="586FC92B" w14:textId="77777777" w:rsidR="00311DC5" w:rsidRDefault="00311DC5" w:rsidP="00311DC5">
      <w:pPr>
        <w:pStyle w:val="EndnoteText"/>
        <w:widowControl w:val="0"/>
        <w:tabs>
          <w:tab w:val="clear" w:pos="567"/>
        </w:tabs>
        <w:rPr>
          <w:lang w:val="fi-FI"/>
        </w:rPr>
      </w:pPr>
      <w:r>
        <w:rPr>
          <w:lang w:val="fi-FI"/>
        </w:rPr>
        <w:t>Glivec pitkitti huomattavasti RFS:ää, 75 % potilaista olivat uusiutumisvapaita 38 kuukauden jälkeen Glivec-ryhmässä ja 20 kuukauden jälkeen plaseboryhmässä (95 %:n luottamusväli, [30 – ei laskettavissa], [14 – ei laskettavissa], vastaavasti), (riskisuhde = 0,398 [0,259</w:t>
      </w:r>
      <w:r>
        <w:rPr>
          <w:lang w:val="fi-FI"/>
        </w:rPr>
        <w:noBreakHyphen/>
        <w:t xml:space="preserve">0,610], p&lt;0,0001). Yhden vuoden kohdalla kokonais </w:t>
      </w:r>
      <w:smartTag w:uri="urn:schemas-microsoft-com:office:smarttags" w:element="State">
        <w:r>
          <w:rPr>
            <w:lang w:val="fi-FI"/>
          </w:rPr>
          <w:t>RFS</w:t>
        </w:r>
      </w:smartTag>
      <w:r>
        <w:rPr>
          <w:lang w:val="fi-FI"/>
        </w:rPr>
        <w:t xml:space="preserve"> oli huomattavasti parempi Glivec-hoidolla (97,7 %) kun plasebolla (82,3 %), (p&lt;0,0001). Uusiutumisen riski pieneni siten noin 89 % verrattuna plaseboon (riskisuhde = 0,113 [0,049</w:t>
      </w:r>
      <w:r>
        <w:rPr>
          <w:lang w:val="fi-FI"/>
        </w:rPr>
        <w:noBreakHyphen/>
        <w:t>0,264]).</w:t>
      </w:r>
    </w:p>
    <w:p w14:paraId="586FC92C" w14:textId="77777777" w:rsidR="00311DC5" w:rsidRDefault="00311DC5" w:rsidP="00311DC5">
      <w:pPr>
        <w:pStyle w:val="EndnoteText"/>
        <w:widowControl w:val="0"/>
        <w:tabs>
          <w:tab w:val="clear" w:pos="567"/>
        </w:tabs>
        <w:rPr>
          <w:lang w:val="fi-FI"/>
        </w:rPr>
      </w:pPr>
    </w:p>
    <w:p w14:paraId="586FC92D" w14:textId="77777777" w:rsidR="00311DC5" w:rsidRPr="00F2758D" w:rsidRDefault="00311DC5" w:rsidP="00311DC5">
      <w:pPr>
        <w:pStyle w:val="EndnoteText"/>
        <w:widowControl w:val="0"/>
        <w:tabs>
          <w:tab w:val="clear" w:pos="567"/>
        </w:tabs>
        <w:rPr>
          <w:rFonts w:eastAsia="MS Mincho"/>
          <w:color w:val="000000"/>
          <w:szCs w:val="22"/>
          <w:lang w:val="fi-FI" w:eastAsia="ja-JP"/>
        </w:rPr>
      </w:pPr>
      <w:r w:rsidRPr="00FB41E3">
        <w:rPr>
          <w:lang w:val="fi-FI"/>
        </w:rPr>
        <w:t>Potilaiden primaari GIST:in uusiutumisriskiä leikkauksen jälkeen arvioitiin takautuvasti seuraaviin ennustetekijöihin perustuen:</w:t>
      </w:r>
      <w:r w:rsidRPr="00FB41E3">
        <w:rPr>
          <w:szCs w:val="22"/>
          <w:lang w:val="fi-FI"/>
        </w:rPr>
        <w:t xml:space="preserve"> kasvaimen kokooon, mitoosi-indeksiin, sijaintiin. Mitoosi-indeksi -tietoja oli saatavilla 556 potilaalta 7</w:t>
      </w:r>
      <w:r>
        <w:rPr>
          <w:szCs w:val="22"/>
          <w:lang w:val="fi-FI"/>
        </w:rPr>
        <w:t>1</w:t>
      </w:r>
      <w:r w:rsidRPr="00FB41E3">
        <w:rPr>
          <w:szCs w:val="22"/>
          <w:lang w:val="fi-FI"/>
        </w:rPr>
        <w:t>3 potilaasta lähtöryhmien mukaisesta populaatiosta (</w:t>
      </w:r>
      <w:smartTag w:uri="urn:schemas-microsoft-com:office:smarttags" w:element="State">
        <w:r w:rsidRPr="00FB41E3">
          <w:rPr>
            <w:szCs w:val="22"/>
            <w:lang w:val="fi-FI"/>
          </w:rPr>
          <w:t>ITT</w:t>
        </w:r>
      </w:smartTag>
      <w:r w:rsidRPr="00FB41E3">
        <w:rPr>
          <w:szCs w:val="22"/>
          <w:lang w:val="fi-FI"/>
        </w:rPr>
        <w:t>, intention-to-</w:t>
      </w:r>
      <w:r w:rsidRPr="00F2758D">
        <w:rPr>
          <w:szCs w:val="22"/>
          <w:lang w:val="fi-FI"/>
        </w:rPr>
        <w:t xml:space="preserve">treat). Alaryhmän analyysitulokset United States National Institutes of Health (NIH) ja </w:t>
      </w:r>
      <w:r w:rsidRPr="00F2758D">
        <w:rPr>
          <w:rFonts w:eastAsia="MS Mincho"/>
          <w:color w:val="000000"/>
          <w:szCs w:val="22"/>
          <w:lang w:val="fi-FI" w:eastAsia="ja-JP"/>
        </w:rPr>
        <w:t>Armed Forces Institute of Pathology (AFIP) -riskiluokitukseen perustuen ovat esitetty Taulukossa </w:t>
      </w:r>
      <w:r w:rsidR="0086657A">
        <w:rPr>
          <w:rFonts w:eastAsia="MS Mincho"/>
          <w:color w:val="000000"/>
          <w:szCs w:val="22"/>
          <w:lang w:val="fi-FI" w:eastAsia="ja-JP"/>
        </w:rPr>
        <w:t>7</w:t>
      </w:r>
      <w:r w:rsidRPr="00F2758D">
        <w:rPr>
          <w:rFonts w:eastAsia="MS Mincho"/>
          <w:color w:val="000000"/>
          <w:szCs w:val="22"/>
          <w:lang w:val="fi-FI" w:eastAsia="ja-JP"/>
        </w:rPr>
        <w:t>. Etua ei voitu osoittaa matalan ja erittäin matalan riskin ryhmissä. Kokonaiseloonjäämisetua ei ollut havaittavissa.</w:t>
      </w:r>
    </w:p>
    <w:p w14:paraId="586FC92E" w14:textId="77777777" w:rsidR="00311DC5" w:rsidRPr="00F2758D" w:rsidRDefault="00311DC5" w:rsidP="00311DC5">
      <w:pPr>
        <w:pStyle w:val="EndnoteText"/>
        <w:widowControl w:val="0"/>
        <w:tabs>
          <w:tab w:val="clear" w:pos="567"/>
        </w:tabs>
        <w:rPr>
          <w:rFonts w:eastAsia="MS Mincho"/>
          <w:color w:val="000000"/>
          <w:szCs w:val="22"/>
          <w:lang w:val="fi-FI" w:eastAsia="ja-JP"/>
        </w:rPr>
      </w:pPr>
    </w:p>
    <w:p w14:paraId="586FC92F" w14:textId="77777777" w:rsidR="00311DC5" w:rsidRDefault="00311DC5" w:rsidP="00331A48">
      <w:pPr>
        <w:pStyle w:val="EndnoteText"/>
        <w:keepNext/>
        <w:widowControl w:val="0"/>
        <w:tabs>
          <w:tab w:val="clear" w:pos="567"/>
        </w:tabs>
        <w:ind w:left="1418" w:hanging="1418"/>
        <w:rPr>
          <w:rFonts w:eastAsia="MS Mincho"/>
          <w:b/>
          <w:bCs/>
          <w:color w:val="000000"/>
          <w:szCs w:val="22"/>
          <w:lang w:val="fi-FI" w:eastAsia="ja-JP"/>
        </w:rPr>
      </w:pPr>
      <w:r w:rsidRPr="00F2758D">
        <w:rPr>
          <w:rFonts w:eastAsia="MS Mincho"/>
          <w:b/>
          <w:bCs/>
          <w:color w:val="000000"/>
          <w:szCs w:val="22"/>
          <w:lang w:val="fi-FI" w:eastAsia="ja-JP"/>
        </w:rPr>
        <w:t>Taulukko </w:t>
      </w:r>
      <w:r w:rsidR="0086657A">
        <w:rPr>
          <w:rFonts w:eastAsia="MS Mincho"/>
          <w:b/>
          <w:bCs/>
          <w:color w:val="000000"/>
          <w:szCs w:val="22"/>
          <w:lang w:val="fi-FI" w:eastAsia="ja-JP"/>
        </w:rPr>
        <w:t>7</w:t>
      </w:r>
      <w:r w:rsidRPr="00F2758D">
        <w:rPr>
          <w:rFonts w:eastAsia="MS Mincho"/>
          <w:b/>
          <w:bCs/>
          <w:color w:val="000000"/>
          <w:szCs w:val="22"/>
          <w:lang w:val="fi-FI" w:eastAsia="ja-JP"/>
        </w:rPr>
        <w:tab/>
        <w:t xml:space="preserve">Tutkimuksen Z9001 yhteenveto </w:t>
      </w:r>
      <w:smartTag w:uri="urn:schemas-microsoft-com:office:smarttags" w:element="State">
        <w:r w:rsidRPr="00F2758D">
          <w:rPr>
            <w:rFonts w:eastAsia="MS Mincho"/>
            <w:b/>
            <w:bCs/>
            <w:color w:val="000000"/>
            <w:szCs w:val="22"/>
            <w:lang w:val="fi-FI" w:eastAsia="ja-JP"/>
          </w:rPr>
          <w:t>RFS</w:t>
        </w:r>
      </w:smartTag>
      <w:r w:rsidRPr="00F2758D">
        <w:rPr>
          <w:rFonts w:eastAsia="MS Mincho"/>
          <w:b/>
          <w:bCs/>
          <w:color w:val="000000"/>
          <w:szCs w:val="22"/>
          <w:lang w:val="fi-FI" w:eastAsia="ja-JP"/>
        </w:rPr>
        <w:t xml:space="preserve"> analyysi AFIP –riskiluokitukseen perustuen</w:t>
      </w:r>
    </w:p>
    <w:p w14:paraId="586FC930" w14:textId="77777777" w:rsidR="00311DC5" w:rsidRPr="00F90AC8" w:rsidRDefault="00311DC5" w:rsidP="00331A48">
      <w:pPr>
        <w:pStyle w:val="EndnoteText"/>
        <w:keepNext/>
        <w:widowControl w:val="0"/>
        <w:tabs>
          <w:tab w:val="clear" w:pos="567"/>
        </w:tabs>
        <w:ind w:left="1418" w:hanging="1418"/>
        <w:rPr>
          <w:bCs/>
          <w:lang w:val="fi-FI"/>
        </w:rPr>
      </w:pP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1301"/>
        <w:gridCol w:w="1692"/>
        <w:gridCol w:w="1800"/>
        <w:gridCol w:w="1440"/>
        <w:gridCol w:w="1360"/>
      </w:tblGrid>
      <w:tr w:rsidR="00311DC5" w:rsidRPr="00B852DB" w14:paraId="586FC937" w14:textId="77777777" w:rsidTr="00331A48">
        <w:trPr>
          <w:cantSplit/>
        </w:trPr>
        <w:tc>
          <w:tcPr>
            <w:tcW w:w="934" w:type="dxa"/>
            <w:vMerge w:val="restart"/>
          </w:tcPr>
          <w:p w14:paraId="586FC931" w14:textId="77777777" w:rsidR="00311DC5" w:rsidRPr="00B852DB" w:rsidRDefault="00311DC5" w:rsidP="008238ED">
            <w:pPr>
              <w:pStyle w:val="Table"/>
              <w:tabs>
                <w:tab w:val="left" w:pos="567"/>
              </w:tabs>
              <w:spacing w:before="120" w:line="260" w:lineRule="exact"/>
              <w:jc w:val="center"/>
              <w:rPr>
                <w:rFonts w:ascii="Times New Roman" w:hAnsi="Times New Roman"/>
                <w:b/>
                <w:sz w:val="22"/>
                <w:szCs w:val="22"/>
              </w:rPr>
            </w:pPr>
            <w:r w:rsidRPr="00B852DB">
              <w:rPr>
                <w:rFonts w:ascii="Times New Roman" w:hAnsi="Times New Roman"/>
                <w:b/>
                <w:sz w:val="22"/>
                <w:szCs w:val="22"/>
              </w:rPr>
              <w:t>Riski-peruste</w:t>
            </w:r>
          </w:p>
        </w:tc>
        <w:tc>
          <w:tcPr>
            <w:tcW w:w="1417" w:type="dxa"/>
            <w:vMerge w:val="restart"/>
            <w:tcBorders>
              <w:right w:val="single" w:sz="4" w:space="0" w:color="auto"/>
            </w:tcBorders>
          </w:tcPr>
          <w:p w14:paraId="586FC932" w14:textId="77777777" w:rsidR="00311DC5" w:rsidRPr="00B852DB" w:rsidRDefault="00311DC5" w:rsidP="008238ED">
            <w:pPr>
              <w:pStyle w:val="Table"/>
              <w:tabs>
                <w:tab w:val="left" w:pos="567"/>
              </w:tabs>
              <w:spacing w:before="120" w:line="260" w:lineRule="exact"/>
              <w:rPr>
                <w:rFonts w:ascii="Times New Roman" w:hAnsi="Times New Roman"/>
                <w:b/>
                <w:sz w:val="22"/>
                <w:szCs w:val="22"/>
              </w:rPr>
            </w:pPr>
            <w:r w:rsidRPr="00B852DB">
              <w:rPr>
                <w:rFonts w:ascii="Times New Roman" w:hAnsi="Times New Roman"/>
                <w:b/>
                <w:sz w:val="22"/>
                <w:szCs w:val="22"/>
              </w:rPr>
              <w:t>Riskitaso</w:t>
            </w:r>
          </w:p>
        </w:tc>
        <w:tc>
          <w:tcPr>
            <w:tcW w:w="1301" w:type="dxa"/>
            <w:vMerge w:val="restart"/>
            <w:tcBorders>
              <w:left w:val="single" w:sz="4" w:space="0" w:color="auto"/>
              <w:right w:val="single" w:sz="4" w:space="0" w:color="auto"/>
            </w:tcBorders>
          </w:tcPr>
          <w:p w14:paraId="586FC933" w14:textId="77777777" w:rsidR="00311DC5" w:rsidRPr="00B852DB" w:rsidRDefault="00311DC5" w:rsidP="008238ED">
            <w:pPr>
              <w:pStyle w:val="Table"/>
              <w:tabs>
                <w:tab w:val="left" w:pos="567"/>
              </w:tabs>
              <w:spacing w:before="120" w:line="260" w:lineRule="exact"/>
              <w:jc w:val="center"/>
              <w:rPr>
                <w:rFonts w:ascii="Times New Roman" w:hAnsi="Times New Roman"/>
                <w:b/>
                <w:sz w:val="22"/>
                <w:szCs w:val="22"/>
              </w:rPr>
            </w:pPr>
            <w:r w:rsidRPr="00B852DB">
              <w:rPr>
                <w:rFonts w:ascii="Times New Roman" w:hAnsi="Times New Roman"/>
                <w:b/>
                <w:sz w:val="22"/>
                <w:szCs w:val="22"/>
              </w:rPr>
              <w:t xml:space="preserve">Potilaiden osuus % </w:t>
            </w:r>
          </w:p>
        </w:tc>
        <w:tc>
          <w:tcPr>
            <w:tcW w:w="1692" w:type="dxa"/>
            <w:vMerge w:val="restart"/>
            <w:tcBorders>
              <w:left w:val="single" w:sz="4" w:space="0" w:color="auto"/>
              <w:right w:val="single" w:sz="4" w:space="0" w:color="auto"/>
            </w:tcBorders>
          </w:tcPr>
          <w:p w14:paraId="586FC934" w14:textId="77777777" w:rsidR="00311DC5" w:rsidRPr="00B852DB" w:rsidRDefault="00311DC5" w:rsidP="008238ED">
            <w:pPr>
              <w:pStyle w:val="Table"/>
              <w:tabs>
                <w:tab w:val="clear" w:pos="284"/>
              </w:tabs>
              <w:spacing w:before="120" w:line="260" w:lineRule="exact"/>
              <w:jc w:val="center"/>
              <w:rPr>
                <w:rFonts w:ascii="Times New Roman" w:hAnsi="Times New Roman"/>
                <w:b/>
                <w:sz w:val="22"/>
                <w:szCs w:val="22"/>
              </w:rPr>
            </w:pPr>
            <w:r w:rsidRPr="00B852DB">
              <w:rPr>
                <w:rFonts w:ascii="Times New Roman" w:hAnsi="Times New Roman"/>
                <w:b/>
                <w:sz w:val="22"/>
                <w:szCs w:val="22"/>
              </w:rPr>
              <w:t>Tapahtumien määrä/ potilaiden määrä</w:t>
            </w:r>
          </w:p>
        </w:tc>
        <w:tc>
          <w:tcPr>
            <w:tcW w:w="1800" w:type="dxa"/>
            <w:vMerge w:val="restart"/>
            <w:tcBorders>
              <w:left w:val="single" w:sz="4" w:space="0" w:color="auto"/>
              <w:right w:val="single" w:sz="4" w:space="0" w:color="auto"/>
            </w:tcBorders>
          </w:tcPr>
          <w:p w14:paraId="586FC935"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Kokonais riskisuhde (95 % luottamusväli)*</w:t>
            </w:r>
          </w:p>
        </w:tc>
        <w:tc>
          <w:tcPr>
            <w:tcW w:w="2800" w:type="dxa"/>
            <w:gridSpan w:val="2"/>
            <w:tcBorders>
              <w:left w:val="single" w:sz="4" w:space="0" w:color="auto"/>
            </w:tcBorders>
          </w:tcPr>
          <w:p w14:paraId="586FC936"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smartTag w:uri="urn:schemas-microsoft-com:office:smarttags" w:element="State">
              <w:r w:rsidRPr="00B852DB">
                <w:rPr>
                  <w:rFonts w:ascii="Times New Roman" w:hAnsi="Times New Roman"/>
                  <w:b/>
                  <w:sz w:val="22"/>
                  <w:szCs w:val="22"/>
                </w:rPr>
                <w:t>RFS</w:t>
              </w:r>
            </w:smartTag>
            <w:r w:rsidRPr="00B852DB">
              <w:rPr>
                <w:rFonts w:ascii="Times New Roman" w:hAnsi="Times New Roman"/>
                <w:b/>
                <w:sz w:val="22"/>
                <w:szCs w:val="22"/>
              </w:rPr>
              <w:t xml:space="preserve"> arviot (%)</w:t>
            </w:r>
          </w:p>
        </w:tc>
      </w:tr>
      <w:tr w:rsidR="00311DC5" w:rsidRPr="00B852DB" w14:paraId="586FC93F" w14:textId="77777777" w:rsidTr="00331A48">
        <w:trPr>
          <w:cantSplit/>
        </w:trPr>
        <w:tc>
          <w:tcPr>
            <w:tcW w:w="934" w:type="dxa"/>
            <w:vMerge/>
          </w:tcPr>
          <w:p w14:paraId="586FC938" w14:textId="77777777" w:rsidR="00311DC5" w:rsidRPr="00B852DB" w:rsidRDefault="00311DC5" w:rsidP="008238ED">
            <w:pPr>
              <w:pStyle w:val="Table"/>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586FC939" w14:textId="77777777" w:rsidR="00311DC5" w:rsidRPr="00B852DB" w:rsidRDefault="00311DC5" w:rsidP="008238ED">
            <w:pPr>
              <w:pStyle w:val="Table"/>
              <w:tabs>
                <w:tab w:val="left" w:pos="567"/>
              </w:tabs>
              <w:spacing w:line="260" w:lineRule="exact"/>
              <w:rPr>
                <w:rFonts w:ascii="Times New Roman" w:hAnsi="Times New Roman"/>
                <w:b/>
                <w:sz w:val="22"/>
                <w:szCs w:val="22"/>
              </w:rPr>
            </w:pPr>
          </w:p>
        </w:tc>
        <w:tc>
          <w:tcPr>
            <w:tcW w:w="1301" w:type="dxa"/>
            <w:vMerge/>
            <w:tcBorders>
              <w:left w:val="single" w:sz="4" w:space="0" w:color="auto"/>
              <w:right w:val="single" w:sz="4" w:space="0" w:color="auto"/>
            </w:tcBorders>
          </w:tcPr>
          <w:p w14:paraId="586FC93A"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p>
        </w:tc>
        <w:tc>
          <w:tcPr>
            <w:tcW w:w="1692" w:type="dxa"/>
            <w:vMerge/>
            <w:tcBorders>
              <w:left w:val="single" w:sz="4" w:space="0" w:color="auto"/>
              <w:right w:val="single" w:sz="4" w:space="0" w:color="auto"/>
            </w:tcBorders>
          </w:tcPr>
          <w:p w14:paraId="586FC93B"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p>
        </w:tc>
        <w:tc>
          <w:tcPr>
            <w:tcW w:w="1800" w:type="dxa"/>
            <w:vMerge/>
            <w:tcBorders>
              <w:left w:val="single" w:sz="4" w:space="0" w:color="auto"/>
              <w:right w:val="single" w:sz="4" w:space="0" w:color="auto"/>
            </w:tcBorders>
          </w:tcPr>
          <w:p w14:paraId="586FC93C" w14:textId="77777777" w:rsidR="00311DC5" w:rsidRPr="00B852DB" w:rsidRDefault="00311DC5" w:rsidP="008238ED">
            <w:pPr>
              <w:pStyle w:val="Table"/>
              <w:tabs>
                <w:tab w:val="left" w:pos="567"/>
              </w:tabs>
              <w:spacing w:line="260" w:lineRule="exact"/>
              <w:rPr>
                <w:rFonts w:ascii="Times New Roman" w:hAnsi="Times New Roman"/>
                <w:b/>
                <w:sz w:val="22"/>
                <w:szCs w:val="22"/>
              </w:rPr>
            </w:pPr>
          </w:p>
        </w:tc>
        <w:tc>
          <w:tcPr>
            <w:tcW w:w="1440" w:type="dxa"/>
            <w:tcBorders>
              <w:left w:val="single" w:sz="4" w:space="0" w:color="auto"/>
              <w:right w:val="single" w:sz="4" w:space="0" w:color="auto"/>
            </w:tcBorders>
          </w:tcPr>
          <w:p w14:paraId="586FC93D"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12 kuu-kautta</w:t>
            </w:r>
          </w:p>
        </w:tc>
        <w:tc>
          <w:tcPr>
            <w:tcW w:w="1360" w:type="dxa"/>
            <w:tcBorders>
              <w:left w:val="single" w:sz="4" w:space="0" w:color="auto"/>
            </w:tcBorders>
          </w:tcPr>
          <w:p w14:paraId="586FC93E"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24 kuu-kautta</w:t>
            </w:r>
          </w:p>
        </w:tc>
      </w:tr>
      <w:tr w:rsidR="00311DC5" w:rsidRPr="00B852DB" w14:paraId="586FC947" w14:textId="77777777" w:rsidTr="00331A48">
        <w:trPr>
          <w:cantSplit/>
        </w:trPr>
        <w:tc>
          <w:tcPr>
            <w:tcW w:w="934" w:type="dxa"/>
            <w:vMerge/>
          </w:tcPr>
          <w:p w14:paraId="586FC940" w14:textId="77777777" w:rsidR="00311DC5" w:rsidRPr="00B852DB" w:rsidRDefault="00311DC5" w:rsidP="008238ED">
            <w:pPr>
              <w:pStyle w:val="Table"/>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586FC941" w14:textId="77777777" w:rsidR="00311DC5" w:rsidRPr="00B852DB" w:rsidRDefault="00311DC5" w:rsidP="008238ED">
            <w:pPr>
              <w:pStyle w:val="Table"/>
              <w:tabs>
                <w:tab w:val="left" w:pos="567"/>
              </w:tabs>
              <w:spacing w:line="260" w:lineRule="exact"/>
              <w:rPr>
                <w:rFonts w:ascii="Times New Roman" w:hAnsi="Times New Roman"/>
                <w:b/>
                <w:sz w:val="22"/>
                <w:szCs w:val="22"/>
              </w:rPr>
            </w:pPr>
          </w:p>
        </w:tc>
        <w:tc>
          <w:tcPr>
            <w:tcW w:w="1301" w:type="dxa"/>
            <w:vMerge/>
            <w:tcBorders>
              <w:left w:val="single" w:sz="4" w:space="0" w:color="auto"/>
              <w:right w:val="single" w:sz="4" w:space="0" w:color="auto"/>
            </w:tcBorders>
          </w:tcPr>
          <w:p w14:paraId="586FC942"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p>
        </w:tc>
        <w:tc>
          <w:tcPr>
            <w:tcW w:w="1692" w:type="dxa"/>
            <w:tcBorders>
              <w:left w:val="single" w:sz="4" w:space="0" w:color="auto"/>
              <w:bottom w:val="single" w:sz="4" w:space="0" w:color="auto"/>
              <w:right w:val="single" w:sz="4" w:space="0" w:color="auto"/>
            </w:tcBorders>
          </w:tcPr>
          <w:p w14:paraId="586FC943"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Glivec vs plasebo</w:t>
            </w:r>
          </w:p>
        </w:tc>
        <w:tc>
          <w:tcPr>
            <w:tcW w:w="1800" w:type="dxa"/>
            <w:vMerge/>
            <w:tcBorders>
              <w:left w:val="single" w:sz="4" w:space="0" w:color="auto"/>
              <w:bottom w:val="single" w:sz="4" w:space="0" w:color="auto"/>
              <w:right w:val="single" w:sz="4" w:space="0" w:color="auto"/>
            </w:tcBorders>
          </w:tcPr>
          <w:p w14:paraId="586FC944"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586FC945"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Glivec vs plasebo</w:t>
            </w:r>
          </w:p>
        </w:tc>
        <w:tc>
          <w:tcPr>
            <w:tcW w:w="1360" w:type="dxa"/>
            <w:tcBorders>
              <w:left w:val="single" w:sz="4" w:space="0" w:color="auto"/>
            </w:tcBorders>
          </w:tcPr>
          <w:p w14:paraId="586FC946" w14:textId="77777777" w:rsidR="00311DC5" w:rsidRPr="00B852DB" w:rsidRDefault="00311DC5" w:rsidP="008238ED">
            <w:pPr>
              <w:pStyle w:val="Table"/>
              <w:tabs>
                <w:tab w:val="left" w:pos="567"/>
              </w:tabs>
              <w:spacing w:line="260" w:lineRule="exact"/>
              <w:jc w:val="center"/>
              <w:rPr>
                <w:rFonts w:ascii="Times New Roman" w:hAnsi="Times New Roman"/>
                <w:b/>
                <w:sz w:val="22"/>
                <w:szCs w:val="22"/>
              </w:rPr>
            </w:pPr>
            <w:r w:rsidRPr="00B852DB">
              <w:rPr>
                <w:rFonts w:ascii="Times New Roman" w:hAnsi="Times New Roman"/>
                <w:b/>
                <w:sz w:val="22"/>
                <w:szCs w:val="22"/>
              </w:rPr>
              <w:t>Glivec vs plasebo</w:t>
            </w:r>
          </w:p>
        </w:tc>
      </w:tr>
      <w:tr w:rsidR="00311DC5" w:rsidRPr="00F2758D" w14:paraId="586FC94F" w14:textId="77777777" w:rsidTr="00331A48">
        <w:trPr>
          <w:cantSplit/>
        </w:trPr>
        <w:tc>
          <w:tcPr>
            <w:tcW w:w="934" w:type="dxa"/>
            <w:vMerge w:val="restart"/>
            <w:shd w:val="clear" w:color="auto" w:fill="auto"/>
          </w:tcPr>
          <w:p w14:paraId="586FC948" w14:textId="77777777" w:rsidR="00311DC5" w:rsidRPr="00B852DB" w:rsidRDefault="00311DC5" w:rsidP="00331A48">
            <w:pPr>
              <w:pStyle w:val="Nottoc-headings"/>
              <w:tabs>
                <w:tab w:val="left" w:pos="567"/>
              </w:tabs>
              <w:spacing w:before="360" w:line="260" w:lineRule="exact"/>
              <w:ind w:left="0" w:firstLine="0"/>
              <w:rPr>
                <w:sz w:val="22"/>
                <w:szCs w:val="22"/>
              </w:rPr>
            </w:pPr>
            <w:r w:rsidRPr="00B852DB">
              <w:rPr>
                <w:rFonts w:ascii="Times New Roman" w:hAnsi="Times New Roman"/>
                <w:b w:val="0"/>
                <w:sz w:val="22"/>
                <w:szCs w:val="22"/>
              </w:rPr>
              <w:t>NIH</w:t>
            </w:r>
          </w:p>
        </w:tc>
        <w:tc>
          <w:tcPr>
            <w:tcW w:w="1417" w:type="dxa"/>
            <w:tcBorders>
              <w:bottom w:val="nil"/>
              <w:right w:val="single" w:sz="4" w:space="0" w:color="auto"/>
            </w:tcBorders>
            <w:vAlign w:val="bottom"/>
          </w:tcPr>
          <w:p w14:paraId="586FC949" w14:textId="77777777" w:rsidR="00311DC5" w:rsidRPr="00B852DB" w:rsidRDefault="00311DC5" w:rsidP="008238ED">
            <w:pPr>
              <w:pStyle w:val="Nottoc-headings"/>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Matala</w:t>
            </w:r>
          </w:p>
        </w:tc>
        <w:tc>
          <w:tcPr>
            <w:tcW w:w="1301" w:type="dxa"/>
            <w:tcBorders>
              <w:left w:val="single" w:sz="4" w:space="0" w:color="auto"/>
              <w:bottom w:val="nil"/>
              <w:right w:val="single" w:sz="4" w:space="0" w:color="auto"/>
            </w:tcBorders>
            <w:vAlign w:val="bottom"/>
          </w:tcPr>
          <w:p w14:paraId="586FC94A" w14:textId="77777777" w:rsidR="00311DC5" w:rsidRPr="00B852DB" w:rsidRDefault="00311DC5" w:rsidP="008238ED">
            <w:pPr>
              <w:pStyle w:val="Nottoc-headings"/>
              <w:tabs>
                <w:tab w:val="left" w:pos="567"/>
              </w:tabs>
              <w:spacing w:before="40" w:after="20" w:line="260" w:lineRule="exact"/>
              <w:ind w:left="57" w:hanging="57"/>
              <w:jc w:val="center"/>
              <w:rPr>
                <w:rFonts w:ascii="Times New Roman" w:hAnsi="Times New Roman"/>
                <w:b w:val="0"/>
                <w:sz w:val="22"/>
                <w:szCs w:val="22"/>
              </w:rPr>
            </w:pPr>
            <w:r w:rsidRPr="00B852DB">
              <w:rPr>
                <w:rFonts w:ascii="Times New Roman" w:hAnsi="Times New Roman"/>
                <w:b w:val="0"/>
                <w:sz w:val="22"/>
                <w:szCs w:val="22"/>
              </w:rPr>
              <w:t>29,5</w:t>
            </w:r>
          </w:p>
        </w:tc>
        <w:tc>
          <w:tcPr>
            <w:tcW w:w="1692" w:type="dxa"/>
            <w:tcBorders>
              <w:left w:val="single" w:sz="4" w:space="0" w:color="auto"/>
              <w:bottom w:val="nil"/>
              <w:right w:val="single" w:sz="4" w:space="0" w:color="auto"/>
            </w:tcBorders>
            <w:vAlign w:val="bottom"/>
          </w:tcPr>
          <w:p w14:paraId="586FC94B" w14:textId="77777777" w:rsidR="00311DC5" w:rsidRPr="00B852DB" w:rsidRDefault="00311DC5" w:rsidP="008238ED">
            <w:pPr>
              <w:pStyle w:val="Nottoc-headings"/>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586FC94C" w14:textId="77777777" w:rsidR="00311DC5" w:rsidRPr="00B852DB" w:rsidRDefault="00311DC5" w:rsidP="008238ED">
            <w:pPr>
              <w:pStyle w:val="Nottoc-headings"/>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E.A.</w:t>
            </w:r>
          </w:p>
        </w:tc>
        <w:tc>
          <w:tcPr>
            <w:tcW w:w="1440" w:type="dxa"/>
            <w:tcBorders>
              <w:left w:val="single" w:sz="4" w:space="0" w:color="auto"/>
              <w:bottom w:val="nil"/>
              <w:right w:val="single" w:sz="4" w:space="0" w:color="auto"/>
            </w:tcBorders>
            <w:vAlign w:val="bottom"/>
          </w:tcPr>
          <w:p w14:paraId="586FC94D" w14:textId="77777777" w:rsidR="00311DC5" w:rsidRPr="00B852DB" w:rsidRDefault="00311DC5" w:rsidP="008238ED">
            <w:pPr>
              <w:pStyle w:val="Nottoc-headings"/>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100 vs. 98,7</w:t>
            </w:r>
          </w:p>
        </w:tc>
        <w:tc>
          <w:tcPr>
            <w:tcW w:w="1360" w:type="dxa"/>
            <w:tcBorders>
              <w:left w:val="single" w:sz="4" w:space="0" w:color="auto"/>
              <w:bottom w:val="nil"/>
            </w:tcBorders>
            <w:vAlign w:val="bottom"/>
          </w:tcPr>
          <w:p w14:paraId="586FC94E" w14:textId="77777777" w:rsidR="00311DC5" w:rsidRPr="00B852DB" w:rsidRDefault="00311DC5" w:rsidP="008238ED">
            <w:pPr>
              <w:pStyle w:val="Nottoc-headings"/>
              <w:tabs>
                <w:tab w:val="left" w:pos="567"/>
              </w:tabs>
              <w:spacing w:before="40" w:after="20" w:line="260" w:lineRule="exact"/>
              <w:ind w:left="57" w:hanging="57"/>
              <w:rPr>
                <w:rFonts w:ascii="Times New Roman" w:hAnsi="Times New Roman"/>
                <w:b w:val="0"/>
                <w:sz w:val="22"/>
                <w:szCs w:val="22"/>
              </w:rPr>
            </w:pPr>
            <w:r w:rsidRPr="00B852DB">
              <w:rPr>
                <w:rFonts w:ascii="Times New Roman" w:hAnsi="Times New Roman"/>
                <w:b w:val="0"/>
                <w:sz w:val="22"/>
                <w:szCs w:val="22"/>
              </w:rPr>
              <w:t>100 vs. 95,5</w:t>
            </w:r>
          </w:p>
        </w:tc>
      </w:tr>
      <w:tr w:rsidR="00311DC5" w:rsidRPr="00F2758D" w14:paraId="586FC957" w14:textId="77777777" w:rsidTr="00331A48">
        <w:trPr>
          <w:cantSplit/>
        </w:trPr>
        <w:tc>
          <w:tcPr>
            <w:tcW w:w="934" w:type="dxa"/>
            <w:vMerge/>
            <w:shd w:val="clear" w:color="auto" w:fill="auto"/>
          </w:tcPr>
          <w:p w14:paraId="586FC950" w14:textId="77777777" w:rsidR="00311DC5" w:rsidRPr="00B852DB" w:rsidRDefault="00311DC5" w:rsidP="008238ED">
            <w:pPr>
              <w:pStyle w:val="Nottoc-headings"/>
              <w:tabs>
                <w:tab w:val="left" w:pos="567"/>
              </w:tabs>
              <w:spacing w:line="260" w:lineRule="exact"/>
              <w:rPr>
                <w:rFonts w:ascii="Times New Roman" w:hAnsi="Times New Roman"/>
                <w:b w:val="0"/>
                <w:sz w:val="22"/>
                <w:szCs w:val="22"/>
              </w:rPr>
            </w:pPr>
          </w:p>
        </w:tc>
        <w:tc>
          <w:tcPr>
            <w:tcW w:w="1417" w:type="dxa"/>
            <w:tcBorders>
              <w:top w:val="nil"/>
              <w:bottom w:val="nil"/>
              <w:right w:val="single" w:sz="4" w:space="0" w:color="auto"/>
            </w:tcBorders>
            <w:vAlign w:val="bottom"/>
          </w:tcPr>
          <w:p w14:paraId="586FC951"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Keskiasteen</w:t>
            </w:r>
          </w:p>
        </w:tc>
        <w:tc>
          <w:tcPr>
            <w:tcW w:w="1301" w:type="dxa"/>
            <w:tcBorders>
              <w:top w:val="nil"/>
              <w:left w:val="single" w:sz="4" w:space="0" w:color="auto"/>
              <w:bottom w:val="nil"/>
              <w:right w:val="single" w:sz="4" w:space="0" w:color="auto"/>
            </w:tcBorders>
            <w:vAlign w:val="bottom"/>
          </w:tcPr>
          <w:p w14:paraId="586FC952" w14:textId="77777777" w:rsidR="00311DC5" w:rsidRPr="00B852DB" w:rsidRDefault="00311DC5" w:rsidP="008238ED">
            <w:pPr>
              <w:pStyle w:val="Table"/>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25,7</w:t>
            </w:r>
          </w:p>
        </w:tc>
        <w:tc>
          <w:tcPr>
            <w:tcW w:w="1692" w:type="dxa"/>
            <w:tcBorders>
              <w:top w:val="nil"/>
              <w:left w:val="single" w:sz="4" w:space="0" w:color="auto"/>
              <w:bottom w:val="nil"/>
              <w:right w:val="single" w:sz="4" w:space="0" w:color="auto"/>
            </w:tcBorders>
            <w:vAlign w:val="bottom"/>
          </w:tcPr>
          <w:p w14:paraId="586FC953"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4/75 vs. 6/78</w:t>
            </w:r>
          </w:p>
        </w:tc>
        <w:tc>
          <w:tcPr>
            <w:tcW w:w="1800" w:type="dxa"/>
            <w:tcBorders>
              <w:top w:val="nil"/>
              <w:left w:val="single" w:sz="4" w:space="0" w:color="auto"/>
              <w:bottom w:val="nil"/>
              <w:right w:val="single" w:sz="4" w:space="0" w:color="auto"/>
            </w:tcBorders>
            <w:vAlign w:val="bottom"/>
          </w:tcPr>
          <w:p w14:paraId="586FC954"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0,59 (0,17; 2,10)</w:t>
            </w:r>
          </w:p>
        </w:tc>
        <w:tc>
          <w:tcPr>
            <w:tcW w:w="1440" w:type="dxa"/>
            <w:tcBorders>
              <w:top w:val="nil"/>
              <w:left w:val="single" w:sz="4" w:space="0" w:color="auto"/>
              <w:bottom w:val="nil"/>
              <w:right w:val="single" w:sz="4" w:space="0" w:color="auto"/>
            </w:tcBorders>
            <w:vAlign w:val="bottom"/>
          </w:tcPr>
          <w:p w14:paraId="586FC955"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100 vs. 94,8</w:t>
            </w:r>
          </w:p>
        </w:tc>
        <w:tc>
          <w:tcPr>
            <w:tcW w:w="1360" w:type="dxa"/>
            <w:tcBorders>
              <w:top w:val="nil"/>
              <w:left w:val="single" w:sz="4" w:space="0" w:color="auto"/>
              <w:bottom w:val="nil"/>
            </w:tcBorders>
            <w:vAlign w:val="bottom"/>
          </w:tcPr>
          <w:p w14:paraId="586FC956"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97,8 vs. 89,5</w:t>
            </w:r>
          </w:p>
        </w:tc>
      </w:tr>
      <w:tr w:rsidR="00311DC5" w:rsidRPr="00F2758D" w14:paraId="586FC95F" w14:textId="77777777" w:rsidTr="00331A48">
        <w:trPr>
          <w:cantSplit/>
        </w:trPr>
        <w:tc>
          <w:tcPr>
            <w:tcW w:w="934" w:type="dxa"/>
            <w:vMerge/>
            <w:shd w:val="clear" w:color="auto" w:fill="auto"/>
          </w:tcPr>
          <w:p w14:paraId="586FC958" w14:textId="77777777" w:rsidR="00311DC5" w:rsidRPr="00B852DB" w:rsidRDefault="00311DC5" w:rsidP="008238ED">
            <w:pPr>
              <w:pStyle w:val="Table"/>
              <w:tabs>
                <w:tab w:val="left" w:pos="567"/>
              </w:tabs>
              <w:spacing w:line="260" w:lineRule="exact"/>
              <w:rPr>
                <w:rFonts w:ascii="Times New Roman" w:hAnsi="Times New Roman"/>
                <w:sz w:val="22"/>
                <w:szCs w:val="22"/>
              </w:rPr>
            </w:pPr>
          </w:p>
        </w:tc>
        <w:tc>
          <w:tcPr>
            <w:tcW w:w="1417" w:type="dxa"/>
            <w:tcBorders>
              <w:top w:val="nil"/>
              <w:right w:val="single" w:sz="4" w:space="0" w:color="auto"/>
            </w:tcBorders>
            <w:vAlign w:val="bottom"/>
          </w:tcPr>
          <w:p w14:paraId="586FC959"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Korkea</w:t>
            </w:r>
          </w:p>
        </w:tc>
        <w:tc>
          <w:tcPr>
            <w:tcW w:w="1301" w:type="dxa"/>
            <w:tcBorders>
              <w:top w:val="nil"/>
              <w:left w:val="single" w:sz="4" w:space="0" w:color="auto"/>
              <w:right w:val="single" w:sz="4" w:space="0" w:color="auto"/>
            </w:tcBorders>
            <w:vAlign w:val="bottom"/>
          </w:tcPr>
          <w:p w14:paraId="586FC95A" w14:textId="77777777" w:rsidR="00311DC5" w:rsidRPr="00B852DB" w:rsidRDefault="00311DC5" w:rsidP="008238ED">
            <w:pPr>
              <w:pStyle w:val="Table"/>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44,8</w:t>
            </w:r>
          </w:p>
        </w:tc>
        <w:tc>
          <w:tcPr>
            <w:tcW w:w="1692" w:type="dxa"/>
            <w:tcBorders>
              <w:top w:val="nil"/>
              <w:left w:val="single" w:sz="4" w:space="0" w:color="auto"/>
              <w:right w:val="single" w:sz="4" w:space="0" w:color="auto"/>
            </w:tcBorders>
            <w:vAlign w:val="bottom"/>
          </w:tcPr>
          <w:p w14:paraId="586FC95B"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21/140 vs. 51/127</w:t>
            </w:r>
          </w:p>
        </w:tc>
        <w:tc>
          <w:tcPr>
            <w:tcW w:w="1800" w:type="dxa"/>
            <w:tcBorders>
              <w:top w:val="nil"/>
              <w:left w:val="single" w:sz="4" w:space="0" w:color="auto"/>
              <w:right w:val="single" w:sz="4" w:space="0" w:color="auto"/>
            </w:tcBorders>
            <w:vAlign w:val="bottom"/>
          </w:tcPr>
          <w:p w14:paraId="586FC95C"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0,29 (0,18; 0,49)</w:t>
            </w:r>
          </w:p>
        </w:tc>
        <w:tc>
          <w:tcPr>
            <w:tcW w:w="1440" w:type="dxa"/>
            <w:tcBorders>
              <w:top w:val="nil"/>
              <w:left w:val="single" w:sz="4" w:space="0" w:color="auto"/>
              <w:right w:val="single" w:sz="4" w:space="0" w:color="auto"/>
            </w:tcBorders>
            <w:vAlign w:val="bottom"/>
          </w:tcPr>
          <w:p w14:paraId="586FC95D"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94,8 vs. 64,0</w:t>
            </w:r>
          </w:p>
        </w:tc>
        <w:tc>
          <w:tcPr>
            <w:tcW w:w="1360" w:type="dxa"/>
            <w:tcBorders>
              <w:top w:val="nil"/>
              <w:left w:val="single" w:sz="4" w:space="0" w:color="auto"/>
            </w:tcBorders>
            <w:vAlign w:val="bottom"/>
          </w:tcPr>
          <w:p w14:paraId="586FC95E"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80,7 vs. 46,6</w:t>
            </w:r>
          </w:p>
        </w:tc>
      </w:tr>
      <w:tr w:rsidR="00311DC5" w:rsidRPr="00F2758D" w14:paraId="586FC967" w14:textId="77777777" w:rsidTr="00331A48">
        <w:trPr>
          <w:cantSplit/>
        </w:trPr>
        <w:tc>
          <w:tcPr>
            <w:tcW w:w="934" w:type="dxa"/>
            <w:vMerge w:val="restart"/>
            <w:shd w:val="clear" w:color="auto" w:fill="auto"/>
          </w:tcPr>
          <w:p w14:paraId="586FC960" w14:textId="77777777" w:rsidR="00311DC5" w:rsidRPr="00B852DB" w:rsidRDefault="00311DC5" w:rsidP="00331A48">
            <w:pPr>
              <w:pStyle w:val="Table"/>
              <w:tabs>
                <w:tab w:val="left" w:pos="567"/>
              </w:tabs>
              <w:spacing w:before="480" w:line="260" w:lineRule="exact"/>
              <w:rPr>
                <w:rFonts w:ascii="Times New Roman" w:hAnsi="Times New Roman"/>
                <w:sz w:val="22"/>
                <w:szCs w:val="22"/>
              </w:rPr>
            </w:pPr>
            <w:r w:rsidRPr="00B852DB">
              <w:rPr>
                <w:rFonts w:ascii="Times New Roman" w:hAnsi="Times New Roman"/>
                <w:sz w:val="22"/>
                <w:szCs w:val="22"/>
              </w:rPr>
              <w:t>AFIP</w:t>
            </w:r>
          </w:p>
        </w:tc>
        <w:tc>
          <w:tcPr>
            <w:tcW w:w="1417" w:type="dxa"/>
            <w:tcBorders>
              <w:bottom w:val="nil"/>
              <w:right w:val="single" w:sz="4" w:space="0" w:color="auto"/>
            </w:tcBorders>
            <w:vAlign w:val="bottom"/>
          </w:tcPr>
          <w:p w14:paraId="586FC961"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Erittäin matala</w:t>
            </w:r>
          </w:p>
        </w:tc>
        <w:tc>
          <w:tcPr>
            <w:tcW w:w="1301" w:type="dxa"/>
            <w:tcBorders>
              <w:left w:val="single" w:sz="4" w:space="0" w:color="auto"/>
              <w:bottom w:val="nil"/>
              <w:right w:val="single" w:sz="4" w:space="0" w:color="auto"/>
            </w:tcBorders>
            <w:vAlign w:val="bottom"/>
          </w:tcPr>
          <w:p w14:paraId="586FC962" w14:textId="77777777" w:rsidR="00311DC5" w:rsidRPr="00B852DB" w:rsidRDefault="00311DC5" w:rsidP="008238ED">
            <w:pPr>
              <w:pStyle w:val="Table"/>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20,7</w:t>
            </w:r>
          </w:p>
        </w:tc>
        <w:tc>
          <w:tcPr>
            <w:tcW w:w="1692" w:type="dxa"/>
            <w:tcBorders>
              <w:left w:val="single" w:sz="4" w:space="0" w:color="auto"/>
              <w:bottom w:val="nil"/>
              <w:right w:val="single" w:sz="4" w:space="0" w:color="auto"/>
            </w:tcBorders>
            <w:vAlign w:val="bottom"/>
          </w:tcPr>
          <w:p w14:paraId="586FC963"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586FC964"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E.A.</w:t>
            </w:r>
          </w:p>
        </w:tc>
        <w:tc>
          <w:tcPr>
            <w:tcW w:w="1440" w:type="dxa"/>
            <w:tcBorders>
              <w:left w:val="single" w:sz="4" w:space="0" w:color="auto"/>
              <w:bottom w:val="nil"/>
              <w:right w:val="single" w:sz="4" w:space="0" w:color="auto"/>
            </w:tcBorders>
            <w:vAlign w:val="bottom"/>
          </w:tcPr>
          <w:p w14:paraId="586FC965"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100 vs. 98,1</w:t>
            </w:r>
          </w:p>
        </w:tc>
        <w:tc>
          <w:tcPr>
            <w:tcW w:w="1360" w:type="dxa"/>
            <w:tcBorders>
              <w:left w:val="single" w:sz="4" w:space="0" w:color="auto"/>
              <w:bottom w:val="nil"/>
            </w:tcBorders>
            <w:vAlign w:val="bottom"/>
          </w:tcPr>
          <w:p w14:paraId="586FC966"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100 vs. 93,0</w:t>
            </w:r>
          </w:p>
        </w:tc>
      </w:tr>
      <w:tr w:rsidR="00311DC5" w:rsidRPr="00F2758D" w14:paraId="586FC96F" w14:textId="77777777" w:rsidTr="00331A48">
        <w:trPr>
          <w:cantSplit/>
        </w:trPr>
        <w:tc>
          <w:tcPr>
            <w:tcW w:w="934" w:type="dxa"/>
            <w:vMerge/>
            <w:shd w:val="clear" w:color="auto" w:fill="auto"/>
          </w:tcPr>
          <w:p w14:paraId="586FC968" w14:textId="77777777" w:rsidR="00311DC5" w:rsidRPr="00B852DB" w:rsidRDefault="00311DC5" w:rsidP="008238ED">
            <w:pPr>
              <w:pStyle w:val="Table"/>
              <w:tabs>
                <w:tab w:val="left" w:pos="567"/>
              </w:tabs>
              <w:spacing w:line="260" w:lineRule="exact"/>
              <w:rPr>
                <w:rFonts w:ascii="Times New Roman" w:hAnsi="Times New Roman"/>
                <w:sz w:val="22"/>
                <w:szCs w:val="22"/>
              </w:rPr>
            </w:pPr>
          </w:p>
        </w:tc>
        <w:tc>
          <w:tcPr>
            <w:tcW w:w="1417" w:type="dxa"/>
            <w:tcBorders>
              <w:top w:val="nil"/>
              <w:bottom w:val="nil"/>
              <w:right w:val="single" w:sz="4" w:space="0" w:color="auto"/>
            </w:tcBorders>
            <w:vAlign w:val="bottom"/>
          </w:tcPr>
          <w:p w14:paraId="586FC969"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Matala</w:t>
            </w:r>
          </w:p>
        </w:tc>
        <w:tc>
          <w:tcPr>
            <w:tcW w:w="1301" w:type="dxa"/>
            <w:tcBorders>
              <w:top w:val="nil"/>
              <w:left w:val="single" w:sz="4" w:space="0" w:color="auto"/>
              <w:bottom w:val="nil"/>
              <w:right w:val="single" w:sz="4" w:space="0" w:color="auto"/>
            </w:tcBorders>
            <w:vAlign w:val="bottom"/>
          </w:tcPr>
          <w:p w14:paraId="586FC96A" w14:textId="77777777" w:rsidR="00311DC5" w:rsidRPr="00B852DB" w:rsidRDefault="00311DC5" w:rsidP="008238ED">
            <w:pPr>
              <w:pStyle w:val="Table"/>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25,0</w:t>
            </w:r>
          </w:p>
        </w:tc>
        <w:tc>
          <w:tcPr>
            <w:tcW w:w="1692" w:type="dxa"/>
            <w:tcBorders>
              <w:top w:val="nil"/>
              <w:left w:val="single" w:sz="4" w:space="0" w:color="auto"/>
              <w:bottom w:val="nil"/>
              <w:right w:val="single" w:sz="4" w:space="0" w:color="auto"/>
            </w:tcBorders>
            <w:vAlign w:val="bottom"/>
          </w:tcPr>
          <w:p w14:paraId="586FC96B"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586FC96C"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E.A.</w:t>
            </w:r>
          </w:p>
        </w:tc>
        <w:tc>
          <w:tcPr>
            <w:tcW w:w="1440" w:type="dxa"/>
            <w:tcBorders>
              <w:top w:val="nil"/>
              <w:left w:val="single" w:sz="4" w:space="0" w:color="auto"/>
              <w:bottom w:val="nil"/>
              <w:right w:val="single" w:sz="4" w:space="0" w:color="auto"/>
            </w:tcBorders>
            <w:vAlign w:val="bottom"/>
          </w:tcPr>
          <w:p w14:paraId="586FC96D"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100 vs. 100</w:t>
            </w:r>
          </w:p>
        </w:tc>
        <w:tc>
          <w:tcPr>
            <w:tcW w:w="1360" w:type="dxa"/>
            <w:tcBorders>
              <w:top w:val="nil"/>
              <w:left w:val="single" w:sz="4" w:space="0" w:color="auto"/>
              <w:bottom w:val="nil"/>
            </w:tcBorders>
            <w:vAlign w:val="bottom"/>
          </w:tcPr>
          <w:p w14:paraId="586FC96E"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97,8 vs. 100</w:t>
            </w:r>
          </w:p>
        </w:tc>
      </w:tr>
      <w:tr w:rsidR="00311DC5" w:rsidRPr="00F2758D" w14:paraId="586FC977" w14:textId="77777777" w:rsidTr="00331A48">
        <w:trPr>
          <w:cantSplit/>
        </w:trPr>
        <w:tc>
          <w:tcPr>
            <w:tcW w:w="934" w:type="dxa"/>
            <w:vMerge/>
            <w:shd w:val="clear" w:color="auto" w:fill="auto"/>
          </w:tcPr>
          <w:p w14:paraId="586FC970" w14:textId="77777777" w:rsidR="00311DC5" w:rsidRPr="00B852DB" w:rsidRDefault="00311DC5" w:rsidP="008238ED">
            <w:pPr>
              <w:pStyle w:val="Table"/>
              <w:tabs>
                <w:tab w:val="left" w:pos="567"/>
              </w:tabs>
              <w:spacing w:line="260" w:lineRule="exact"/>
              <w:rPr>
                <w:rFonts w:ascii="Times New Roman" w:hAnsi="Times New Roman"/>
                <w:b/>
                <w:sz w:val="22"/>
                <w:szCs w:val="22"/>
              </w:rPr>
            </w:pPr>
          </w:p>
        </w:tc>
        <w:tc>
          <w:tcPr>
            <w:tcW w:w="1417" w:type="dxa"/>
            <w:tcBorders>
              <w:top w:val="nil"/>
              <w:bottom w:val="nil"/>
              <w:right w:val="single" w:sz="4" w:space="0" w:color="auto"/>
            </w:tcBorders>
            <w:vAlign w:val="bottom"/>
          </w:tcPr>
          <w:p w14:paraId="586FC971"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Kohtuullinen</w:t>
            </w:r>
          </w:p>
        </w:tc>
        <w:tc>
          <w:tcPr>
            <w:tcW w:w="1301" w:type="dxa"/>
            <w:tcBorders>
              <w:top w:val="nil"/>
              <w:left w:val="single" w:sz="4" w:space="0" w:color="auto"/>
              <w:bottom w:val="nil"/>
              <w:right w:val="single" w:sz="4" w:space="0" w:color="auto"/>
            </w:tcBorders>
            <w:vAlign w:val="bottom"/>
          </w:tcPr>
          <w:p w14:paraId="586FC972" w14:textId="77777777" w:rsidR="00311DC5" w:rsidRPr="00B852DB" w:rsidRDefault="00311DC5" w:rsidP="008238ED">
            <w:pPr>
              <w:pStyle w:val="Table"/>
              <w:tabs>
                <w:tab w:val="left" w:pos="567"/>
              </w:tabs>
              <w:spacing w:line="260" w:lineRule="exact"/>
              <w:jc w:val="center"/>
              <w:rPr>
                <w:rFonts w:ascii="Times New Roman" w:hAnsi="Times New Roman"/>
                <w:sz w:val="22"/>
                <w:szCs w:val="22"/>
              </w:rPr>
            </w:pPr>
            <w:r w:rsidRPr="00B852DB">
              <w:rPr>
                <w:rFonts w:ascii="Times New Roman" w:hAnsi="Times New Roman"/>
                <w:sz w:val="22"/>
                <w:szCs w:val="22"/>
              </w:rPr>
              <w:t>24,6</w:t>
            </w:r>
          </w:p>
        </w:tc>
        <w:tc>
          <w:tcPr>
            <w:tcW w:w="1692" w:type="dxa"/>
            <w:tcBorders>
              <w:top w:val="nil"/>
              <w:left w:val="single" w:sz="4" w:space="0" w:color="auto"/>
              <w:bottom w:val="nil"/>
              <w:right w:val="single" w:sz="4" w:space="0" w:color="auto"/>
            </w:tcBorders>
            <w:vAlign w:val="bottom"/>
          </w:tcPr>
          <w:p w14:paraId="586FC973"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586FC974"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586FC975"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97,9 vs. 90,8</w:t>
            </w:r>
          </w:p>
        </w:tc>
        <w:tc>
          <w:tcPr>
            <w:tcW w:w="1360" w:type="dxa"/>
            <w:tcBorders>
              <w:top w:val="nil"/>
              <w:left w:val="single" w:sz="4" w:space="0" w:color="auto"/>
              <w:bottom w:val="nil"/>
            </w:tcBorders>
            <w:vAlign w:val="bottom"/>
          </w:tcPr>
          <w:p w14:paraId="586FC976"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97,9 vs. 73,3</w:t>
            </w:r>
          </w:p>
        </w:tc>
      </w:tr>
      <w:tr w:rsidR="00311DC5" w:rsidRPr="00F2758D" w14:paraId="586FC97F" w14:textId="77777777" w:rsidTr="00331A48">
        <w:trPr>
          <w:cantSplit/>
        </w:trPr>
        <w:tc>
          <w:tcPr>
            <w:tcW w:w="934" w:type="dxa"/>
            <w:vMerge/>
            <w:tcBorders>
              <w:bottom w:val="single" w:sz="4" w:space="0" w:color="auto"/>
            </w:tcBorders>
            <w:shd w:val="clear" w:color="auto" w:fill="auto"/>
          </w:tcPr>
          <w:p w14:paraId="586FC978" w14:textId="77777777" w:rsidR="00311DC5" w:rsidRPr="00B852DB" w:rsidRDefault="00311DC5" w:rsidP="008238ED">
            <w:pPr>
              <w:pStyle w:val="Table"/>
              <w:tabs>
                <w:tab w:val="left" w:pos="567"/>
              </w:tabs>
              <w:spacing w:line="260" w:lineRule="exact"/>
              <w:rPr>
                <w:rFonts w:ascii="Times New Roman" w:hAnsi="Times New Roman"/>
                <w:sz w:val="22"/>
                <w:szCs w:val="22"/>
              </w:rPr>
            </w:pPr>
          </w:p>
        </w:tc>
        <w:tc>
          <w:tcPr>
            <w:tcW w:w="1417" w:type="dxa"/>
            <w:tcBorders>
              <w:top w:val="nil"/>
              <w:bottom w:val="single" w:sz="4" w:space="0" w:color="auto"/>
              <w:right w:val="single" w:sz="4" w:space="0" w:color="auto"/>
            </w:tcBorders>
            <w:vAlign w:val="bottom"/>
          </w:tcPr>
          <w:p w14:paraId="586FC979"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Korkea</w:t>
            </w:r>
          </w:p>
        </w:tc>
        <w:tc>
          <w:tcPr>
            <w:tcW w:w="1301" w:type="dxa"/>
            <w:tcBorders>
              <w:top w:val="nil"/>
              <w:left w:val="single" w:sz="4" w:space="0" w:color="auto"/>
              <w:bottom w:val="single" w:sz="4" w:space="0" w:color="auto"/>
              <w:right w:val="single" w:sz="4" w:space="0" w:color="auto"/>
            </w:tcBorders>
            <w:vAlign w:val="bottom"/>
          </w:tcPr>
          <w:p w14:paraId="586FC97A" w14:textId="77777777" w:rsidR="00311DC5" w:rsidRPr="00B852DB" w:rsidRDefault="00311DC5" w:rsidP="008238ED">
            <w:pPr>
              <w:pStyle w:val="Table"/>
              <w:tabs>
                <w:tab w:val="left" w:pos="567"/>
              </w:tabs>
              <w:spacing w:line="260" w:lineRule="exact"/>
              <w:ind w:right="-3"/>
              <w:jc w:val="center"/>
              <w:rPr>
                <w:rFonts w:ascii="Times New Roman" w:hAnsi="Times New Roman"/>
                <w:sz w:val="22"/>
                <w:szCs w:val="22"/>
              </w:rPr>
            </w:pPr>
            <w:r w:rsidRPr="00B852DB">
              <w:rPr>
                <w:rFonts w:ascii="Times New Roman" w:hAnsi="Times New Roman"/>
                <w:sz w:val="22"/>
                <w:szCs w:val="22"/>
              </w:rPr>
              <w:t>29,7</w:t>
            </w:r>
          </w:p>
        </w:tc>
        <w:tc>
          <w:tcPr>
            <w:tcW w:w="1692" w:type="dxa"/>
            <w:tcBorders>
              <w:top w:val="nil"/>
              <w:left w:val="single" w:sz="4" w:space="0" w:color="auto"/>
              <w:bottom w:val="single" w:sz="4" w:space="0" w:color="auto"/>
              <w:right w:val="single" w:sz="4" w:space="0" w:color="auto"/>
            </w:tcBorders>
            <w:vAlign w:val="bottom"/>
          </w:tcPr>
          <w:p w14:paraId="586FC97B"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586FC97C"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586FC97D"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586FC97E" w14:textId="77777777" w:rsidR="00311DC5" w:rsidRPr="00B852DB" w:rsidRDefault="00311DC5" w:rsidP="008238ED">
            <w:pPr>
              <w:pStyle w:val="Table"/>
              <w:tabs>
                <w:tab w:val="left" w:pos="567"/>
              </w:tabs>
              <w:spacing w:line="260" w:lineRule="exact"/>
              <w:rPr>
                <w:rFonts w:ascii="Times New Roman" w:hAnsi="Times New Roman"/>
                <w:sz w:val="22"/>
                <w:szCs w:val="22"/>
              </w:rPr>
            </w:pPr>
            <w:r w:rsidRPr="00B852DB">
              <w:rPr>
                <w:rFonts w:ascii="Times New Roman" w:hAnsi="Times New Roman"/>
                <w:sz w:val="22"/>
                <w:szCs w:val="22"/>
              </w:rPr>
              <w:t>79,9 vs. 41,5</w:t>
            </w:r>
          </w:p>
        </w:tc>
      </w:tr>
    </w:tbl>
    <w:p w14:paraId="586FC980" w14:textId="77777777" w:rsidR="00311DC5" w:rsidRPr="00CE35D4" w:rsidRDefault="00311DC5" w:rsidP="00311DC5">
      <w:pPr>
        <w:pStyle w:val="EndnoteText"/>
        <w:widowControl w:val="0"/>
        <w:tabs>
          <w:tab w:val="clear" w:pos="567"/>
        </w:tabs>
        <w:rPr>
          <w:color w:val="000000"/>
          <w:szCs w:val="22"/>
          <w:lang w:val="fi-FI"/>
        </w:rPr>
      </w:pPr>
      <w:r w:rsidRPr="00F2758D">
        <w:rPr>
          <w:lang w:val="fi-FI"/>
        </w:rPr>
        <w:t>* Koko seuranta-aika; E.A. – Ei arvioitavissa</w:t>
      </w:r>
    </w:p>
    <w:p w14:paraId="586FC981" w14:textId="77777777" w:rsidR="00311DC5" w:rsidRDefault="00311DC5" w:rsidP="00311DC5">
      <w:pPr>
        <w:pStyle w:val="EndnoteText"/>
        <w:widowControl w:val="0"/>
        <w:tabs>
          <w:tab w:val="clear" w:pos="567"/>
        </w:tabs>
        <w:rPr>
          <w:color w:val="000000"/>
          <w:szCs w:val="22"/>
          <w:lang w:val="fi-FI"/>
        </w:rPr>
      </w:pPr>
    </w:p>
    <w:p w14:paraId="586FC982" w14:textId="77777777" w:rsidR="00311DC5" w:rsidRDefault="00311DC5" w:rsidP="00311DC5">
      <w:pPr>
        <w:rPr>
          <w:rFonts w:ascii="Times New Roman" w:eastAsia="MS Mincho" w:hAnsi="Times New Roman"/>
          <w:iCs/>
          <w:color w:val="auto"/>
          <w:sz w:val="22"/>
          <w:szCs w:val="22"/>
          <w:lang w:eastAsia="fi-FI"/>
        </w:rPr>
      </w:pPr>
      <w:r>
        <w:rPr>
          <w:rFonts w:ascii="Times New Roman" w:hAnsi="Times New Roman"/>
          <w:sz w:val="22"/>
        </w:rPr>
        <w:t xml:space="preserve">Toisessa avoimessa vaiheen III monikeskustutkimuksessa (SSG XVIII/AIO) verrattiin 12 kk ja 36 kk kestäneitä Glivec-hoitoja (400 mg/vrk) potilailla, joille oli tehty GIST-kasvaimen resektio ja joita koski jokin seuraavista: kasvaimen halkaisija &gt; 5 cm ja mitoosiaktiivisuus &gt; 5/50 HPF-kenttä (high power field); kasvaimen halkaisija &gt; 10 cm ja mikä tahansa mitoosiaktiivisuus; tai minkä tahansa kokoinen kasvain ja mitoosiaktiivisuus &gt; 10/50 HPF tai kasvain revennyt vatsaonteloon. </w:t>
      </w:r>
      <w:r>
        <w:rPr>
          <w:rFonts w:ascii="Times New Roman" w:hAnsi="Times New Roman"/>
          <w:sz w:val="22"/>
        </w:rPr>
        <w:lastRenderedPageBreak/>
        <w:t>Tutkimukseen otettiin mukaan ja satunnaistettiin yhteensä 397 potilasta (199 potilasta 12 kuukauden ryhmään ja 198 potilasta 36 kuukauden ryhmään). Mediaani-ikä oli 61 vuotta (jakauma 22–84 vuotta). Seuranta-ajan mediaani oli 54 kk (satunnaistamisajankohdasta tiedonkeruun päättymiseen). Ensimmäisen potilaan satunnaistamisesta tiedonkeruun päättymiseen kului yhteensä 83 kk.</w:t>
      </w:r>
    </w:p>
    <w:p w14:paraId="586FC983" w14:textId="77777777" w:rsidR="00311DC5" w:rsidRDefault="00311DC5" w:rsidP="00311DC5">
      <w:pPr>
        <w:rPr>
          <w:rFonts w:ascii="Times New Roman" w:eastAsia="MS Mincho" w:hAnsi="Times New Roman"/>
          <w:iCs/>
          <w:sz w:val="22"/>
          <w:szCs w:val="22"/>
        </w:rPr>
      </w:pPr>
    </w:p>
    <w:p w14:paraId="586FC984" w14:textId="77777777" w:rsidR="00311DC5" w:rsidRDefault="00311DC5" w:rsidP="00311DC5">
      <w:pPr>
        <w:rPr>
          <w:rFonts w:ascii="Times New Roman" w:eastAsia="MS Mincho" w:hAnsi="Times New Roman"/>
          <w:sz w:val="22"/>
          <w:szCs w:val="22"/>
        </w:rPr>
      </w:pPr>
      <w:r>
        <w:rPr>
          <w:rFonts w:ascii="Times New Roman" w:hAnsi="Times New Roman"/>
          <w:sz w:val="22"/>
        </w:rPr>
        <w:t>Tutkimuksen ensisijainen päätetapahtuma oli relapsiton elossaolo (RFS), joka määriteltiin ajaksi satunnaistamisajankohdasta uusiutumisajankohtaan tai mistä tahansa syystä johtuneeseen kuolemaan.</w:t>
      </w:r>
    </w:p>
    <w:p w14:paraId="586FC985" w14:textId="77777777" w:rsidR="00311DC5" w:rsidRDefault="00311DC5" w:rsidP="00311DC5">
      <w:pPr>
        <w:rPr>
          <w:rFonts w:ascii="Times New Roman" w:eastAsia="MS Mincho" w:hAnsi="Times New Roman"/>
          <w:sz w:val="22"/>
          <w:szCs w:val="22"/>
        </w:rPr>
      </w:pPr>
    </w:p>
    <w:p w14:paraId="586FC986" w14:textId="77777777" w:rsidR="00311DC5" w:rsidRDefault="00311DC5" w:rsidP="00311DC5">
      <w:pPr>
        <w:rPr>
          <w:rFonts w:ascii="Times New Roman" w:eastAsia="MS Mincho" w:hAnsi="Times New Roman"/>
          <w:iCs/>
          <w:sz w:val="22"/>
          <w:szCs w:val="22"/>
        </w:rPr>
      </w:pPr>
      <w:r>
        <w:rPr>
          <w:rFonts w:ascii="Times New Roman" w:hAnsi="Times New Roman"/>
          <w:sz w:val="22"/>
        </w:rPr>
        <w:t>36 kk Glivec-hoito pidensi RFS:ää merkitsevästi verrattuna 12 kk Glivec-hoitoon (kokonaisriskisuhde [HR] = 0,46 [0,32, 0,65], p&lt;0,0001) (Taulukko </w:t>
      </w:r>
      <w:r w:rsidR="0086657A">
        <w:rPr>
          <w:rFonts w:ascii="Times New Roman" w:hAnsi="Times New Roman"/>
          <w:sz w:val="22"/>
        </w:rPr>
        <w:t>8</w:t>
      </w:r>
      <w:r>
        <w:rPr>
          <w:rFonts w:ascii="Times New Roman" w:hAnsi="Times New Roman"/>
          <w:sz w:val="22"/>
        </w:rPr>
        <w:t>, Kuva 1).</w:t>
      </w:r>
    </w:p>
    <w:p w14:paraId="586FC987" w14:textId="77777777" w:rsidR="00311DC5" w:rsidRDefault="00311DC5" w:rsidP="00311DC5">
      <w:pPr>
        <w:rPr>
          <w:rFonts w:ascii="Times New Roman" w:eastAsia="MS Mincho" w:hAnsi="Times New Roman"/>
          <w:iCs/>
          <w:sz w:val="22"/>
          <w:szCs w:val="22"/>
        </w:rPr>
      </w:pPr>
    </w:p>
    <w:p w14:paraId="586FC988" w14:textId="77777777" w:rsidR="00311DC5" w:rsidRDefault="00311DC5" w:rsidP="00311DC5">
      <w:pPr>
        <w:rPr>
          <w:rFonts w:ascii="Times New Roman" w:hAnsi="Times New Roman"/>
          <w:sz w:val="22"/>
        </w:rPr>
      </w:pPr>
      <w:r>
        <w:rPr>
          <w:rFonts w:ascii="Times New Roman" w:hAnsi="Times New Roman"/>
          <w:sz w:val="22"/>
        </w:rPr>
        <w:t>36 kk Glivec-hoito pidensi merkitsevästi myös kokonaiselossaoloa verrattuna 12 kk Glivec-hoitoon (HR = 0,45 [0,22, 0,89], p=0,0187) (Taulukko </w:t>
      </w:r>
      <w:r w:rsidR="0086657A">
        <w:rPr>
          <w:rFonts w:ascii="Times New Roman" w:hAnsi="Times New Roman"/>
          <w:sz w:val="22"/>
        </w:rPr>
        <w:t>8</w:t>
      </w:r>
      <w:r>
        <w:rPr>
          <w:rFonts w:ascii="Times New Roman" w:hAnsi="Times New Roman"/>
          <w:sz w:val="22"/>
        </w:rPr>
        <w:t>, Kuva 2).</w:t>
      </w:r>
    </w:p>
    <w:p w14:paraId="586FC989" w14:textId="77777777" w:rsidR="00311DC5" w:rsidRDefault="00311DC5" w:rsidP="00311DC5">
      <w:pPr>
        <w:rPr>
          <w:rFonts w:ascii="Times New Roman" w:hAnsi="Times New Roman"/>
          <w:sz w:val="22"/>
        </w:rPr>
      </w:pPr>
    </w:p>
    <w:p w14:paraId="586FC98A" w14:textId="77777777" w:rsidR="00311DC5" w:rsidRDefault="00311DC5" w:rsidP="00311DC5">
      <w:pPr>
        <w:rPr>
          <w:rFonts w:ascii="Times New Roman" w:hAnsi="Times New Roman"/>
          <w:sz w:val="22"/>
        </w:rPr>
      </w:pPr>
      <w:r>
        <w:rPr>
          <w:rFonts w:ascii="Times New Roman" w:hAnsi="Times New Roman"/>
          <w:sz w:val="22"/>
        </w:rPr>
        <w:t>Pidempi hoidon kesto (&gt; 36 kuukautta) voi viivästyttää uusien relapsien ilmaantumisajankohtaa; tämän löydöksen vaikutus kokonaiselossaoloon jää kuitenkin tuntemattomaksi.</w:t>
      </w:r>
    </w:p>
    <w:p w14:paraId="586FC98B" w14:textId="77777777" w:rsidR="00311DC5" w:rsidRDefault="00311DC5" w:rsidP="00311DC5">
      <w:pPr>
        <w:rPr>
          <w:rFonts w:ascii="Times New Roman" w:hAnsi="Times New Roman"/>
          <w:sz w:val="22"/>
        </w:rPr>
      </w:pPr>
    </w:p>
    <w:p w14:paraId="586FC98C" w14:textId="77777777" w:rsidR="00311DC5" w:rsidRDefault="00311DC5" w:rsidP="00311DC5">
      <w:pPr>
        <w:rPr>
          <w:rFonts w:ascii="Times New Roman" w:hAnsi="Times New Roman"/>
          <w:sz w:val="22"/>
        </w:rPr>
      </w:pPr>
      <w:r>
        <w:rPr>
          <w:rFonts w:ascii="Times New Roman" w:hAnsi="Times New Roman"/>
          <w:sz w:val="22"/>
        </w:rPr>
        <w:t>Kuolemantapauksia oli 12 kk hoitoryhmässä yhteensä 25 ja 36 kk ryhmässä 12.</w:t>
      </w:r>
    </w:p>
    <w:p w14:paraId="586FC98D" w14:textId="77777777" w:rsidR="00311DC5" w:rsidRDefault="00311DC5" w:rsidP="00311DC5">
      <w:pPr>
        <w:rPr>
          <w:rFonts w:ascii="Times New Roman" w:hAnsi="Times New Roman"/>
          <w:sz w:val="22"/>
        </w:rPr>
      </w:pPr>
    </w:p>
    <w:p w14:paraId="586FC98E" w14:textId="77777777" w:rsidR="00311DC5" w:rsidRDefault="00311DC5" w:rsidP="00311DC5">
      <w:pPr>
        <w:rPr>
          <w:rFonts w:ascii="Times New Roman" w:eastAsia="MS Mincho" w:hAnsi="Times New Roman"/>
          <w:iCs/>
          <w:sz w:val="22"/>
          <w:szCs w:val="22"/>
        </w:rPr>
      </w:pPr>
      <w:r>
        <w:rPr>
          <w:rFonts w:ascii="Times New Roman" w:hAnsi="Times New Roman"/>
          <w:sz w:val="22"/>
        </w:rPr>
        <w:t>36 kuukauden imatinibihoito oli 12 kuukauden hoitoa parempi ITT-analyysissä, joka sisälsi koko tutkimuspopulaation. Suunnitellussa mutaatiotyypin mukaisessa alaryhmäanalyysissä 36 kuukauden hoidossa potilailla, joilla oli mutaatio eksonissa 11, RFS:n HR oli 0,35 [95 %:n luottamusväli: 0,22, 0,56]. Muille harvinaisemmille mutaatioalaryhmille ei voida vetää johtopäätöksiä johtuen havaittujen tapahtumien vähäisestä määrästä.</w:t>
      </w:r>
    </w:p>
    <w:p w14:paraId="586FC98F" w14:textId="77777777" w:rsidR="00311DC5" w:rsidRDefault="00311DC5" w:rsidP="00311DC5">
      <w:pPr>
        <w:rPr>
          <w:rFonts w:ascii="Times New Roman" w:eastAsia="MS Mincho" w:hAnsi="Times New Roman"/>
          <w:iCs/>
          <w:color w:val="auto"/>
          <w:sz w:val="22"/>
          <w:szCs w:val="22"/>
        </w:rPr>
      </w:pPr>
    </w:p>
    <w:p w14:paraId="586FC990" w14:textId="77777777" w:rsidR="00311DC5" w:rsidRDefault="00311DC5" w:rsidP="00331A48">
      <w:pPr>
        <w:keepNext/>
        <w:ind w:left="1418" w:hanging="1418"/>
        <w:rPr>
          <w:rFonts w:ascii="Times New Roman" w:eastAsia="MS Mincho" w:hAnsi="Times New Roman"/>
          <w:b/>
          <w:sz w:val="22"/>
          <w:szCs w:val="22"/>
        </w:rPr>
      </w:pPr>
      <w:r>
        <w:rPr>
          <w:rFonts w:ascii="Times New Roman" w:hAnsi="Times New Roman"/>
          <w:b/>
          <w:sz w:val="22"/>
        </w:rPr>
        <w:t>Taulukko </w:t>
      </w:r>
      <w:r w:rsidR="0086657A">
        <w:rPr>
          <w:rFonts w:ascii="Times New Roman" w:hAnsi="Times New Roman"/>
          <w:b/>
          <w:sz w:val="22"/>
        </w:rPr>
        <w:t>8</w:t>
      </w:r>
      <w:r>
        <w:rPr>
          <w:rFonts w:ascii="Times New Roman" w:hAnsi="Times New Roman"/>
          <w:sz w:val="22"/>
        </w:rPr>
        <w:tab/>
      </w:r>
      <w:r>
        <w:rPr>
          <w:rFonts w:ascii="Times New Roman" w:hAnsi="Times New Roman"/>
          <w:b/>
          <w:sz w:val="22"/>
        </w:rPr>
        <w:t>12 kk ja 36 kk Glivec-hoito (SSGXVIII/AIO-tutkimus)</w:t>
      </w:r>
    </w:p>
    <w:p w14:paraId="586FC991" w14:textId="77777777" w:rsidR="00311DC5" w:rsidRDefault="00311DC5" w:rsidP="00331A48">
      <w:pPr>
        <w:keepNext/>
        <w:rPr>
          <w:rFonts w:ascii="Times New Roman" w:eastAsia="MS Mincho" w:hAnsi="Times New Roman"/>
          <w:sz w:val="22"/>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311DC5" w14:paraId="586FC995" w14:textId="77777777" w:rsidTr="00331A48">
        <w:trPr>
          <w:cantSplit/>
        </w:trPr>
        <w:tc>
          <w:tcPr>
            <w:tcW w:w="3099" w:type="dxa"/>
            <w:tcBorders>
              <w:top w:val="single" w:sz="4" w:space="0" w:color="auto"/>
              <w:left w:val="nil"/>
              <w:bottom w:val="nil"/>
              <w:right w:val="nil"/>
            </w:tcBorders>
          </w:tcPr>
          <w:p w14:paraId="586FC992" w14:textId="77777777" w:rsidR="00311DC5" w:rsidRDefault="00311DC5" w:rsidP="00331A48">
            <w:pPr>
              <w:keepNext/>
              <w:rPr>
                <w:rFonts w:ascii="Times New Roman" w:eastAsia="MS Mincho" w:hAnsi="Times New Roman"/>
                <w:sz w:val="22"/>
                <w:szCs w:val="22"/>
              </w:rPr>
            </w:pPr>
          </w:p>
        </w:tc>
        <w:tc>
          <w:tcPr>
            <w:tcW w:w="3100" w:type="dxa"/>
            <w:tcBorders>
              <w:top w:val="single" w:sz="4" w:space="0" w:color="auto"/>
              <w:left w:val="nil"/>
              <w:bottom w:val="nil"/>
              <w:right w:val="nil"/>
            </w:tcBorders>
          </w:tcPr>
          <w:p w14:paraId="586FC993" w14:textId="77777777" w:rsidR="00311DC5" w:rsidRDefault="00311DC5" w:rsidP="00331A48">
            <w:pPr>
              <w:keepNext/>
              <w:rPr>
                <w:rFonts w:ascii="Times New Roman" w:eastAsia="MS Mincho" w:hAnsi="Times New Roman"/>
                <w:b/>
                <w:sz w:val="22"/>
                <w:szCs w:val="22"/>
              </w:rPr>
            </w:pPr>
            <w:r>
              <w:rPr>
                <w:rFonts w:ascii="Times New Roman" w:hAnsi="Times New Roman"/>
                <w:b/>
                <w:sz w:val="22"/>
              </w:rPr>
              <w:t>12 kk hoitoryhmä</w:t>
            </w:r>
          </w:p>
        </w:tc>
        <w:tc>
          <w:tcPr>
            <w:tcW w:w="3100" w:type="dxa"/>
            <w:tcBorders>
              <w:top w:val="single" w:sz="4" w:space="0" w:color="auto"/>
              <w:left w:val="nil"/>
              <w:bottom w:val="nil"/>
              <w:right w:val="nil"/>
            </w:tcBorders>
          </w:tcPr>
          <w:p w14:paraId="586FC994" w14:textId="77777777" w:rsidR="00311DC5" w:rsidRDefault="00311DC5" w:rsidP="00331A48">
            <w:pPr>
              <w:keepNext/>
              <w:rPr>
                <w:rFonts w:ascii="Times New Roman" w:eastAsia="MS Mincho" w:hAnsi="Times New Roman"/>
                <w:b/>
                <w:sz w:val="22"/>
                <w:szCs w:val="22"/>
              </w:rPr>
            </w:pPr>
            <w:r>
              <w:rPr>
                <w:rFonts w:ascii="Times New Roman" w:hAnsi="Times New Roman"/>
                <w:b/>
                <w:sz w:val="22"/>
              </w:rPr>
              <w:t>36 kk hoitoryhmä</w:t>
            </w:r>
          </w:p>
        </w:tc>
      </w:tr>
      <w:tr w:rsidR="00311DC5" w14:paraId="586FC999" w14:textId="77777777" w:rsidTr="00331A48">
        <w:trPr>
          <w:cantSplit/>
        </w:trPr>
        <w:tc>
          <w:tcPr>
            <w:tcW w:w="3099" w:type="dxa"/>
            <w:tcBorders>
              <w:top w:val="nil"/>
              <w:left w:val="nil"/>
              <w:bottom w:val="nil"/>
              <w:right w:val="nil"/>
            </w:tcBorders>
          </w:tcPr>
          <w:p w14:paraId="586FC996" w14:textId="77777777" w:rsidR="00311DC5" w:rsidRDefault="00311DC5" w:rsidP="00331A48">
            <w:pPr>
              <w:keepNext/>
              <w:rPr>
                <w:rFonts w:ascii="Times New Roman" w:eastAsia="MS Mincho" w:hAnsi="Times New Roman"/>
                <w:b/>
                <w:sz w:val="22"/>
                <w:szCs w:val="22"/>
              </w:rPr>
            </w:pPr>
            <w:r>
              <w:rPr>
                <w:rFonts w:ascii="Times New Roman" w:hAnsi="Times New Roman"/>
                <w:b/>
                <w:sz w:val="22"/>
              </w:rPr>
              <w:t>RFS</w:t>
            </w:r>
          </w:p>
        </w:tc>
        <w:tc>
          <w:tcPr>
            <w:tcW w:w="3100" w:type="dxa"/>
            <w:tcBorders>
              <w:top w:val="nil"/>
              <w:left w:val="nil"/>
              <w:bottom w:val="nil"/>
              <w:right w:val="nil"/>
            </w:tcBorders>
          </w:tcPr>
          <w:p w14:paraId="586FC997" w14:textId="77777777" w:rsidR="00311DC5" w:rsidRDefault="00311DC5" w:rsidP="00331A48">
            <w:pPr>
              <w:keepNext/>
              <w:rPr>
                <w:rFonts w:ascii="Times New Roman" w:eastAsia="MS Mincho" w:hAnsi="Times New Roman"/>
                <w:b/>
                <w:sz w:val="22"/>
                <w:szCs w:val="22"/>
              </w:rPr>
            </w:pPr>
            <w:r>
              <w:rPr>
                <w:rFonts w:ascii="Times New Roman" w:hAnsi="Times New Roman"/>
                <w:b/>
                <w:sz w:val="22"/>
              </w:rPr>
              <w:t>% (luottamusväli)</w:t>
            </w:r>
          </w:p>
        </w:tc>
        <w:tc>
          <w:tcPr>
            <w:tcW w:w="3100" w:type="dxa"/>
            <w:tcBorders>
              <w:top w:val="nil"/>
              <w:left w:val="nil"/>
              <w:bottom w:val="nil"/>
              <w:right w:val="nil"/>
            </w:tcBorders>
          </w:tcPr>
          <w:p w14:paraId="586FC998" w14:textId="77777777" w:rsidR="00311DC5" w:rsidRDefault="00311DC5" w:rsidP="00331A48">
            <w:pPr>
              <w:keepNext/>
              <w:rPr>
                <w:rFonts w:ascii="Times New Roman" w:eastAsia="MS Mincho" w:hAnsi="Times New Roman"/>
                <w:b/>
                <w:sz w:val="22"/>
                <w:szCs w:val="22"/>
              </w:rPr>
            </w:pPr>
            <w:r>
              <w:rPr>
                <w:rFonts w:ascii="Times New Roman" w:hAnsi="Times New Roman"/>
                <w:b/>
                <w:sz w:val="22"/>
              </w:rPr>
              <w:t>% (luottamusväli)</w:t>
            </w:r>
          </w:p>
        </w:tc>
      </w:tr>
      <w:tr w:rsidR="00311DC5" w14:paraId="586FC99D" w14:textId="77777777" w:rsidTr="00331A48">
        <w:trPr>
          <w:cantSplit/>
        </w:trPr>
        <w:tc>
          <w:tcPr>
            <w:tcW w:w="3099" w:type="dxa"/>
            <w:tcBorders>
              <w:top w:val="nil"/>
              <w:left w:val="nil"/>
              <w:bottom w:val="nil"/>
              <w:right w:val="nil"/>
            </w:tcBorders>
          </w:tcPr>
          <w:p w14:paraId="586FC99A" w14:textId="77777777" w:rsidR="00311DC5" w:rsidRDefault="00311DC5" w:rsidP="00331A48">
            <w:pPr>
              <w:keepNext/>
              <w:ind w:left="284"/>
              <w:rPr>
                <w:rFonts w:ascii="Times New Roman" w:eastAsia="MS Mincho" w:hAnsi="Times New Roman"/>
                <w:sz w:val="22"/>
                <w:szCs w:val="22"/>
              </w:rPr>
            </w:pPr>
            <w:r>
              <w:rPr>
                <w:rFonts w:ascii="Times New Roman" w:hAnsi="Times New Roman"/>
                <w:sz w:val="22"/>
              </w:rPr>
              <w:t>12 kk</w:t>
            </w:r>
          </w:p>
        </w:tc>
        <w:tc>
          <w:tcPr>
            <w:tcW w:w="3100" w:type="dxa"/>
            <w:tcBorders>
              <w:top w:val="nil"/>
              <w:left w:val="nil"/>
              <w:bottom w:val="nil"/>
              <w:right w:val="nil"/>
            </w:tcBorders>
          </w:tcPr>
          <w:p w14:paraId="586FC99B" w14:textId="77777777" w:rsidR="00311DC5" w:rsidRDefault="00311DC5" w:rsidP="00331A48">
            <w:pPr>
              <w:keepNext/>
              <w:rPr>
                <w:rFonts w:ascii="Times New Roman" w:eastAsia="MS Mincho" w:hAnsi="Times New Roman"/>
                <w:sz w:val="22"/>
                <w:szCs w:val="22"/>
              </w:rPr>
            </w:pPr>
            <w:r>
              <w:rPr>
                <w:rFonts w:ascii="Times New Roman" w:hAnsi="Times New Roman"/>
                <w:sz w:val="22"/>
              </w:rPr>
              <w:t>93,7 (89,2–96,4)</w:t>
            </w:r>
          </w:p>
        </w:tc>
        <w:tc>
          <w:tcPr>
            <w:tcW w:w="3100" w:type="dxa"/>
            <w:tcBorders>
              <w:top w:val="nil"/>
              <w:left w:val="nil"/>
              <w:bottom w:val="nil"/>
              <w:right w:val="nil"/>
            </w:tcBorders>
          </w:tcPr>
          <w:p w14:paraId="586FC99C" w14:textId="77777777" w:rsidR="00311DC5" w:rsidRDefault="00311DC5" w:rsidP="00331A48">
            <w:pPr>
              <w:keepNext/>
              <w:rPr>
                <w:rFonts w:ascii="Times New Roman" w:eastAsia="MS Mincho" w:hAnsi="Times New Roman"/>
                <w:sz w:val="22"/>
                <w:szCs w:val="22"/>
              </w:rPr>
            </w:pPr>
            <w:r>
              <w:rPr>
                <w:rFonts w:ascii="Times New Roman" w:hAnsi="Times New Roman"/>
                <w:sz w:val="22"/>
              </w:rPr>
              <w:t>95,9 (91,9–97,9)</w:t>
            </w:r>
          </w:p>
        </w:tc>
      </w:tr>
      <w:tr w:rsidR="00311DC5" w14:paraId="586FC9A1" w14:textId="77777777" w:rsidTr="00331A48">
        <w:trPr>
          <w:cantSplit/>
        </w:trPr>
        <w:tc>
          <w:tcPr>
            <w:tcW w:w="3099" w:type="dxa"/>
            <w:tcBorders>
              <w:top w:val="nil"/>
              <w:left w:val="nil"/>
              <w:bottom w:val="nil"/>
              <w:right w:val="nil"/>
            </w:tcBorders>
          </w:tcPr>
          <w:p w14:paraId="586FC99E" w14:textId="77777777" w:rsidR="00311DC5" w:rsidRDefault="00311DC5" w:rsidP="00331A48">
            <w:pPr>
              <w:keepNext/>
              <w:ind w:left="284"/>
              <w:rPr>
                <w:rFonts w:ascii="Times New Roman" w:eastAsia="MS Mincho" w:hAnsi="Times New Roman"/>
                <w:sz w:val="22"/>
                <w:szCs w:val="22"/>
              </w:rPr>
            </w:pPr>
            <w:r>
              <w:rPr>
                <w:rFonts w:ascii="Times New Roman" w:hAnsi="Times New Roman"/>
                <w:sz w:val="22"/>
              </w:rPr>
              <w:t>24 kk</w:t>
            </w:r>
          </w:p>
        </w:tc>
        <w:tc>
          <w:tcPr>
            <w:tcW w:w="3100" w:type="dxa"/>
            <w:tcBorders>
              <w:top w:val="nil"/>
              <w:left w:val="nil"/>
              <w:bottom w:val="nil"/>
              <w:right w:val="nil"/>
            </w:tcBorders>
          </w:tcPr>
          <w:p w14:paraId="586FC99F" w14:textId="77777777" w:rsidR="00311DC5" w:rsidRDefault="00311DC5" w:rsidP="00331A48">
            <w:pPr>
              <w:keepNext/>
              <w:rPr>
                <w:rFonts w:ascii="Times New Roman" w:eastAsia="MS Mincho" w:hAnsi="Times New Roman"/>
                <w:sz w:val="22"/>
                <w:szCs w:val="22"/>
              </w:rPr>
            </w:pPr>
            <w:r>
              <w:rPr>
                <w:rFonts w:ascii="Times New Roman" w:hAnsi="Times New Roman"/>
                <w:sz w:val="22"/>
              </w:rPr>
              <w:t>75,4 (68,6–81,0)</w:t>
            </w:r>
          </w:p>
        </w:tc>
        <w:tc>
          <w:tcPr>
            <w:tcW w:w="3100" w:type="dxa"/>
            <w:tcBorders>
              <w:top w:val="nil"/>
              <w:left w:val="nil"/>
              <w:bottom w:val="nil"/>
              <w:right w:val="nil"/>
            </w:tcBorders>
          </w:tcPr>
          <w:p w14:paraId="586FC9A0" w14:textId="77777777" w:rsidR="00311DC5" w:rsidRDefault="00311DC5" w:rsidP="00331A48">
            <w:pPr>
              <w:keepNext/>
              <w:rPr>
                <w:rFonts w:ascii="Times New Roman" w:eastAsia="MS Mincho" w:hAnsi="Times New Roman"/>
                <w:sz w:val="22"/>
                <w:szCs w:val="22"/>
              </w:rPr>
            </w:pPr>
            <w:r>
              <w:rPr>
                <w:rFonts w:ascii="Times New Roman" w:hAnsi="Times New Roman"/>
                <w:sz w:val="22"/>
              </w:rPr>
              <w:t>90,7 (85,6–94,0)</w:t>
            </w:r>
          </w:p>
        </w:tc>
      </w:tr>
      <w:tr w:rsidR="00311DC5" w14:paraId="586FC9A5" w14:textId="77777777" w:rsidTr="00331A48">
        <w:trPr>
          <w:cantSplit/>
        </w:trPr>
        <w:tc>
          <w:tcPr>
            <w:tcW w:w="3099" w:type="dxa"/>
            <w:tcBorders>
              <w:top w:val="nil"/>
              <w:left w:val="nil"/>
              <w:bottom w:val="nil"/>
              <w:right w:val="nil"/>
            </w:tcBorders>
          </w:tcPr>
          <w:p w14:paraId="586FC9A2" w14:textId="77777777" w:rsidR="00311DC5" w:rsidRDefault="00311DC5" w:rsidP="00331A48">
            <w:pPr>
              <w:keepNext/>
              <w:ind w:left="284"/>
              <w:rPr>
                <w:rFonts w:ascii="Times New Roman" w:eastAsia="MS Mincho" w:hAnsi="Times New Roman"/>
                <w:sz w:val="22"/>
                <w:szCs w:val="22"/>
              </w:rPr>
            </w:pPr>
            <w:r>
              <w:rPr>
                <w:rFonts w:ascii="Times New Roman" w:hAnsi="Times New Roman"/>
                <w:sz w:val="22"/>
              </w:rPr>
              <w:t>36 kk</w:t>
            </w:r>
          </w:p>
        </w:tc>
        <w:tc>
          <w:tcPr>
            <w:tcW w:w="3100" w:type="dxa"/>
            <w:tcBorders>
              <w:top w:val="nil"/>
              <w:left w:val="nil"/>
              <w:bottom w:val="nil"/>
              <w:right w:val="nil"/>
            </w:tcBorders>
          </w:tcPr>
          <w:p w14:paraId="586FC9A3" w14:textId="77777777" w:rsidR="00311DC5" w:rsidRDefault="00311DC5" w:rsidP="00331A48">
            <w:pPr>
              <w:keepNext/>
              <w:rPr>
                <w:rFonts w:ascii="Times New Roman" w:eastAsia="MS Mincho" w:hAnsi="Times New Roman"/>
                <w:sz w:val="22"/>
                <w:szCs w:val="22"/>
              </w:rPr>
            </w:pPr>
            <w:r>
              <w:rPr>
                <w:rFonts w:ascii="Times New Roman" w:hAnsi="Times New Roman"/>
                <w:sz w:val="22"/>
              </w:rPr>
              <w:t>60,1 (52,5–66,9)</w:t>
            </w:r>
          </w:p>
        </w:tc>
        <w:tc>
          <w:tcPr>
            <w:tcW w:w="3100" w:type="dxa"/>
            <w:tcBorders>
              <w:top w:val="nil"/>
              <w:left w:val="nil"/>
              <w:bottom w:val="nil"/>
              <w:right w:val="nil"/>
            </w:tcBorders>
          </w:tcPr>
          <w:p w14:paraId="586FC9A4" w14:textId="77777777" w:rsidR="00311DC5" w:rsidRDefault="00311DC5" w:rsidP="00331A48">
            <w:pPr>
              <w:keepNext/>
              <w:rPr>
                <w:rFonts w:ascii="Times New Roman" w:eastAsia="MS Mincho" w:hAnsi="Times New Roman"/>
                <w:sz w:val="22"/>
                <w:szCs w:val="22"/>
              </w:rPr>
            </w:pPr>
            <w:r>
              <w:rPr>
                <w:rFonts w:ascii="Times New Roman" w:hAnsi="Times New Roman"/>
                <w:sz w:val="22"/>
              </w:rPr>
              <w:t>86,6 (80,8–90,8)</w:t>
            </w:r>
          </w:p>
        </w:tc>
      </w:tr>
      <w:tr w:rsidR="00311DC5" w14:paraId="586FC9A9" w14:textId="77777777" w:rsidTr="00331A48">
        <w:trPr>
          <w:cantSplit/>
        </w:trPr>
        <w:tc>
          <w:tcPr>
            <w:tcW w:w="3099" w:type="dxa"/>
            <w:tcBorders>
              <w:top w:val="nil"/>
              <w:left w:val="nil"/>
              <w:bottom w:val="nil"/>
              <w:right w:val="nil"/>
            </w:tcBorders>
          </w:tcPr>
          <w:p w14:paraId="586FC9A6" w14:textId="77777777" w:rsidR="00311DC5" w:rsidRDefault="00311DC5" w:rsidP="00331A48">
            <w:pPr>
              <w:keepNext/>
              <w:ind w:left="284"/>
              <w:rPr>
                <w:rFonts w:ascii="Times New Roman" w:eastAsia="MS Mincho" w:hAnsi="Times New Roman"/>
                <w:sz w:val="22"/>
                <w:szCs w:val="22"/>
              </w:rPr>
            </w:pPr>
            <w:r>
              <w:rPr>
                <w:rFonts w:ascii="Times New Roman" w:hAnsi="Times New Roman"/>
                <w:sz w:val="22"/>
              </w:rPr>
              <w:t>48 kk</w:t>
            </w:r>
          </w:p>
        </w:tc>
        <w:tc>
          <w:tcPr>
            <w:tcW w:w="3100" w:type="dxa"/>
            <w:tcBorders>
              <w:top w:val="nil"/>
              <w:left w:val="nil"/>
              <w:bottom w:val="nil"/>
              <w:right w:val="nil"/>
            </w:tcBorders>
          </w:tcPr>
          <w:p w14:paraId="586FC9A7" w14:textId="77777777" w:rsidR="00311DC5" w:rsidRDefault="00311DC5" w:rsidP="00331A48">
            <w:pPr>
              <w:keepNext/>
              <w:rPr>
                <w:rFonts w:ascii="Times New Roman" w:eastAsia="MS Mincho" w:hAnsi="Times New Roman"/>
                <w:sz w:val="22"/>
                <w:szCs w:val="22"/>
              </w:rPr>
            </w:pPr>
            <w:r>
              <w:rPr>
                <w:rFonts w:ascii="Times New Roman" w:hAnsi="Times New Roman"/>
                <w:sz w:val="22"/>
              </w:rPr>
              <w:t>52,3 (44,0–59,8)</w:t>
            </w:r>
          </w:p>
        </w:tc>
        <w:tc>
          <w:tcPr>
            <w:tcW w:w="3100" w:type="dxa"/>
            <w:tcBorders>
              <w:top w:val="nil"/>
              <w:left w:val="nil"/>
              <w:bottom w:val="nil"/>
              <w:right w:val="nil"/>
            </w:tcBorders>
          </w:tcPr>
          <w:p w14:paraId="586FC9A8" w14:textId="77777777" w:rsidR="00311DC5" w:rsidRDefault="00311DC5" w:rsidP="00331A48">
            <w:pPr>
              <w:keepNext/>
              <w:rPr>
                <w:rFonts w:ascii="Times New Roman" w:eastAsia="MS Mincho" w:hAnsi="Times New Roman"/>
                <w:sz w:val="22"/>
                <w:szCs w:val="22"/>
              </w:rPr>
            </w:pPr>
            <w:r>
              <w:rPr>
                <w:rFonts w:ascii="Times New Roman" w:hAnsi="Times New Roman"/>
                <w:sz w:val="22"/>
              </w:rPr>
              <w:t>78,3 (70,8</w:t>
            </w:r>
            <w:r>
              <w:rPr>
                <w:rFonts w:ascii="Times New Roman" w:hAnsi="Times New Roman"/>
                <w:sz w:val="22"/>
              </w:rPr>
              <w:noBreakHyphen/>
              <w:t>84,1)</w:t>
            </w:r>
          </w:p>
        </w:tc>
      </w:tr>
      <w:tr w:rsidR="00311DC5" w14:paraId="586FC9AD" w14:textId="77777777" w:rsidTr="00331A48">
        <w:trPr>
          <w:cantSplit/>
        </w:trPr>
        <w:tc>
          <w:tcPr>
            <w:tcW w:w="3099" w:type="dxa"/>
            <w:tcBorders>
              <w:top w:val="nil"/>
              <w:left w:val="nil"/>
              <w:bottom w:val="nil"/>
              <w:right w:val="nil"/>
            </w:tcBorders>
          </w:tcPr>
          <w:p w14:paraId="586FC9AA" w14:textId="77777777" w:rsidR="00311DC5" w:rsidRDefault="00311DC5" w:rsidP="00331A48">
            <w:pPr>
              <w:keepNext/>
              <w:ind w:left="284"/>
              <w:rPr>
                <w:rFonts w:ascii="Times New Roman" w:eastAsia="MS Mincho" w:hAnsi="Times New Roman"/>
                <w:sz w:val="22"/>
                <w:szCs w:val="22"/>
              </w:rPr>
            </w:pPr>
            <w:r>
              <w:rPr>
                <w:rFonts w:ascii="Times New Roman" w:hAnsi="Times New Roman"/>
                <w:sz w:val="22"/>
              </w:rPr>
              <w:t>60 kk</w:t>
            </w:r>
          </w:p>
        </w:tc>
        <w:tc>
          <w:tcPr>
            <w:tcW w:w="3100" w:type="dxa"/>
            <w:tcBorders>
              <w:top w:val="nil"/>
              <w:left w:val="nil"/>
              <w:bottom w:val="nil"/>
              <w:right w:val="nil"/>
            </w:tcBorders>
          </w:tcPr>
          <w:p w14:paraId="586FC9AB" w14:textId="77777777" w:rsidR="00311DC5" w:rsidRDefault="00311DC5" w:rsidP="00331A48">
            <w:pPr>
              <w:keepNext/>
              <w:rPr>
                <w:rFonts w:ascii="Times New Roman" w:eastAsia="MS Mincho" w:hAnsi="Times New Roman"/>
                <w:sz w:val="22"/>
                <w:szCs w:val="22"/>
              </w:rPr>
            </w:pPr>
            <w:r>
              <w:rPr>
                <w:rFonts w:ascii="Times New Roman" w:hAnsi="Times New Roman"/>
                <w:sz w:val="22"/>
              </w:rPr>
              <w:t>47,9 (39,0–56,3)</w:t>
            </w:r>
          </w:p>
        </w:tc>
        <w:tc>
          <w:tcPr>
            <w:tcW w:w="3100" w:type="dxa"/>
            <w:tcBorders>
              <w:top w:val="nil"/>
              <w:left w:val="nil"/>
              <w:bottom w:val="nil"/>
              <w:right w:val="nil"/>
            </w:tcBorders>
          </w:tcPr>
          <w:p w14:paraId="586FC9AC" w14:textId="77777777" w:rsidR="00311DC5" w:rsidRDefault="00311DC5" w:rsidP="00331A48">
            <w:pPr>
              <w:keepNext/>
              <w:rPr>
                <w:rFonts w:ascii="Times New Roman" w:eastAsia="MS Mincho" w:hAnsi="Times New Roman"/>
                <w:sz w:val="22"/>
                <w:szCs w:val="22"/>
              </w:rPr>
            </w:pPr>
            <w:r>
              <w:rPr>
                <w:rFonts w:ascii="Times New Roman" w:hAnsi="Times New Roman"/>
                <w:sz w:val="22"/>
              </w:rPr>
              <w:t>65,6 (56,1–73,4)</w:t>
            </w:r>
          </w:p>
        </w:tc>
      </w:tr>
      <w:tr w:rsidR="00311DC5" w14:paraId="586FC9B1" w14:textId="77777777" w:rsidTr="00331A48">
        <w:trPr>
          <w:cantSplit/>
        </w:trPr>
        <w:tc>
          <w:tcPr>
            <w:tcW w:w="3099" w:type="dxa"/>
            <w:tcBorders>
              <w:top w:val="nil"/>
              <w:left w:val="nil"/>
              <w:bottom w:val="nil"/>
              <w:right w:val="nil"/>
            </w:tcBorders>
          </w:tcPr>
          <w:p w14:paraId="586FC9AE" w14:textId="77777777" w:rsidR="00311DC5" w:rsidRDefault="00311DC5" w:rsidP="00331A48">
            <w:pPr>
              <w:keepNext/>
              <w:rPr>
                <w:rFonts w:ascii="Times New Roman" w:eastAsia="MS Mincho" w:hAnsi="Times New Roman"/>
                <w:b/>
                <w:sz w:val="22"/>
                <w:szCs w:val="22"/>
              </w:rPr>
            </w:pPr>
            <w:r>
              <w:rPr>
                <w:rFonts w:ascii="Times New Roman" w:hAnsi="Times New Roman"/>
                <w:b/>
                <w:sz w:val="22"/>
              </w:rPr>
              <w:t>Elossaolo</w:t>
            </w:r>
          </w:p>
        </w:tc>
        <w:tc>
          <w:tcPr>
            <w:tcW w:w="3100" w:type="dxa"/>
            <w:tcBorders>
              <w:top w:val="nil"/>
              <w:left w:val="nil"/>
              <w:bottom w:val="nil"/>
              <w:right w:val="nil"/>
            </w:tcBorders>
          </w:tcPr>
          <w:p w14:paraId="586FC9AF" w14:textId="77777777" w:rsidR="00311DC5" w:rsidRDefault="00311DC5" w:rsidP="00331A48">
            <w:pPr>
              <w:keepNext/>
              <w:rPr>
                <w:rFonts w:ascii="Times New Roman" w:eastAsia="MS Mincho" w:hAnsi="Times New Roman"/>
                <w:sz w:val="22"/>
                <w:szCs w:val="22"/>
              </w:rPr>
            </w:pPr>
          </w:p>
        </w:tc>
        <w:tc>
          <w:tcPr>
            <w:tcW w:w="3100" w:type="dxa"/>
            <w:tcBorders>
              <w:top w:val="nil"/>
              <w:left w:val="nil"/>
              <w:bottom w:val="nil"/>
              <w:right w:val="nil"/>
            </w:tcBorders>
          </w:tcPr>
          <w:p w14:paraId="586FC9B0" w14:textId="77777777" w:rsidR="00311DC5" w:rsidRDefault="00311DC5" w:rsidP="00331A48">
            <w:pPr>
              <w:keepNext/>
              <w:rPr>
                <w:rFonts w:ascii="Times New Roman" w:eastAsia="MS Mincho" w:hAnsi="Times New Roman"/>
                <w:sz w:val="22"/>
                <w:szCs w:val="22"/>
              </w:rPr>
            </w:pPr>
          </w:p>
        </w:tc>
      </w:tr>
      <w:tr w:rsidR="00311DC5" w14:paraId="586FC9B5" w14:textId="77777777" w:rsidTr="00331A48">
        <w:trPr>
          <w:cantSplit/>
        </w:trPr>
        <w:tc>
          <w:tcPr>
            <w:tcW w:w="3099" w:type="dxa"/>
            <w:tcBorders>
              <w:top w:val="nil"/>
              <w:left w:val="nil"/>
              <w:bottom w:val="nil"/>
              <w:right w:val="nil"/>
            </w:tcBorders>
          </w:tcPr>
          <w:p w14:paraId="586FC9B2" w14:textId="77777777" w:rsidR="00311DC5" w:rsidRDefault="00311DC5" w:rsidP="00331A48">
            <w:pPr>
              <w:keepNext/>
              <w:ind w:left="284"/>
              <w:rPr>
                <w:rFonts w:ascii="Times New Roman" w:eastAsia="MS Mincho" w:hAnsi="Times New Roman"/>
                <w:sz w:val="22"/>
                <w:szCs w:val="22"/>
              </w:rPr>
            </w:pPr>
            <w:r>
              <w:rPr>
                <w:rFonts w:ascii="Times New Roman" w:hAnsi="Times New Roman"/>
                <w:sz w:val="22"/>
              </w:rPr>
              <w:t>36 kk</w:t>
            </w:r>
          </w:p>
        </w:tc>
        <w:tc>
          <w:tcPr>
            <w:tcW w:w="3100" w:type="dxa"/>
            <w:tcBorders>
              <w:top w:val="nil"/>
              <w:left w:val="nil"/>
              <w:bottom w:val="nil"/>
              <w:right w:val="nil"/>
            </w:tcBorders>
          </w:tcPr>
          <w:p w14:paraId="586FC9B3" w14:textId="77777777" w:rsidR="00311DC5" w:rsidRDefault="00311DC5" w:rsidP="00331A48">
            <w:pPr>
              <w:keepNext/>
              <w:rPr>
                <w:rFonts w:ascii="Times New Roman" w:eastAsia="MS Mincho" w:hAnsi="Times New Roman"/>
                <w:sz w:val="22"/>
                <w:szCs w:val="22"/>
              </w:rPr>
            </w:pPr>
            <w:r>
              <w:rPr>
                <w:rFonts w:ascii="Times New Roman" w:hAnsi="Times New Roman"/>
                <w:sz w:val="22"/>
              </w:rPr>
              <w:t>94,0 (89,5–96,7)</w:t>
            </w:r>
          </w:p>
        </w:tc>
        <w:tc>
          <w:tcPr>
            <w:tcW w:w="3100" w:type="dxa"/>
            <w:tcBorders>
              <w:top w:val="nil"/>
              <w:left w:val="nil"/>
              <w:bottom w:val="nil"/>
              <w:right w:val="nil"/>
            </w:tcBorders>
          </w:tcPr>
          <w:p w14:paraId="586FC9B4" w14:textId="77777777" w:rsidR="00311DC5" w:rsidRDefault="00311DC5" w:rsidP="00331A48">
            <w:pPr>
              <w:keepNext/>
              <w:rPr>
                <w:rFonts w:ascii="Times New Roman" w:eastAsia="MS Mincho" w:hAnsi="Times New Roman"/>
                <w:sz w:val="22"/>
                <w:szCs w:val="22"/>
              </w:rPr>
            </w:pPr>
            <w:r>
              <w:rPr>
                <w:rFonts w:ascii="Times New Roman" w:hAnsi="Times New Roman"/>
                <w:sz w:val="22"/>
              </w:rPr>
              <w:t>96,3 (92,4–98,2)</w:t>
            </w:r>
          </w:p>
        </w:tc>
      </w:tr>
      <w:tr w:rsidR="00311DC5" w14:paraId="586FC9B9" w14:textId="77777777" w:rsidTr="00331A48">
        <w:trPr>
          <w:cantSplit/>
        </w:trPr>
        <w:tc>
          <w:tcPr>
            <w:tcW w:w="3099" w:type="dxa"/>
            <w:tcBorders>
              <w:top w:val="nil"/>
              <w:left w:val="nil"/>
              <w:bottom w:val="nil"/>
              <w:right w:val="nil"/>
            </w:tcBorders>
          </w:tcPr>
          <w:p w14:paraId="586FC9B6" w14:textId="77777777" w:rsidR="00311DC5" w:rsidRDefault="00311DC5" w:rsidP="00331A48">
            <w:pPr>
              <w:keepNext/>
              <w:ind w:left="284"/>
              <w:rPr>
                <w:rFonts w:ascii="Times New Roman" w:eastAsia="MS Mincho" w:hAnsi="Times New Roman"/>
                <w:sz w:val="22"/>
                <w:szCs w:val="22"/>
              </w:rPr>
            </w:pPr>
            <w:r>
              <w:rPr>
                <w:rFonts w:ascii="Times New Roman" w:hAnsi="Times New Roman"/>
                <w:sz w:val="22"/>
              </w:rPr>
              <w:t>48 kk</w:t>
            </w:r>
          </w:p>
        </w:tc>
        <w:tc>
          <w:tcPr>
            <w:tcW w:w="3100" w:type="dxa"/>
            <w:tcBorders>
              <w:top w:val="nil"/>
              <w:left w:val="nil"/>
              <w:bottom w:val="nil"/>
              <w:right w:val="nil"/>
            </w:tcBorders>
          </w:tcPr>
          <w:p w14:paraId="586FC9B7" w14:textId="77777777" w:rsidR="00311DC5" w:rsidRDefault="00311DC5" w:rsidP="00331A48">
            <w:pPr>
              <w:keepNext/>
              <w:rPr>
                <w:rFonts w:ascii="Times New Roman" w:eastAsia="MS Mincho" w:hAnsi="Times New Roman"/>
                <w:sz w:val="22"/>
                <w:szCs w:val="22"/>
              </w:rPr>
            </w:pPr>
            <w:r>
              <w:rPr>
                <w:rFonts w:ascii="Times New Roman" w:hAnsi="Times New Roman"/>
                <w:sz w:val="22"/>
              </w:rPr>
              <w:t>87,9 (81,1–92,3)</w:t>
            </w:r>
          </w:p>
        </w:tc>
        <w:tc>
          <w:tcPr>
            <w:tcW w:w="3100" w:type="dxa"/>
            <w:tcBorders>
              <w:top w:val="nil"/>
              <w:left w:val="nil"/>
              <w:bottom w:val="nil"/>
              <w:right w:val="nil"/>
            </w:tcBorders>
          </w:tcPr>
          <w:p w14:paraId="586FC9B8" w14:textId="77777777" w:rsidR="00311DC5" w:rsidRDefault="00311DC5" w:rsidP="00331A48">
            <w:pPr>
              <w:keepNext/>
              <w:rPr>
                <w:rFonts w:ascii="Times New Roman" w:eastAsia="MS Mincho" w:hAnsi="Times New Roman"/>
                <w:sz w:val="22"/>
                <w:szCs w:val="22"/>
              </w:rPr>
            </w:pPr>
            <w:r>
              <w:rPr>
                <w:rFonts w:ascii="Times New Roman" w:hAnsi="Times New Roman"/>
                <w:sz w:val="22"/>
              </w:rPr>
              <w:t>95,6 (91,2–97,8)</w:t>
            </w:r>
          </w:p>
        </w:tc>
      </w:tr>
      <w:tr w:rsidR="00311DC5" w14:paraId="586FC9BD" w14:textId="77777777" w:rsidTr="00331A48">
        <w:trPr>
          <w:cantSplit/>
        </w:trPr>
        <w:tc>
          <w:tcPr>
            <w:tcW w:w="3099" w:type="dxa"/>
            <w:tcBorders>
              <w:top w:val="nil"/>
              <w:left w:val="nil"/>
              <w:bottom w:val="single" w:sz="4" w:space="0" w:color="auto"/>
              <w:right w:val="nil"/>
            </w:tcBorders>
          </w:tcPr>
          <w:p w14:paraId="586FC9BA" w14:textId="77777777" w:rsidR="00311DC5" w:rsidRDefault="00311DC5" w:rsidP="008238ED">
            <w:pPr>
              <w:ind w:left="284"/>
              <w:rPr>
                <w:rFonts w:ascii="Times New Roman" w:eastAsia="MS Mincho" w:hAnsi="Times New Roman"/>
                <w:sz w:val="22"/>
                <w:szCs w:val="22"/>
              </w:rPr>
            </w:pPr>
            <w:r>
              <w:rPr>
                <w:rFonts w:ascii="Times New Roman" w:hAnsi="Times New Roman"/>
                <w:sz w:val="22"/>
              </w:rPr>
              <w:t>60 kk</w:t>
            </w:r>
          </w:p>
        </w:tc>
        <w:tc>
          <w:tcPr>
            <w:tcW w:w="3100" w:type="dxa"/>
            <w:tcBorders>
              <w:top w:val="nil"/>
              <w:left w:val="nil"/>
              <w:bottom w:val="single" w:sz="4" w:space="0" w:color="auto"/>
              <w:right w:val="nil"/>
            </w:tcBorders>
          </w:tcPr>
          <w:p w14:paraId="586FC9BB" w14:textId="77777777" w:rsidR="00311DC5" w:rsidRDefault="00311DC5" w:rsidP="008238ED">
            <w:pPr>
              <w:rPr>
                <w:rFonts w:ascii="Times New Roman" w:eastAsia="MS Mincho" w:hAnsi="Times New Roman"/>
                <w:sz w:val="22"/>
                <w:szCs w:val="22"/>
              </w:rPr>
            </w:pPr>
            <w:r>
              <w:rPr>
                <w:rFonts w:ascii="Times New Roman" w:hAnsi="Times New Roman"/>
                <w:sz w:val="22"/>
              </w:rPr>
              <w:t>81,7 (73,0–87,8)</w:t>
            </w:r>
          </w:p>
        </w:tc>
        <w:tc>
          <w:tcPr>
            <w:tcW w:w="3100" w:type="dxa"/>
            <w:tcBorders>
              <w:top w:val="nil"/>
              <w:left w:val="nil"/>
              <w:bottom w:val="single" w:sz="4" w:space="0" w:color="auto"/>
              <w:right w:val="nil"/>
            </w:tcBorders>
          </w:tcPr>
          <w:p w14:paraId="586FC9BC" w14:textId="77777777" w:rsidR="00311DC5" w:rsidRDefault="00311DC5" w:rsidP="008238ED">
            <w:pPr>
              <w:rPr>
                <w:rFonts w:ascii="Times New Roman" w:eastAsia="MS Mincho" w:hAnsi="Times New Roman"/>
                <w:sz w:val="22"/>
                <w:szCs w:val="22"/>
              </w:rPr>
            </w:pPr>
            <w:r>
              <w:rPr>
                <w:rFonts w:ascii="Times New Roman" w:hAnsi="Times New Roman"/>
                <w:sz w:val="22"/>
              </w:rPr>
              <w:t>92,0 (85,3–95,7)</w:t>
            </w:r>
          </w:p>
        </w:tc>
      </w:tr>
    </w:tbl>
    <w:p w14:paraId="586FC9BE" w14:textId="77777777" w:rsidR="00311DC5" w:rsidRDefault="00311DC5" w:rsidP="00311DC5">
      <w:pPr>
        <w:pStyle w:val="EndnoteText"/>
        <w:widowControl w:val="0"/>
        <w:tabs>
          <w:tab w:val="clear" w:pos="567"/>
        </w:tabs>
        <w:rPr>
          <w:color w:val="000000"/>
          <w:szCs w:val="22"/>
          <w:lang w:val="fi-FI"/>
        </w:rPr>
      </w:pPr>
    </w:p>
    <w:p w14:paraId="586FC9BF" w14:textId="77777777" w:rsidR="00311DC5" w:rsidRPr="009F2B12" w:rsidRDefault="00CC29DC" w:rsidP="00331A48">
      <w:pPr>
        <w:pStyle w:val="EndnoteText"/>
        <w:keepNext/>
        <w:keepLines/>
        <w:widowControl w:val="0"/>
        <w:tabs>
          <w:tab w:val="clear" w:pos="567"/>
        </w:tabs>
        <w:ind w:left="1134" w:hanging="1134"/>
        <w:outlineLvl w:val="6"/>
        <w:rPr>
          <w:color w:val="000000"/>
          <w:szCs w:val="22"/>
          <w:lang w:val="fi-FI"/>
        </w:rPr>
      </w:pPr>
      <w:r>
        <w:rPr>
          <w:noProof/>
          <w:lang w:val="en-US"/>
        </w:rPr>
        <w:lastRenderedPageBreak/>
        <mc:AlternateContent>
          <mc:Choice Requires="wps">
            <w:drawing>
              <wp:anchor distT="0" distB="0" distL="114300" distR="114300" simplePos="0" relativeHeight="251658240" behindDoc="0" locked="0" layoutInCell="1" allowOverlap="1" wp14:anchorId="586FD3BA" wp14:editId="586FD3BB">
                <wp:simplePos x="0" y="0"/>
                <wp:positionH relativeFrom="column">
                  <wp:posOffset>-278765</wp:posOffset>
                </wp:positionH>
                <wp:positionV relativeFrom="paragraph">
                  <wp:posOffset>278765</wp:posOffset>
                </wp:positionV>
                <wp:extent cx="335915" cy="264541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454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FD419" w14:textId="77777777" w:rsidR="00800EFA" w:rsidRPr="00A33DBA" w:rsidRDefault="00800EFA" w:rsidP="00311DC5">
                            <w:pPr>
                              <w:rPr>
                                <w:rFonts w:cs="Arial"/>
                                <w:sz w:val="20"/>
                              </w:rPr>
                            </w:pPr>
                            <w:r>
                              <w:rPr>
                                <w:sz w:val="20"/>
                              </w:rPr>
                              <w:t>Relapsittoman elossaolon todennäköisyys</w:t>
                            </w:r>
                          </w:p>
                          <w:p w14:paraId="586FD41A" w14:textId="77777777" w:rsidR="00800EFA" w:rsidRPr="00A33DBA" w:rsidRDefault="00800EFA" w:rsidP="00311DC5">
                            <w:pPr>
                              <w:rPr>
                                <w:rFonts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BA" id="_x0000_s1032" type="#_x0000_t202" style="position:absolute;left:0;text-align:left;margin-left:-21.95pt;margin-top:21.95pt;width:26.45pt;height:20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" stroked="f">
                <v:fill opacity="0"/>
                <v:textbox style="layout-flow:vertical;mso-layout-flow-alt:bottom-to-top">
                  <w:txbxContent>
                    <w:p w14:paraId="586FD419" w14:textId="77777777" w:rsidR="00800EFA" w:rsidRPr="00A33DBA" w:rsidRDefault="00800EFA" w:rsidP="00311DC5">
                      <w:pPr>
                        <w:rPr>
                          <w:rFonts w:cs="Arial"/>
                          <w:sz w:val="20"/>
                        </w:rPr>
                      </w:pPr>
                      <w:r>
                        <w:rPr>
                          <w:sz w:val="20"/>
                        </w:rPr>
                        <w:t>Relapsittoman elossaolon todennäköisyys</w:t>
                      </w:r>
                    </w:p>
                    <w:p w14:paraId="586FD41A" w14:textId="77777777" w:rsidR="00800EFA" w:rsidRPr="00A33DBA" w:rsidRDefault="00800EFA" w:rsidP="00311DC5">
                      <w:pPr>
                        <w:rPr>
                          <w:rFonts w:cs="Arial"/>
                          <w:sz w:val="20"/>
                        </w:rPr>
                      </w:pPr>
                    </w:p>
                  </w:txbxContent>
                </v:textbox>
              </v:shape>
            </w:pict>
          </mc:Fallback>
        </mc:AlternateContent>
      </w:r>
      <w:r w:rsidR="00311DC5" w:rsidRPr="009F2B12">
        <w:rPr>
          <w:b/>
          <w:bCs/>
          <w:lang w:val="fi-FI"/>
        </w:rPr>
        <w:t>Kuva 1</w:t>
      </w:r>
      <w:r w:rsidR="00311DC5" w:rsidRPr="009F2B12">
        <w:rPr>
          <w:b/>
          <w:bCs/>
          <w:lang w:val="fi-FI"/>
        </w:rPr>
        <w:tab/>
        <w:t>Ensisijaisen päätetapahtuman (relapsiton elossaolo, RFS) Kaplan–Meier-estimaatit (ITT-populaatio)</w:t>
      </w:r>
    </w:p>
    <w:p w14:paraId="586FC9C0" w14:textId="77777777" w:rsidR="00311DC5" w:rsidRDefault="00311DC5" w:rsidP="00311DC5">
      <w:pPr>
        <w:pStyle w:val="EndnoteText"/>
        <w:keepNext/>
        <w:widowControl w:val="0"/>
        <w:tabs>
          <w:tab w:val="clear" w:pos="567"/>
        </w:tabs>
        <w:ind w:left="1134" w:hanging="1134"/>
        <w:outlineLvl w:val="6"/>
        <w:rPr>
          <w:color w:val="000000"/>
          <w:szCs w:val="22"/>
          <w:lang w:val="fi-FI"/>
        </w:rPr>
      </w:pPr>
    </w:p>
    <w:p w14:paraId="586FC9C1" w14:textId="77777777" w:rsidR="00311DC5" w:rsidRDefault="00CC29DC" w:rsidP="00311DC5">
      <w:pPr>
        <w:pStyle w:val="EndnoteText"/>
        <w:widowControl w:val="0"/>
        <w:tabs>
          <w:tab w:val="clear" w:pos="567"/>
        </w:tabs>
        <w:rPr>
          <w:color w:val="000000"/>
          <w:szCs w:val="22"/>
          <w:lang w:val="fi-FI"/>
        </w:rPr>
      </w:pPr>
      <w:r>
        <w:rPr>
          <w:noProof/>
          <w:color w:val="000000"/>
          <w:szCs w:val="22"/>
          <w:lang w:val="en-US"/>
        </w:rPr>
        <mc:AlternateContent>
          <mc:Choice Requires="wps">
            <w:drawing>
              <wp:anchor distT="0" distB="0" distL="114300" distR="114300" simplePos="0" relativeHeight="251660288" behindDoc="0" locked="0" layoutInCell="1" allowOverlap="1" wp14:anchorId="586FD3BC" wp14:editId="586FD3BD">
                <wp:simplePos x="0" y="0"/>
                <wp:positionH relativeFrom="column">
                  <wp:posOffset>2244090</wp:posOffset>
                </wp:positionH>
                <wp:positionV relativeFrom="paragraph">
                  <wp:posOffset>2697480</wp:posOffset>
                </wp:positionV>
                <wp:extent cx="1540510" cy="2857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FD41B" w14:textId="77777777" w:rsidR="00800EFA" w:rsidRPr="00A33DBA" w:rsidRDefault="00800EFA" w:rsidP="00311DC5">
                            <w:pPr>
                              <w:rPr>
                                <w:rFonts w:cs="Arial"/>
                                <w:sz w:val="20"/>
                              </w:rPr>
                            </w:pPr>
                            <w:r>
                              <w:rPr>
                                <w:sz w:val="20"/>
                              </w:rPr>
                              <w:t>Elossaolo (kk)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BC" id="_x0000_s1033" type="#_x0000_t202" style="position:absolute;margin-left:176.7pt;margin-top:212.4pt;width:121.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" stroked="f">
                <v:fill opacity="0"/>
                <v:textbox>
                  <w:txbxContent>
                    <w:p w14:paraId="586FD41B" w14:textId="77777777" w:rsidR="00800EFA" w:rsidRPr="00A33DBA" w:rsidRDefault="00800EFA" w:rsidP="00311DC5">
                      <w:pPr>
                        <w:rPr>
                          <w:rFonts w:cs="Arial"/>
                          <w:sz w:val="20"/>
                        </w:rPr>
                      </w:pPr>
                      <w:r>
                        <w:rPr>
                          <w:sz w:val="20"/>
                        </w:rPr>
                        <w:t>Elossaolo (kk)</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586FD3BE" wp14:editId="586FD3BF">
                <wp:simplePos x="0" y="0"/>
                <wp:positionH relativeFrom="column">
                  <wp:posOffset>350520</wp:posOffset>
                </wp:positionH>
                <wp:positionV relativeFrom="paragraph">
                  <wp:posOffset>1221105</wp:posOffset>
                </wp:positionV>
                <wp:extent cx="4585335" cy="120904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09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1284"/>
                              <w:gridCol w:w="850"/>
                            </w:tblGrid>
                            <w:tr w:rsidR="00800EFA" w:rsidRPr="0055776F" w14:paraId="586FD41F" w14:textId="77777777" w:rsidTr="00C34BB0">
                              <w:trPr>
                                <w:gridAfter w:val="4"/>
                                <w:wAfter w:w="3356" w:type="dxa"/>
                              </w:trPr>
                              <w:tc>
                                <w:tcPr>
                                  <w:tcW w:w="3281" w:type="dxa"/>
                                  <w:gridSpan w:val="2"/>
                                  <w:shd w:val="clear" w:color="auto" w:fill="auto"/>
                                </w:tcPr>
                                <w:p w14:paraId="586FD41C" w14:textId="77777777" w:rsidR="00800EFA" w:rsidRPr="0055776F" w:rsidRDefault="00800EFA" w:rsidP="00C34BB0">
                                  <w:pPr>
                                    <w:rPr>
                                      <w:rFonts w:cs="Arial"/>
                                      <w:sz w:val="20"/>
                                    </w:rPr>
                                  </w:pPr>
                                  <w:r>
                                    <w:rPr>
                                      <w:rFonts w:cs="Arial"/>
                                      <w:sz w:val="20"/>
                                    </w:rPr>
                                    <w:t>P &lt; 0,0001</w:t>
                                  </w:r>
                                </w:p>
                                <w:p w14:paraId="586FD41D" w14:textId="77777777" w:rsidR="00800EFA" w:rsidRPr="0055776F" w:rsidRDefault="00800EFA" w:rsidP="00C34BB0">
                                  <w:pPr>
                                    <w:rPr>
                                      <w:rFonts w:cs="Arial"/>
                                      <w:sz w:val="20"/>
                                    </w:rPr>
                                  </w:pPr>
                                  <w:r>
                                    <w:rPr>
                                      <w:sz w:val="20"/>
                                    </w:rPr>
                                    <w:t>Riskisuhde</w:t>
                                  </w:r>
                                  <w:r>
                                    <w:rPr>
                                      <w:rFonts w:cs="Arial"/>
                                      <w:sz w:val="20"/>
                                    </w:rPr>
                                    <w:t xml:space="preserve"> 0,</w:t>
                                  </w:r>
                                  <w:r w:rsidRPr="0055776F">
                                    <w:rPr>
                                      <w:rFonts w:cs="Arial"/>
                                      <w:sz w:val="20"/>
                                    </w:rPr>
                                    <w:t>4</w:t>
                                  </w:r>
                                  <w:r>
                                    <w:rPr>
                                      <w:rFonts w:cs="Arial"/>
                                      <w:sz w:val="20"/>
                                    </w:rPr>
                                    <w:t>6</w:t>
                                  </w:r>
                                </w:p>
                                <w:p w14:paraId="586FD41E" w14:textId="77777777" w:rsidR="00800EFA" w:rsidRPr="0055776F" w:rsidRDefault="00800EFA" w:rsidP="00C34BB0">
                                  <w:pPr>
                                    <w:rPr>
                                      <w:rFonts w:cs="Arial"/>
                                      <w:sz w:val="20"/>
                                      <w:lang w:val="de-DE"/>
                                    </w:rPr>
                                  </w:pPr>
                                  <w:r>
                                    <w:rPr>
                                      <w:rFonts w:cs="Arial"/>
                                      <w:sz w:val="20"/>
                                    </w:rPr>
                                    <w:t>(</w:t>
                                  </w:r>
                                  <w:r>
                                    <w:rPr>
                                      <w:sz w:val="20"/>
                                    </w:rPr>
                                    <w:t>95 % luottamusväli</w:t>
                                  </w:r>
                                  <w:r>
                                    <w:rPr>
                                      <w:rFonts w:cs="Arial"/>
                                      <w:sz w:val="20"/>
                                    </w:rPr>
                                    <w:t xml:space="preserve"> 0,3</w:t>
                                  </w:r>
                                  <w:r w:rsidRPr="0055776F">
                                    <w:rPr>
                                      <w:rFonts w:cs="Arial"/>
                                      <w:sz w:val="20"/>
                                    </w:rPr>
                                    <w:t>2</w:t>
                                  </w:r>
                                  <w:r>
                                    <w:rPr>
                                      <w:rFonts w:cs="Arial"/>
                                      <w:sz w:val="20"/>
                                    </w:rPr>
                                    <w:noBreakHyphen/>
                                    <w:t>0,65</w:t>
                                  </w:r>
                                  <w:r w:rsidRPr="0055776F">
                                    <w:rPr>
                                      <w:rFonts w:cs="Arial"/>
                                      <w:sz w:val="20"/>
                                    </w:rPr>
                                    <w:t>)</w:t>
                                  </w:r>
                                </w:p>
                              </w:tc>
                            </w:tr>
                            <w:tr w:rsidR="00800EFA" w:rsidRPr="0055776F" w14:paraId="586FD425" w14:textId="77777777" w:rsidTr="00D43380">
                              <w:tc>
                                <w:tcPr>
                                  <w:tcW w:w="817" w:type="dxa"/>
                                  <w:shd w:val="clear" w:color="auto" w:fill="auto"/>
                                </w:tcPr>
                                <w:p w14:paraId="586FD420" w14:textId="77777777" w:rsidR="00800EFA" w:rsidRPr="0055776F" w:rsidRDefault="00800EFA" w:rsidP="006F2202">
                                  <w:pPr>
                                    <w:rPr>
                                      <w:rFonts w:cs="Arial"/>
                                      <w:sz w:val="20"/>
                                    </w:rPr>
                                  </w:pPr>
                                </w:p>
                              </w:tc>
                              <w:tc>
                                <w:tcPr>
                                  <w:tcW w:w="2835" w:type="dxa"/>
                                  <w:gridSpan w:val="2"/>
                                  <w:shd w:val="clear" w:color="auto" w:fill="auto"/>
                                </w:tcPr>
                                <w:p w14:paraId="586FD421" w14:textId="77777777" w:rsidR="00800EFA" w:rsidRPr="0055776F" w:rsidRDefault="00800EFA" w:rsidP="006F2202">
                                  <w:pPr>
                                    <w:rPr>
                                      <w:rFonts w:cs="Arial"/>
                                      <w:sz w:val="20"/>
                                    </w:rPr>
                                  </w:pPr>
                                </w:p>
                              </w:tc>
                              <w:tc>
                                <w:tcPr>
                                  <w:tcW w:w="851" w:type="dxa"/>
                                  <w:tcBorders>
                                    <w:bottom w:val="single" w:sz="4" w:space="0" w:color="auto"/>
                                  </w:tcBorders>
                                  <w:shd w:val="clear" w:color="auto" w:fill="auto"/>
                                </w:tcPr>
                                <w:p w14:paraId="586FD422" w14:textId="77777777" w:rsidR="00800EFA" w:rsidRPr="009F5C42" w:rsidRDefault="00800EFA" w:rsidP="006F2202">
                                  <w:pPr>
                                    <w:rPr>
                                      <w:rFonts w:cs="Arial"/>
                                      <w:sz w:val="20"/>
                                    </w:rPr>
                                  </w:pPr>
                                  <w:r w:rsidRPr="009F5C42">
                                    <w:rPr>
                                      <w:rFonts w:cs="Arial"/>
                                      <w:sz w:val="20"/>
                                      <w:lang w:val="de-DE"/>
                                    </w:rPr>
                                    <w:t>N</w:t>
                                  </w:r>
                                </w:p>
                              </w:tc>
                              <w:tc>
                                <w:tcPr>
                                  <w:tcW w:w="1284" w:type="dxa"/>
                                  <w:tcBorders>
                                    <w:bottom w:val="single" w:sz="4" w:space="0" w:color="auto"/>
                                  </w:tcBorders>
                                  <w:shd w:val="clear" w:color="auto" w:fill="auto"/>
                                </w:tcPr>
                                <w:p w14:paraId="586FD423" w14:textId="77777777" w:rsidR="00800EFA" w:rsidRPr="009F5C42" w:rsidRDefault="00800EFA" w:rsidP="006F2202">
                                  <w:pPr>
                                    <w:rPr>
                                      <w:rFonts w:cs="Arial"/>
                                      <w:sz w:val="20"/>
                                    </w:rPr>
                                  </w:pPr>
                                  <w:r w:rsidRPr="009F5C42">
                                    <w:rPr>
                                      <w:sz w:val="20"/>
                                    </w:rPr>
                                    <w:t>Tapahtumat</w:t>
                                  </w:r>
                                </w:p>
                              </w:tc>
                              <w:tc>
                                <w:tcPr>
                                  <w:tcW w:w="850" w:type="dxa"/>
                                  <w:tcBorders>
                                    <w:bottom w:val="single" w:sz="4" w:space="0" w:color="auto"/>
                                  </w:tcBorders>
                                  <w:shd w:val="clear" w:color="auto" w:fill="auto"/>
                                </w:tcPr>
                                <w:p w14:paraId="586FD424" w14:textId="77777777" w:rsidR="00800EFA" w:rsidRPr="009F5C42" w:rsidRDefault="00800EFA" w:rsidP="006F2202">
                                  <w:pPr>
                                    <w:rPr>
                                      <w:rFonts w:cs="Arial"/>
                                      <w:sz w:val="20"/>
                                    </w:rPr>
                                  </w:pPr>
                                  <w:r w:rsidRPr="009F5C42">
                                    <w:rPr>
                                      <w:sz w:val="20"/>
                                    </w:rPr>
                                    <w:t>Rajatut</w:t>
                                  </w:r>
                                </w:p>
                              </w:tc>
                            </w:tr>
                            <w:tr w:rsidR="00800EFA" w:rsidRPr="0055776F" w14:paraId="586FD42B" w14:textId="77777777" w:rsidTr="00D43380">
                              <w:tc>
                                <w:tcPr>
                                  <w:tcW w:w="817" w:type="dxa"/>
                                  <w:shd w:val="clear" w:color="auto" w:fill="auto"/>
                                </w:tcPr>
                                <w:p w14:paraId="586FD426" w14:textId="77777777" w:rsidR="00800EFA" w:rsidRPr="0055776F" w:rsidRDefault="00800EFA" w:rsidP="006F2202">
                                  <w:pPr>
                                    <w:rPr>
                                      <w:rFonts w:cs="Arial"/>
                                      <w:sz w:val="20"/>
                                    </w:rPr>
                                  </w:pPr>
                                  <w:r w:rsidRPr="0055776F">
                                    <w:rPr>
                                      <w:rFonts w:cs="Arial"/>
                                      <w:b/>
                                      <w:sz w:val="20"/>
                                    </w:rPr>
                                    <w:t>——</w:t>
                                  </w:r>
                                </w:p>
                              </w:tc>
                              <w:tc>
                                <w:tcPr>
                                  <w:tcW w:w="2835" w:type="dxa"/>
                                  <w:gridSpan w:val="2"/>
                                  <w:shd w:val="clear" w:color="auto" w:fill="auto"/>
                                </w:tcPr>
                                <w:p w14:paraId="586FD427" w14:textId="77777777" w:rsidR="00800EFA" w:rsidRPr="0055776F" w:rsidRDefault="00800EFA" w:rsidP="006F2202">
                                  <w:pPr>
                                    <w:rPr>
                                      <w:rFonts w:cs="Arial"/>
                                      <w:sz w:val="20"/>
                                    </w:rPr>
                                  </w:pPr>
                                  <w:r w:rsidRPr="0055776F">
                                    <w:rPr>
                                      <w:rFonts w:cs="Arial"/>
                                      <w:sz w:val="20"/>
                                    </w:rPr>
                                    <w:t xml:space="preserve">(1) </w:t>
                                  </w:r>
                                  <w:r>
                                    <w:rPr>
                                      <w:sz w:val="20"/>
                                    </w:rPr>
                                    <w:t>Imatinibi, 12 kk</w:t>
                                  </w:r>
                                  <w:r w:rsidRPr="0055776F">
                                    <w:rPr>
                                      <w:rFonts w:cs="Arial"/>
                                      <w:sz w:val="20"/>
                                    </w:rPr>
                                    <w:t>:</w:t>
                                  </w:r>
                                </w:p>
                              </w:tc>
                              <w:tc>
                                <w:tcPr>
                                  <w:tcW w:w="851" w:type="dxa"/>
                                  <w:tcBorders>
                                    <w:top w:val="single" w:sz="4" w:space="0" w:color="auto"/>
                                  </w:tcBorders>
                                  <w:shd w:val="clear" w:color="auto" w:fill="auto"/>
                                </w:tcPr>
                                <w:p w14:paraId="586FD428" w14:textId="77777777" w:rsidR="00800EFA" w:rsidRPr="0055776F" w:rsidRDefault="00800EFA" w:rsidP="006F2202">
                                  <w:pPr>
                                    <w:rPr>
                                      <w:rFonts w:cs="Arial"/>
                                      <w:sz w:val="20"/>
                                    </w:rPr>
                                  </w:pPr>
                                  <w:r w:rsidRPr="0055776F">
                                    <w:rPr>
                                      <w:rFonts w:cs="Arial"/>
                                      <w:sz w:val="20"/>
                                    </w:rPr>
                                    <w:t>199</w:t>
                                  </w:r>
                                </w:p>
                              </w:tc>
                              <w:tc>
                                <w:tcPr>
                                  <w:tcW w:w="1284" w:type="dxa"/>
                                  <w:tcBorders>
                                    <w:top w:val="single" w:sz="4" w:space="0" w:color="auto"/>
                                  </w:tcBorders>
                                  <w:shd w:val="clear" w:color="auto" w:fill="auto"/>
                                </w:tcPr>
                                <w:p w14:paraId="586FD429" w14:textId="77777777" w:rsidR="00800EFA" w:rsidRPr="0055776F" w:rsidRDefault="00800EFA" w:rsidP="006F2202">
                                  <w:pPr>
                                    <w:rPr>
                                      <w:rFonts w:cs="Arial"/>
                                      <w:sz w:val="20"/>
                                    </w:rPr>
                                  </w:pPr>
                                  <w:r w:rsidRPr="0055776F">
                                    <w:rPr>
                                      <w:rFonts w:cs="Arial"/>
                                      <w:sz w:val="20"/>
                                    </w:rPr>
                                    <w:t>84</w:t>
                                  </w:r>
                                </w:p>
                              </w:tc>
                              <w:tc>
                                <w:tcPr>
                                  <w:tcW w:w="850" w:type="dxa"/>
                                  <w:tcBorders>
                                    <w:top w:val="single" w:sz="4" w:space="0" w:color="auto"/>
                                  </w:tcBorders>
                                  <w:shd w:val="clear" w:color="auto" w:fill="auto"/>
                                </w:tcPr>
                                <w:p w14:paraId="586FD42A" w14:textId="77777777" w:rsidR="00800EFA" w:rsidRPr="0055776F" w:rsidRDefault="00800EFA" w:rsidP="006F2202">
                                  <w:pPr>
                                    <w:rPr>
                                      <w:rFonts w:cs="Arial"/>
                                      <w:sz w:val="20"/>
                                    </w:rPr>
                                  </w:pPr>
                                  <w:r w:rsidRPr="0055776F">
                                    <w:rPr>
                                      <w:rFonts w:cs="Arial"/>
                                      <w:sz w:val="20"/>
                                    </w:rPr>
                                    <w:t>115</w:t>
                                  </w:r>
                                </w:p>
                              </w:tc>
                            </w:tr>
                            <w:tr w:rsidR="00800EFA" w:rsidRPr="0055776F" w14:paraId="586FD431" w14:textId="77777777" w:rsidTr="00D43380">
                              <w:tc>
                                <w:tcPr>
                                  <w:tcW w:w="817" w:type="dxa"/>
                                  <w:shd w:val="clear" w:color="auto" w:fill="auto"/>
                                </w:tcPr>
                                <w:p w14:paraId="586FD42C" w14:textId="77777777" w:rsidR="00800EFA" w:rsidRPr="0055776F" w:rsidRDefault="00800EFA" w:rsidP="006F2202">
                                  <w:pPr>
                                    <w:rPr>
                                      <w:rFonts w:cs="Arial"/>
                                      <w:sz w:val="20"/>
                                    </w:rPr>
                                  </w:pPr>
                                  <w:r w:rsidRPr="0055776F">
                                    <w:rPr>
                                      <w:rFonts w:cs="Arial"/>
                                      <w:sz w:val="20"/>
                                    </w:rPr>
                                    <w:t>-----</w:t>
                                  </w:r>
                                </w:p>
                              </w:tc>
                              <w:tc>
                                <w:tcPr>
                                  <w:tcW w:w="2835" w:type="dxa"/>
                                  <w:gridSpan w:val="2"/>
                                  <w:shd w:val="clear" w:color="auto" w:fill="auto"/>
                                </w:tcPr>
                                <w:p w14:paraId="586FD42D" w14:textId="77777777" w:rsidR="00800EFA" w:rsidRPr="0055776F" w:rsidRDefault="00800EFA" w:rsidP="006F2202">
                                  <w:pPr>
                                    <w:rPr>
                                      <w:rFonts w:cs="Arial"/>
                                      <w:sz w:val="20"/>
                                    </w:rPr>
                                  </w:pPr>
                                  <w:r w:rsidRPr="0055776F">
                                    <w:rPr>
                                      <w:rFonts w:cs="Arial"/>
                                      <w:sz w:val="20"/>
                                    </w:rPr>
                                    <w:t xml:space="preserve">(2) </w:t>
                                  </w:r>
                                  <w:r>
                                    <w:rPr>
                                      <w:sz w:val="20"/>
                                    </w:rPr>
                                    <w:t>Imatinibi, 36 kk</w:t>
                                  </w:r>
                                  <w:r w:rsidRPr="0055776F">
                                    <w:rPr>
                                      <w:rFonts w:cs="Arial"/>
                                      <w:sz w:val="20"/>
                                    </w:rPr>
                                    <w:t>:</w:t>
                                  </w:r>
                                </w:p>
                              </w:tc>
                              <w:tc>
                                <w:tcPr>
                                  <w:tcW w:w="851" w:type="dxa"/>
                                  <w:tcBorders>
                                    <w:bottom w:val="single" w:sz="4" w:space="0" w:color="auto"/>
                                  </w:tcBorders>
                                  <w:shd w:val="clear" w:color="auto" w:fill="auto"/>
                                </w:tcPr>
                                <w:p w14:paraId="586FD42E" w14:textId="77777777" w:rsidR="00800EFA" w:rsidRPr="0055776F" w:rsidRDefault="00800EFA" w:rsidP="006F2202">
                                  <w:pPr>
                                    <w:rPr>
                                      <w:rFonts w:cs="Arial"/>
                                      <w:sz w:val="20"/>
                                    </w:rPr>
                                  </w:pPr>
                                  <w:r w:rsidRPr="0055776F">
                                    <w:rPr>
                                      <w:rFonts w:cs="Arial"/>
                                      <w:sz w:val="20"/>
                                    </w:rPr>
                                    <w:t>198</w:t>
                                  </w:r>
                                </w:p>
                              </w:tc>
                              <w:tc>
                                <w:tcPr>
                                  <w:tcW w:w="1284" w:type="dxa"/>
                                  <w:tcBorders>
                                    <w:bottom w:val="single" w:sz="4" w:space="0" w:color="auto"/>
                                  </w:tcBorders>
                                  <w:shd w:val="clear" w:color="auto" w:fill="auto"/>
                                </w:tcPr>
                                <w:p w14:paraId="586FD42F" w14:textId="77777777" w:rsidR="00800EFA" w:rsidRPr="0055776F" w:rsidRDefault="00800EFA" w:rsidP="006F2202">
                                  <w:pPr>
                                    <w:rPr>
                                      <w:rFonts w:cs="Arial"/>
                                      <w:sz w:val="20"/>
                                    </w:rPr>
                                  </w:pPr>
                                  <w:r w:rsidRPr="0055776F">
                                    <w:rPr>
                                      <w:rFonts w:cs="Arial"/>
                                      <w:sz w:val="20"/>
                                    </w:rPr>
                                    <w:t>50</w:t>
                                  </w:r>
                                </w:p>
                              </w:tc>
                              <w:tc>
                                <w:tcPr>
                                  <w:tcW w:w="850" w:type="dxa"/>
                                  <w:tcBorders>
                                    <w:bottom w:val="single" w:sz="4" w:space="0" w:color="auto"/>
                                  </w:tcBorders>
                                  <w:shd w:val="clear" w:color="auto" w:fill="auto"/>
                                </w:tcPr>
                                <w:p w14:paraId="586FD430" w14:textId="77777777" w:rsidR="00800EFA" w:rsidRPr="0055776F" w:rsidRDefault="00800EFA" w:rsidP="006F2202">
                                  <w:pPr>
                                    <w:rPr>
                                      <w:rFonts w:cs="Arial"/>
                                      <w:sz w:val="20"/>
                                    </w:rPr>
                                  </w:pPr>
                                  <w:r w:rsidRPr="0055776F">
                                    <w:rPr>
                                      <w:rFonts w:cs="Arial"/>
                                      <w:sz w:val="20"/>
                                    </w:rPr>
                                    <w:t>148</w:t>
                                  </w:r>
                                </w:p>
                              </w:tc>
                            </w:tr>
                            <w:tr w:rsidR="00800EFA" w:rsidRPr="0055776F" w14:paraId="586FD437" w14:textId="77777777" w:rsidTr="00D43380">
                              <w:tc>
                                <w:tcPr>
                                  <w:tcW w:w="817" w:type="dxa"/>
                                  <w:shd w:val="clear" w:color="auto" w:fill="auto"/>
                                </w:tcPr>
                                <w:p w14:paraId="586FD432" w14:textId="77777777" w:rsidR="00800EFA" w:rsidRPr="0055776F" w:rsidRDefault="00800EFA" w:rsidP="006F2202">
                                  <w:pPr>
                                    <w:rPr>
                                      <w:rFonts w:cs="Arial"/>
                                      <w:sz w:val="20"/>
                                    </w:rPr>
                                  </w:pPr>
                                  <w:r w:rsidRPr="0055776F">
                                    <w:rPr>
                                      <w:rFonts w:cs="Arial"/>
                                      <w:sz w:val="20"/>
                                    </w:rPr>
                                    <w:t>│││</w:t>
                                  </w:r>
                                </w:p>
                              </w:tc>
                              <w:tc>
                                <w:tcPr>
                                  <w:tcW w:w="2835" w:type="dxa"/>
                                  <w:gridSpan w:val="2"/>
                                  <w:shd w:val="clear" w:color="auto" w:fill="auto"/>
                                </w:tcPr>
                                <w:p w14:paraId="586FD433" w14:textId="77777777" w:rsidR="00800EFA" w:rsidRPr="0055776F" w:rsidRDefault="00800EFA" w:rsidP="006F2202">
                                  <w:pPr>
                                    <w:rPr>
                                      <w:rFonts w:cs="Arial"/>
                                      <w:sz w:val="20"/>
                                    </w:rPr>
                                  </w:pPr>
                                  <w:r>
                                    <w:rPr>
                                      <w:sz w:val="20"/>
                                    </w:rPr>
                                    <w:t>Rajatut havaintoarvot</w:t>
                                  </w:r>
                                </w:p>
                              </w:tc>
                              <w:tc>
                                <w:tcPr>
                                  <w:tcW w:w="851" w:type="dxa"/>
                                  <w:tcBorders>
                                    <w:top w:val="single" w:sz="4" w:space="0" w:color="auto"/>
                                  </w:tcBorders>
                                  <w:shd w:val="clear" w:color="auto" w:fill="auto"/>
                                </w:tcPr>
                                <w:p w14:paraId="586FD434" w14:textId="77777777" w:rsidR="00800EFA" w:rsidRPr="0055776F" w:rsidRDefault="00800EFA" w:rsidP="006F2202">
                                  <w:pPr>
                                    <w:rPr>
                                      <w:rFonts w:cs="Arial"/>
                                      <w:sz w:val="20"/>
                                    </w:rPr>
                                  </w:pPr>
                                </w:p>
                              </w:tc>
                              <w:tc>
                                <w:tcPr>
                                  <w:tcW w:w="1284" w:type="dxa"/>
                                  <w:tcBorders>
                                    <w:top w:val="single" w:sz="4" w:space="0" w:color="auto"/>
                                  </w:tcBorders>
                                  <w:shd w:val="clear" w:color="auto" w:fill="auto"/>
                                </w:tcPr>
                                <w:p w14:paraId="586FD435" w14:textId="77777777" w:rsidR="00800EFA" w:rsidRPr="0055776F" w:rsidRDefault="00800EFA" w:rsidP="006F2202">
                                  <w:pPr>
                                    <w:rPr>
                                      <w:rFonts w:cs="Arial"/>
                                      <w:sz w:val="20"/>
                                    </w:rPr>
                                  </w:pPr>
                                </w:p>
                              </w:tc>
                              <w:tc>
                                <w:tcPr>
                                  <w:tcW w:w="850" w:type="dxa"/>
                                  <w:tcBorders>
                                    <w:top w:val="single" w:sz="4" w:space="0" w:color="auto"/>
                                  </w:tcBorders>
                                  <w:shd w:val="clear" w:color="auto" w:fill="auto"/>
                                </w:tcPr>
                                <w:p w14:paraId="586FD436" w14:textId="77777777" w:rsidR="00800EFA" w:rsidRPr="0055776F" w:rsidRDefault="00800EFA" w:rsidP="006F2202">
                                  <w:pPr>
                                    <w:rPr>
                                      <w:rFonts w:cs="Arial"/>
                                      <w:sz w:val="20"/>
                                    </w:rPr>
                                  </w:pPr>
                                </w:p>
                              </w:tc>
                            </w:tr>
                          </w:tbl>
                          <w:p w14:paraId="586FD438" w14:textId="77777777" w:rsidR="00800EFA" w:rsidRPr="00A33DBA" w:rsidRDefault="00800EFA" w:rsidP="00311DC5">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BE" id="_x0000_s1034" type="#_x0000_t202" style="position:absolute;margin-left:27.6pt;margin-top:96.15pt;width:361.05pt;height:9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" filled="f" stroked="f">
                <v:textbox>
                  <w:txbxContent>
                    <w:tbl>
                      <w:tblPr>
                        <w:tblW w:w="0" w:type="auto"/>
                        <w:tblLook w:val="04A0" w:firstRow="1" w:lastRow="0" w:firstColumn="1" w:lastColumn="0" w:noHBand="0" w:noVBand="1"/>
                      </w:tblPr>
                      <w:tblGrid>
                        <w:gridCol w:w="817"/>
                        <w:gridCol w:w="2464"/>
                        <w:gridCol w:w="371"/>
                        <w:gridCol w:w="851"/>
                        <w:gridCol w:w="1284"/>
                        <w:gridCol w:w="850"/>
                      </w:tblGrid>
                      <w:tr w:rsidR="00800EFA" w:rsidRPr="0055776F" w14:paraId="586FD41F" w14:textId="77777777" w:rsidTr="00C34BB0">
                        <w:trPr>
                          <w:gridAfter w:val="4"/>
                          <w:wAfter w:w="3356" w:type="dxa"/>
                        </w:trPr>
                        <w:tc>
                          <w:tcPr>
                            <w:tcW w:w="3281" w:type="dxa"/>
                            <w:gridSpan w:val="2"/>
                            <w:shd w:val="clear" w:color="auto" w:fill="auto"/>
                          </w:tcPr>
                          <w:p w14:paraId="586FD41C" w14:textId="77777777" w:rsidR="00800EFA" w:rsidRPr="0055776F" w:rsidRDefault="00800EFA" w:rsidP="00C34BB0">
                            <w:pPr>
                              <w:rPr>
                                <w:rFonts w:cs="Arial"/>
                                <w:sz w:val="20"/>
                              </w:rPr>
                            </w:pPr>
                            <w:r>
                              <w:rPr>
                                <w:rFonts w:cs="Arial"/>
                                <w:sz w:val="20"/>
                              </w:rPr>
                              <w:t>P &lt; 0,0001</w:t>
                            </w:r>
                          </w:p>
                          <w:p w14:paraId="586FD41D" w14:textId="77777777" w:rsidR="00800EFA" w:rsidRPr="0055776F" w:rsidRDefault="00800EFA" w:rsidP="00C34BB0">
                            <w:pPr>
                              <w:rPr>
                                <w:rFonts w:cs="Arial"/>
                                <w:sz w:val="20"/>
                              </w:rPr>
                            </w:pPr>
                            <w:r>
                              <w:rPr>
                                <w:sz w:val="20"/>
                              </w:rPr>
                              <w:t>Riskisuhde</w:t>
                            </w:r>
                            <w:r>
                              <w:rPr>
                                <w:rFonts w:cs="Arial"/>
                                <w:sz w:val="20"/>
                              </w:rPr>
                              <w:t xml:space="preserve"> 0,</w:t>
                            </w:r>
                            <w:r w:rsidRPr="0055776F">
                              <w:rPr>
                                <w:rFonts w:cs="Arial"/>
                                <w:sz w:val="20"/>
                              </w:rPr>
                              <w:t>4</w:t>
                            </w:r>
                            <w:r>
                              <w:rPr>
                                <w:rFonts w:cs="Arial"/>
                                <w:sz w:val="20"/>
                              </w:rPr>
                              <w:t>6</w:t>
                            </w:r>
                          </w:p>
                          <w:p w14:paraId="586FD41E" w14:textId="77777777" w:rsidR="00800EFA" w:rsidRPr="0055776F" w:rsidRDefault="00800EFA" w:rsidP="00C34BB0">
                            <w:pPr>
                              <w:rPr>
                                <w:rFonts w:cs="Arial"/>
                                <w:sz w:val="20"/>
                                <w:lang w:val="de-DE"/>
                              </w:rPr>
                            </w:pPr>
                            <w:r>
                              <w:rPr>
                                <w:rFonts w:cs="Arial"/>
                                <w:sz w:val="20"/>
                              </w:rPr>
                              <w:t>(</w:t>
                            </w:r>
                            <w:r>
                              <w:rPr>
                                <w:sz w:val="20"/>
                              </w:rPr>
                              <w:t>95 % luottamusväli</w:t>
                            </w:r>
                            <w:r>
                              <w:rPr>
                                <w:rFonts w:cs="Arial"/>
                                <w:sz w:val="20"/>
                              </w:rPr>
                              <w:t xml:space="preserve"> 0,3</w:t>
                            </w:r>
                            <w:r w:rsidRPr="0055776F">
                              <w:rPr>
                                <w:rFonts w:cs="Arial"/>
                                <w:sz w:val="20"/>
                              </w:rPr>
                              <w:t>2</w:t>
                            </w:r>
                            <w:r>
                              <w:rPr>
                                <w:rFonts w:cs="Arial"/>
                                <w:sz w:val="20"/>
                              </w:rPr>
                              <w:noBreakHyphen/>
                              <w:t>0,65</w:t>
                            </w:r>
                            <w:r w:rsidRPr="0055776F">
                              <w:rPr>
                                <w:rFonts w:cs="Arial"/>
                                <w:sz w:val="20"/>
                              </w:rPr>
                              <w:t>)</w:t>
                            </w:r>
                          </w:p>
                        </w:tc>
                      </w:tr>
                      <w:tr w:rsidR="00800EFA" w:rsidRPr="0055776F" w14:paraId="586FD425" w14:textId="77777777" w:rsidTr="00D43380">
                        <w:tc>
                          <w:tcPr>
                            <w:tcW w:w="817" w:type="dxa"/>
                            <w:shd w:val="clear" w:color="auto" w:fill="auto"/>
                          </w:tcPr>
                          <w:p w14:paraId="586FD420" w14:textId="77777777" w:rsidR="00800EFA" w:rsidRPr="0055776F" w:rsidRDefault="00800EFA" w:rsidP="006F2202">
                            <w:pPr>
                              <w:rPr>
                                <w:rFonts w:cs="Arial"/>
                                <w:sz w:val="20"/>
                              </w:rPr>
                            </w:pPr>
                          </w:p>
                        </w:tc>
                        <w:tc>
                          <w:tcPr>
                            <w:tcW w:w="2835" w:type="dxa"/>
                            <w:gridSpan w:val="2"/>
                            <w:shd w:val="clear" w:color="auto" w:fill="auto"/>
                          </w:tcPr>
                          <w:p w14:paraId="586FD421" w14:textId="77777777" w:rsidR="00800EFA" w:rsidRPr="0055776F" w:rsidRDefault="00800EFA" w:rsidP="006F2202">
                            <w:pPr>
                              <w:rPr>
                                <w:rFonts w:cs="Arial"/>
                                <w:sz w:val="20"/>
                              </w:rPr>
                            </w:pPr>
                          </w:p>
                        </w:tc>
                        <w:tc>
                          <w:tcPr>
                            <w:tcW w:w="851" w:type="dxa"/>
                            <w:tcBorders>
                              <w:bottom w:val="single" w:sz="4" w:space="0" w:color="auto"/>
                            </w:tcBorders>
                            <w:shd w:val="clear" w:color="auto" w:fill="auto"/>
                          </w:tcPr>
                          <w:p w14:paraId="586FD422" w14:textId="77777777" w:rsidR="00800EFA" w:rsidRPr="009F5C42" w:rsidRDefault="00800EFA" w:rsidP="006F2202">
                            <w:pPr>
                              <w:rPr>
                                <w:rFonts w:cs="Arial"/>
                                <w:sz w:val="20"/>
                              </w:rPr>
                            </w:pPr>
                            <w:r w:rsidRPr="009F5C42">
                              <w:rPr>
                                <w:rFonts w:cs="Arial"/>
                                <w:sz w:val="20"/>
                                <w:lang w:val="de-DE"/>
                              </w:rPr>
                              <w:t>N</w:t>
                            </w:r>
                          </w:p>
                        </w:tc>
                        <w:tc>
                          <w:tcPr>
                            <w:tcW w:w="1284" w:type="dxa"/>
                            <w:tcBorders>
                              <w:bottom w:val="single" w:sz="4" w:space="0" w:color="auto"/>
                            </w:tcBorders>
                            <w:shd w:val="clear" w:color="auto" w:fill="auto"/>
                          </w:tcPr>
                          <w:p w14:paraId="586FD423" w14:textId="77777777" w:rsidR="00800EFA" w:rsidRPr="009F5C42" w:rsidRDefault="00800EFA" w:rsidP="006F2202">
                            <w:pPr>
                              <w:rPr>
                                <w:rFonts w:cs="Arial"/>
                                <w:sz w:val="20"/>
                              </w:rPr>
                            </w:pPr>
                            <w:r w:rsidRPr="009F5C42">
                              <w:rPr>
                                <w:sz w:val="20"/>
                              </w:rPr>
                              <w:t>Tapahtumat</w:t>
                            </w:r>
                          </w:p>
                        </w:tc>
                        <w:tc>
                          <w:tcPr>
                            <w:tcW w:w="850" w:type="dxa"/>
                            <w:tcBorders>
                              <w:bottom w:val="single" w:sz="4" w:space="0" w:color="auto"/>
                            </w:tcBorders>
                            <w:shd w:val="clear" w:color="auto" w:fill="auto"/>
                          </w:tcPr>
                          <w:p w14:paraId="586FD424" w14:textId="77777777" w:rsidR="00800EFA" w:rsidRPr="009F5C42" w:rsidRDefault="00800EFA" w:rsidP="006F2202">
                            <w:pPr>
                              <w:rPr>
                                <w:rFonts w:cs="Arial"/>
                                <w:sz w:val="20"/>
                              </w:rPr>
                            </w:pPr>
                            <w:r w:rsidRPr="009F5C42">
                              <w:rPr>
                                <w:sz w:val="20"/>
                              </w:rPr>
                              <w:t>Rajatut</w:t>
                            </w:r>
                          </w:p>
                        </w:tc>
                      </w:tr>
                      <w:tr w:rsidR="00800EFA" w:rsidRPr="0055776F" w14:paraId="586FD42B" w14:textId="77777777" w:rsidTr="00D43380">
                        <w:tc>
                          <w:tcPr>
                            <w:tcW w:w="817" w:type="dxa"/>
                            <w:shd w:val="clear" w:color="auto" w:fill="auto"/>
                          </w:tcPr>
                          <w:p w14:paraId="586FD426" w14:textId="77777777" w:rsidR="00800EFA" w:rsidRPr="0055776F" w:rsidRDefault="00800EFA" w:rsidP="006F2202">
                            <w:pPr>
                              <w:rPr>
                                <w:rFonts w:cs="Arial"/>
                                <w:sz w:val="20"/>
                              </w:rPr>
                            </w:pPr>
                            <w:r w:rsidRPr="0055776F">
                              <w:rPr>
                                <w:rFonts w:cs="Arial"/>
                                <w:b/>
                                <w:sz w:val="20"/>
                              </w:rPr>
                              <w:t>——</w:t>
                            </w:r>
                          </w:p>
                        </w:tc>
                        <w:tc>
                          <w:tcPr>
                            <w:tcW w:w="2835" w:type="dxa"/>
                            <w:gridSpan w:val="2"/>
                            <w:shd w:val="clear" w:color="auto" w:fill="auto"/>
                          </w:tcPr>
                          <w:p w14:paraId="586FD427" w14:textId="77777777" w:rsidR="00800EFA" w:rsidRPr="0055776F" w:rsidRDefault="00800EFA" w:rsidP="006F2202">
                            <w:pPr>
                              <w:rPr>
                                <w:rFonts w:cs="Arial"/>
                                <w:sz w:val="20"/>
                              </w:rPr>
                            </w:pPr>
                            <w:r w:rsidRPr="0055776F">
                              <w:rPr>
                                <w:rFonts w:cs="Arial"/>
                                <w:sz w:val="20"/>
                              </w:rPr>
                              <w:t xml:space="preserve">(1) </w:t>
                            </w:r>
                            <w:r>
                              <w:rPr>
                                <w:sz w:val="20"/>
                              </w:rPr>
                              <w:t>Imatinibi, 12 kk</w:t>
                            </w:r>
                            <w:r w:rsidRPr="0055776F">
                              <w:rPr>
                                <w:rFonts w:cs="Arial"/>
                                <w:sz w:val="20"/>
                              </w:rPr>
                              <w:t>:</w:t>
                            </w:r>
                          </w:p>
                        </w:tc>
                        <w:tc>
                          <w:tcPr>
                            <w:tcW w:w="851" w:type="dxa"/>
                            <w:tcBorders>
                              <w:top w:val="single" w:sz="4" w:space="0" w:color="auto"/>
                            </w:tcBorders>
                            <w:shd w:val="clear" w:color="auto" w:fill="auto"/>
                          </w:tcPr>
                          <w:p w14:paraId="586FD428" w14:textId="77777777" w:rsidR="00800EFA" w:rsidRPr="0055776F" w:rsidRDefault="00800EFA" w:rsidP="006F2202">
                            <w:pPr>
                              <w:rPr>
                                <w:rFonts w:cs="Arial"/>
                                <w:sz w:val="20"/>
                              </w:rPr>
                            </w:pPr>
                            <w:r w:rsidRPr="0055776F">
                              <w:rPr>
                                <w:rFonts w:cs="Arial"/>
                                <w:sz w:val="20"/>
                              </w:rPr>
                              <w:t>199</w:t>
                            </w:r>
                          </w:p>
                        </w:tc>
                        <w:tc>
                          <w:tcPr>
                            <w:tcW w:w="1284" w:type="dxa"/>
                            <w:tcBorders>
                              <w:top w:val="single" w:sz="4" w:space="0" w:color="auto"/>
                            </w:tcBorders>
                            <w:shd w:val="clear" w:color="auto" w:fill="auto"/>
                          </w:tcPr>
                          <w:p w14:paraId="586FD429" w14:textId="77777777" w:rsidR="00800EFA" w:rsidRPr="0055776F" w:rsidRDefault="00800EFA" w:rsidP="006F2202">
                            <w:pPr>
                              <w:rPr>
                                <w:rFonts w:cs="Arial"/>
                                <w:sz w:val="20"/>
                              </w:rPr>
                            </w:pPr>
                            <w:r w:rsidRPr="0055776F">
                              <w:rPr>
                                <w:rFonts w:cs="Arial"/>
                                <w:sz w:val="20"/>
                              </w:rPr>
                              <w:t>84</w:t>
                            </w:r>
                          </w:p>
                        </w:tc>
                        <w:tc>
                          <w:tcPr>
                            <w:tcW w:w="850" w:type="dxa"/>
                            <w:tcBorders>
                              <w:top w:val="single" w:sz="4" w:space="0" w:color="auto"/>
                            </w:tcBorders>
                            <w:shd w:val="clear" w:color="auto" w:fill="auto"/>
                          </w:tcPr>
                          <w:p w14:paraId="586FD42A" w14:textId="77777777" w:rsidR="00800EFA" w:rsidRPr="0055776F" w:rsidRDefault="00800EFA" w:rsidP="006F2202">
                            <w:pPr>
                              <w:rPr>
                                <w:rFonts w:cs="Arial"/>
                                <w:sz w:val="20"/>
                              </w:rPr>
                            </w:pPr>
                            <w:r w:rsidRPr="0055776F">
                              <w:rPr>
                                <w:rFonts w:cs="Arial"/>
                                <w:sz w:val="20"/>
                              </w:rPr>
                              <w:t>115</w:t>
                            </w:r>
                          </w:p>
                        </w:tc>
                      </w:tr>
                      <w:tr w:rsidR="00800EFA" w:rsidRPr="0055776F" w14:paraId="586FD431" w14:textId="77777777" w:rsidTr="00D43380">
                        <w:tc>
                          <w:tcPr>
                            <w:tcW w:w="817" w:type="dxa"/>
                            <w:shd w:val="clear" w:color="auto" w:fill="auto"/>
                          </w:tcPr>
                          <w:p w14:paraId="586FD42C" w14:textId="77777777" w:rsidR="00800EFA" w:rsidRPr="0055776F" w:rsidRDefault="00800EFA" w:rsidP="006F2202">
                            <w:pPr>
                              <w:rPr>
                                <w:rFonts w:cs="Arial"/>
                                <w:sz w:val="20"/>
                              </w:rPr>
                            </w:pPr>
                            <w:r w:rsidRPr="0055776F">
                              <w:rPr>
                                <w:rFonts w:cs="Arial"/>
                                <w:sz w:val="20"/>
                              </w:rPr>
                              <w:t>-----</w:t>
                            </w:r>
                          </w:p>
                        </w:tc>
                        <w:tc>
                          <w:tcPr>
                            <w:tcW w:w="2835" w:type="dxa"/>
                            <w:gridSpan w:val="2"/>
                            <w:shd w:val="clear" w:color="auto" w:fill="auto"/>
                          </w:tcPr>
                          <w:p w14:paraId="586FD42D" w14:textId="77777777" w:rsidR="00800EFA" w:rsidRPr="0055776F" w:rsidRDefault="00800EFA" w:rsidP="006F2202">
                            <w:pPr>
                              <w:rPr>
                                <w:rFonts w:cs="Arial"/>
                                <w:sz w:val="20"/>
                              </w:rPr>
                            </w:pPr>
                            <w:r w:rsidRPr="0055776F">
                              <w:rPr>
                                <w:rFonts w:cs="Arial"/>
                                <w:sz w:val="20"/>
                              </w:rPr>
                              <w:t xml:space="preserve">(2) </w:t>
                            </w:r>
                            <w:r>
                              <w:rPr>
                                <w:sz w:val="20"/>
                              </w:rPr>
                              <w:t>Imatinibi, 36 kk</w:t>
                            </w:r>
                            <w:r w:rsidRPr="0055776F">
                              <w:rPr>
                                <w:rFonts w:cs="Arial"/>
                                <w:sz w:val="20"/>
                              </w:rPr>
                              <w:t>:</w:t>
                            </w:r>
                          </w:p>
                        </w:tc>
                        <w:tc>
                          <w:tcPr>
                            <w:tcW w:w="851" w:type="dxa"/>
                            <w:tcBorders>
                              <w:bottom w:val="single" w:sz="4" w:space="0" w:color="auto"/>
                            </w:tcBorders>
                            <w:shd w:val="clear" w:color="auto" w:fill="auto"/>
                          </w:tcPr>
                          <w:p w14:paraId="586FD42E" w14:textId="77777777" w:rsidR="00800EFA" w:rsidRPr="0055776F" w:rsidRDefault="00800EFA" w:rsidP="006F2202">
                            <w:pPr>
                              <w:rPr>
                                <w:rFonts w:cs="Arial"/>
                                <w:sz w:val="20"/>
                              </w:rPr>
                            </w:pPr>
                            <w:r w:rsidRPr="0055776F">
                              <w:rPr>
                                <w:rFonts w:cs="Arial"/>
                                <w:sz w:val="20"/>
                              </w:rPr>
                              <w:t>198</w:t>
                            </w:r>
                          </w:p>
                        </w:tc>
                        <w:tc>
                          <w:tcPr>
                            <w:tcW w:w="1284" w:type="dxa"/>
                            <w:tcBorders>
                              <w:bottom w:val="single" w:sz="4" w:space="0" w:color="auto"/>
                            </w:tcBorders>
                            <w:shd w:val="clear" w:color="auto" w:fill="auto"/>
                          </w:tcPr>
                          <w:p w14:paraId="586FD42F" w14:textId="77777777" w:rsidR="00800EFA" w:rsidRPr="0055776F" w:rsidRDefault="00800EFA" w:rsidP="006F2202">
                            <w:pPr>
                              <w:rPr>
                                <w:rFonts w:cs="Arial"/>
                                <w:sz w:val="20"/>
                              </w:rPr>
                            </w:pPr>
                            <w:r w:rsidRPr="0055776F">
                              <w:rPr>
                                <w:rFonts w:cs="Arial"/>
                                <w:sz w:val="20"/>
                              </w:rPr>
                              <w:t>50</w:t>
                            </w:r>
                          </w:p>
                        </w:tc>
                        <w:tc>
                          <w:tcPr>
                            <w:tcW w:w="850" w:type="dxa"/>
                            <w:tcBorders>
                              <w:bottom w:val="single" w:sz="4" w:space="0" w:color="auto"/>
                            </w:tcBorders>
                            <w:shd w:val="clear" w:color="auto" w:fill="auto"/>
                          </w:tcPr>
                          <w:p w14:paraId="586FD430" w14:textId="77777777" w:rsidR="00800EFA" w:rsidRPr="0055776F" w:rsidRDefault="00800EFA" w:rsidP="006F2202">
                            <w:pPr>
                              <w:rPr>
                                <w:rFonts w:cs="Arial"/>
                                <w:sz w:val="20"/>
                              </w:rPr>
                            </w:pPr>
                            <w:r w:rsidRPr="0055776F">
                              <w:rPr>
                                <w:rFonts w:cs="Arial"/>
                                <w:sz w:val="20"/>
                              </w:rPr>
                              <w:t>148</w:t>
                            </w:r>
                          </w:p>
                        </w:tc>
                      </w:tr>
                      <w:tr w:rsidR="00800EFA" w:rsidRPr="0055776F" w14:paraId="586FD437" w14:textId="77777777" w:rsidTr="00D43380">
                        <w:tc>
                          <w:tcPr>
                            <w:tcW w:w="817" w:type="dxa"/>
                            <w:shd w:val="clear" w:color="auto" w:fill="auto"/>
                          </w:tcPr>
                          <w:p w14:paraId="586FD432" w14:textId="77777777" w:rsidR="00800EFA" w:rsidRPr="0055776F" w:rsidRDefault="00800EFA" w:rsidP="006F2202">
                            <w:pPr>
                              <w:rPr>
                                <w:rFonts w:cs="Arial"/>
                                <w:sz w:val="20"/>
                              </w:rPr>
                            </w:pPr>
                            <w:r w:rsidRPr="0055776F">
                              <w:rPr>
                                <w:rFonts w:cs="Arial"/>
                                <w:sz w:val="20"/>
                              </w:rPr>
                              <w:t>│││</w:t>
                            </w:r>
                          </w:p>
                        </w:tc>
                        <w:tc>
                          <w:tcPr>
                            <w:tcW w:w="2835" w:type="dxa"/>
                            <w:gridSpan w:val="2"/>
                            <w:shd w:val="clear" w:color="auto" w:fill="auto"/>
                          </w:tcPr>
                          <w:p w14:paraId="586FD433" w14:textId="77777777" w:rsidR="00800EFA" w:rsidRPr="0055776F" w:rsidRDefault="00800EFA" w:rsidP="006F2202">
                            <w:pPr>
                              <w:rPr>
                                <w:rFonts w:cs="Arial"/>
                                <w:sz w:val="20"/>
                              </w:rPr>
                            </w:pPr>
                            <w:r>
                              <w:rPr>
                                <w:sz w:val="20"/>
                              </w:rPr>
                              <w:t>Rajatut havaintoarvot</w:t>
                            </w:r>
                          </w:p>
                        </w:tc>
                        <w:tc>
                          <w:tcPr>
                            <w:tcW w:w="851" w:type="dxa"/>
                            <w:tcBorders>
                              <w:top w:val="single" w:sz="4" w:space="0" w:color="auto"/>
                            </w:tcBorders>
                            <w:shd w:val="clear" w:color="auto" w:fill="auto"/>
                          </w:tcPr>
                          <w:p w14:paraId="586FD434" w14:textId="77777777" w:rsidR="00800EFA" w:rsidRPr="0055776F" w:rsidRDefault="00800EFA" w:rsidP="006F2202">
                            <w:pPr>
                              <w:rPr>
                                <w:rFonts w:cs="Arial"/>
                                <w:sz w:val="20"/>
                              </w:rPr>
                            </w:pPr>
                          </w:p>
                        </w:tc>
                        <w:tc>
                          <w:tcPr>
                            <w:tcW w:w="1284" w:type="dxa"/>
                            <w:tcBorders>
                              <w:top w:val="single" w:sz="4" w:space="0" w:color="auto"/>
                            </w:tcBorders>
                            <w:shd w:val="clear" w:color="auto" w:fill="auto"/>
                          </w:tcPr>
                          <w:p w14:paraId="586FD435" w14:textId="77777777" w:rsidR="00800EFA" w:rsidRPr="0055776F" w:rsidRDefault="00800EFA" w:rsidP="006F2202">
                            <w:pPr>
                              <w:rPr>
                                <w:rFonts w:cs="Arial"/>
                                <w:sz w:val="20"/>
                              </w:rPr>
                            </w:pPr>
                          </w:p>
                        </w:tc>
                        <w:tc>
                          <w:tcPr>
                            <w:tcW w:w="850" w:type="dxa"/>
                            <w:tcBorders>
                              <w:top w:val="single" w:sz="4" w:space="0" w:color="auto"/>
                            </w:tcBorders>
                            <w:shd w:val="clear" w:color="auto" w:fill="auto"/>
                          </w:tcPr>
                          <w:p w14:paraId="586FD436" w14:textId="77777777" w:rsidR="00800EFA" w:rsidRPr="0055776F" w:rsidRDefault="00800EFA" w:rsidP="006F2202">
                            <w:pPr>
                              <w:rPr>
                                <w:rFonts w:cs="Arial"/>
                                <w:sz w:val="20"/>
                              </w:rPr>
                            </w:pPr>
                          </w:p>
                        </w:tc>
                      </w:tr>
                    </w:tbl>
                    <w:p w14:paraId="586FD438" w14:textId="77777777" w:rsidR="00800EFA" w:rsidRPr="00A33DBA" w:rsidRDefault="00800EFA" w:rsidP="00311DC5">
                      <w:pPr>
                        <w:rPr>
                          <w:rFonts w:cs="Arial"/>
                          <w:sz w:val="20"/>
                        </w:rPr>
                      </w:pPr>
                    </w:p>
                  </w:txbxContent>
                </v:textbox>
              </v:shape>
            </w:pict>
          </mc:Fallback>
        </mc:AlternateContent>
      </w:r>
      <w:r w:rsidRPr="00D82973">
        <w:rPr>
          <w:noProof/>
          <w:lang w:val="en-US"/>
        </w:rPr>
        <w:drawing>
          <wp:inline distT="0" distB="0" distL="0" distR="0" wp14:anchorId="586FD3C0" wp14:editId="586FD3C1">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586FC9C2" w14:textId="77777777" w:rsidR="00311DC5" w:rsidRDefault="00311DC5" w:rsidP="00311DC5">
      <w:pPr>
        <w:pStyle w:val="EndnoteText"/>
        <w:widowControl w:val="0"/>
        <w:tabs>
          <w:tab w:val="clear" w:pos="567"/>
        </w:tabs>
        <w:rPr>
          <w:color w:val="000000"/>
          <w:szCs w:val="22"/>
          <w:lang w:val="fi-FI"/>
        </w:rPr>
      </w:pPr>
    </w:p>
    <w:p w14:paraId="586FC9C3" w14:textId="77777777" w:rsidR="00311DC5" w:rsidRPr="009F2B12" w:rsidRDefault="00311DC5" w:rsidP="00311DC5">
      <w:pPr>
        <w:rPr>
          <w:rFonts w:ascii="Times New Roman" w:hAnsi="Times New Roman"/>
          <w:noProof/>
          <w:sz w:val="22"/>
          <w:szCs w:val="22"/>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311DC5" w:rsidRPr="0055776F" w14:paraId="586FC9C5" w14:textId="77777777" w:rsidTr="008238ED">
        <w:tc>
          <w:tcPr>
            <w:tcW w:w="10599" w:type="dxa"/>
            <w:gridSpan w:val="16"/>
            <w:shd w:val="clear" w:color="auto" w:fill="auto"/>
          </w:tcPr>
          <w:p w14:paraId="586FC9C4" w14:textId="77777777" w:rsidR="00311DC5" w:rsidRPr="0055776F" w:rsidRDefault="00311DC5" w:rsidP="008238ED">
            <w:pPr>
              <w:ind w:left="-27"/>
              <w:rPr>
                <w:rFonts w:cs="Arial"/>
                <w:sz w:val="16"/>
                <w:szCs w:val="16"/>
              </w:rPr>
            </w:pPr>
            <w:r>
              <w:rPr>
                <w:sz w:val="20"/>
              </w:rPr>
              <w:t>Potilaita : Tapahtumia</w:t>
            </w:r>
          </w:p>
        </w:tc>
      </w:tr>
      <w:tr w:rsidR="00311DC5" w:rsidRPr="009F2B12" w14:paraId="586FC9D6" w14:textId="77777777" w:rsidTr="008238ED">
        <w:tc>
          <w:tcPr>
            <w:tcW w:w="450" w:type="dxa"/>
            <w:shd w:val="clear" w:color="auto" w:fill="auto"/>
          </w:tcPr>
          <w:p w14:paraId="586FC9C6" w14:textId="77777777" w:rsidR="00311DC5" w:rsidRPr="009F2B12" w:rsidRDefault="00311DC5" w:rsidP="008238ED">
            <w:pPr>
              <w:rPr>
                <w:rFonts w:ascii="Times New Roman" w:hAnsi="Times New Roman"/>
                <w:sz w:val="18"/>
                <w:szCs w:val="18"/>
              </w:rPr>
            </w:pPr>
            <w:r w:rsidRPr="009F2B12">
              <w:rPr>
                <w:rFonts w:ascii="Times New Roman" w:hAnsi="Times New Roman"/>
                <w:sz w:val="18"/>
                <w:szCs w:val="18"/>
              </w:rPr>
              <w:t>(1)</w:t>
            </w:r>
          </w:p>
        </w:tc>
        <w:tc>
          <w:tcPr>
            <w:tcW w:w="646" w:type="dxa"/>
            <w:shd w:val="clear" w:color="auto" w:fill="auto"/>
          </w:tcPr>
          <w:p w14:paraId="586FC9C7"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199:0</w:t>
            </w:r>
          </w:p>
        </w:tc>
        <w:tc>
          <w:tcPr>
            <w:tcW w:w="645" w:type="dxa"/>
            <w:shd w:val="clear" w:color="auto" w:fill="auto"/>
          </w:tcPr>
          <w:p w14:paraId="586FC9C8"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182:8</w:t>
            </w:r>
          </w:p>
        </w:tc>
        <w:tc>
          <w:tcPr>
            <w:tcW w:w="745" w:type="dxa"/>
            <w:shd w:val="clear" w:color="auto" w:fill="auto"/>
          </w:tcPr>
          <w:p w14:paraId="586FC9C9"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177:12</w:t>
            </w:r>
          </w:p>
        </w:tc>
        <w:tc>
          <w:tcPr>
            <w:tcW w:w="745" w:type="dxa"/>
            <w:shd w:val="clear" w:color="auto" w:fill="auto"/>
          </w:tcPr>
          <w:p w14:paraId="586FC9CA"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163:25</w:t>
            </w:r>
          </w:p>
        </w:tc>
        <w:tc>
          <w:tcPr>
            <w:tcW w:w="745" w:type="dxa"/>
            <w:shd w:val="clear" w:color="auto" w:fill="auto"/>
          </w:tcPr>
          <w:p w14:paraId="586FC9CB"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137:46</w:t>
            </w:r>
          </w:p>
        </w:tc>
        <w:tc>
          <w:tcPr>
            <w:tcW w:w="752" w:type="dxa"/>
            <w:shd w:val="clear" w:color="auto" w:fill="auto"/>
          </w:tcPr>
          <w:p w14:paraId="586FC9CC"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105:65</w:t>
            </w:r>
          </w:p>
        </w:tc>
        <w:tc>
          <w:tcPr>
            <w:tcW w:w="745" w:type="dxa"/>
            <w:shd w:val="clear" w:color="auto" w:fill="auto"/>
          </w:tcPr>
          <w:p w14:paraId="586FC9CD"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88:72</w:t>
            </w:r>
          </w:p>
        </w:tc>
        <w:tc>
          <w:tcPr>
            <w:tcW w:w="745" w:type="dxa"/>
            <w:shd w:val="clear" w:color="auto" w:fill="auto"/>
          </w:tcPr>
          <w:p w14:paraId="586FC9CE"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61:77</w:t>
            </w:r>
          </w:p>
        </w:tc>
        <w:tc>
          <w:tcPr>
            <w:tcW w:w="652" w:type="dxa"/>
            <w:shd w:val="clear" w:color="auto" w:fill="auto"/>
          </w:tcPr>
          <w:p w14:paraId="586FC9CF"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49:81</w:t>
            </w:r>
          </w:p>
        </w:tc>
        <w:tc>
          <w:tcPr>
            <w:tcW w:w="652" w:type="dxa"/>
            <w:shd w:val="clear" w:color="auto" w:fill="auto"/>
          </w:tcPr>
          <w:p w14:paraId="586FC9D0"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36:83</w:t>
            </w:r>
          </w:p>
        </w:tc>
        <w:tc>
          <w:tcPr>
            <w:tcW w:w="649" w:type="dxa"/>
            <w:shd w:val="clear" w:color="auto" w:fill="auto"/>
          </w:tcPr>
          <w:p w14:paraId="586FC9D1"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27:84</w:t>
            </w:r>
          </w:p>
        </w:tc>
        <w:tc>
          <w:tcPr>
            <w:tcW w:w="660" w:type="dxa"/>
            <w:shd w:val="clear" w:color="auto" w:fill="auto"/>
          </w:tcPr>
          <w:p w14:paraId="586FC9D2"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14:84</w:t>
            </w:r>
          </w:p>
        </w:tc>
        <w:tc>
          <w:tcPr>
            <w:tcW w:w="649" w:type="dxa"/>
            <w:shd w:val="clear" w:color="auto" w:fill="auto"/>
          </w:tcPr>
          <w:p w14:paraId="586FC9D3"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10:84</w:t>
            </w:r>
          </w:p>
        </w:tc>
        <w:tc>
          <w:tcPr>
            <w:tcW w:w="564" w:type="dxa"/>
            <w:shd w:val="clear" w:color="auto" w:fill="auto"/>
          </w:tcPr>
          <w:p w14:paraId="586FC9D4"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2:84</w:t>
            </w:r>
          </w:p>
        </w:tc>
        <w:tc>
          <w:tcPr>
            <w:tcW w:w="555" w:type="dxa"/>
            <w:shd w:val="clear" w:color="auto" w:fill="auto"/>
          </w:tcPr>
          <w:p w14:paraId="586FC9D5"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0:84</w:t>
            </w:r>
          </w:p>
        </w:tc>
      </w:tr>
      <w:tr w:rsidR="00311DC5" w:rsidRPr="009F2B12" w14:paraId="586FC9E7" w14:textId="77777777" w:rsidTr="008238ED">
        <w:tc>
          <w:tcPr>
            <w:tcW w:w="450" w:type="dxa"/>
            <w:shd w:val="clear" w:color="auto" w:fill="auto"/>
          </w:tcPr>
          <w:p w14:paraId="586FC9D7" w14:textId="77777777" w:rsidR="00311DC5" w:rsidRPr="009F2B12" w:rsidRDefault="00311DC5" w:rsidP="008238ED">
            <w:pPr>
              <w:rPr>
                <w:rFonts w:ascii="Times New Roman" w:hAnsi="Times New Roman"/>
                <w:sz w:val="18"/>
                <w:szCs w:val="18"/>
              </w:rPr>
            </w:pPr>
            <w:r w:rsidRPr="009F2B12">
              <w:rPr>
                <w:rFonts w:ascii="Times New Roman" w:hAnsi="Times New Roman"/>
                <w:sz w:val="18"/>
                <w:szCs w:val="18"/>
              </w:rPr>
              <w:t>(2)</w:t>
            </w:r>
          </w:p>
        </w:tc>
        <w:tc>
          <w:tcPr>
            <w:tcW w:w="646" w:type="dxa"/>
            <w:shd w:val="clear" w:color="auto" w:fill="auto"/>
          </w:tcPr>
          <w:p w14:paraId="586FC9D8"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198:0</w:t>
            </w:r>
          </w:p>
        </w:tc>
        <w:tc>
          <w:tcPr>
            <w:tcW w:w="645" w:type="dxa"/>
            <w:shd w:val="clear" w:color="auto" w:fill="auto"/>
          </w:tcPr>
          <w:p w14:paraId="586FC9D9"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189:5</w:t>
            </w:r>
          </w:p>
        </w:tc>
        <w:tc>
          <w:tcPr>
            <w:tcW w:w="745" w:type="dxa"/>
            <w:shd w:val="clear" w:color="auto" w:fill="auto"/>
          </w:tcPr>
          <w:p w14:paraId="586FC9DA"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184:8</w:t>
            </w:r>
          </w:p>
        </w:tc>
        <w:tc>
          <w:tcPr>
            <w:tcW w:w="745" w:type="dxa"/>
            <w:shd w:val="clear" w:color="auto" w:fill="auto"/>
          </w:tcPr>
          <w:p w14:paraId="586FC9DB"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181:11</w:t>
            </w:r>
          </w:p>
        </w:tc>
        <w:tc>
          <w:tcPr>
            <w:tcW w:w="745" w:type="dxa"/>
            <w:shd w:val="clear" w:color="auto" w:fill="auto"/>
          </w:tcPr>
          <w:p w14:paraId="586FC9DC"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173:18</w:t>
            </w:r>
          </w:p>
        </w:tc>
        <w:tc>
          <w:tcPr>
            <w:tcW w:w="752" w:type="dxa"/>
            <w:shd w:val="clear" w:color="auto" w:fill="auto"/>
          </w:tcPr>
          <w:p w14:paraId="586FC9DD"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152:22</w:t>
            </w:r>
          </w:p>
        </w:tc>
        <w:tc>
          <w:tcPr>
            <w:tcW w:w="745" w:type="dxa"/>
            <w:shd w:val="clear" w:color="auto" w:fill="auto"/>
          </w:tcPr>
          <w:p w14:paraId="586FC9DE"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133:25</w:t>
            </w:r>
          </w:p>
        </w:tc>
        <w:tc>
          <w:tcPr>
            <w:tcW w:w="745" w:type="dxa"/>
            <w:shd w:val="clear" w:color="auto" w:fill="auto"/>
          </w:tcPr>
          <w:p w14:paraId="586FC9DF"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102:29</w:t>
            </w:r>
          </w:p>
        </w:tc>
        <w:tc>
          <w:tcPr>
            <w:tcW w:w="652" w:type="dxa"/>
            <w:shd w:val="clear" w:color="auto" w:fill="auto"/>
          </w:tcPr>
          <w:p w14:paraId="586FC9E0"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82:35</w:t>
            </w:r>
          </w:p>
        </w:tc>
        <w:tc>
          <w:tcPr>
            <w:tcW w:w="652" w:type="dxa"/>
            <w:shd w:val="clear" w:color="auto" w:fill="auto"/>
          </w:tcPr>
          <w:p w14:paraId="586FC9E1"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54:46</w:t>
            </w:r>
          </w:p>
        </w:tc>
        <w:tc>
          <w:tcPr>
            <w:tcW w:w="649" w:type="dxa"/>
            <w:shd w:val="clear" w:color="auto" w:fill="auto"/>
          </w:tcPr>
          <w:p w14:paraId="586FC9E2"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39:47</w:t>
            </w:r>
          </w:p>
        </w:tc>
        <w:tc>
          <w:tcPr>
            <w:tcW w:w="660" w:type="dxa"/>
            <w:shd w:val="clear" w:color="auto" w:fill="auto"/>
          </w:tcPr>
          <w:p w14:paraId="586FC9E3"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21:49</w:t>
            </w:r>
          </w:p>
        </w:tc>
        <w:tc>
          <w:tcPr>
            <w:tcW w:w="649" w:type="dxa"/>
            <w:shd w:val="clear" w:color="auto" w:fill="auto"/>
          </w:tcPr>
          <w:p w14:paraId="586FC9E4"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8:50</w:t>
            </w:r>
          </w:p>
        </w:tc>
        <w:tc>
          <w:tcPr>
            <w:tcW w:w="564" w:type="dxa"/>
            <w:shd w:val="clear" w:color="auto" w:fill="auto"/>
          </w:tcPr>
          <w:p w14:paraId="586FC9E5" w14:textId="77777777" w:rsidR="00311DC5" w:rsidRPr="009F2B12" w:rsidRDefault="00311DC5" w:rsidP="008238ED">
            <w:pPr>
              <w:ind w:left="-27"/>
              <w:rPr>
                <w:rFonts w:ascii="Times New Roman" w:hAnsi="Times New Roman"/>
                <w:sz w:val="18"/>
                <w:szCs w:val="18"/>
              </w:rPr>
            </w:pPr>
            <w:r w:rsidRPr="009F2B12">
              <w:rPr>
                <w:rFonts w:ascii="Times New Roman" w:hAnsi="Times New Roman"/>
                <w:sz w:val="18"/>
                <w:szCs w:val="18"/>
              </w:rPr>
              <w:t>0:50</w:t>
            </w:r>
          </w:p>
        </w:tc>
        <w:tc>
          <w:tcPr>
            <w:tcW w:w="555" w:type="dxa"/>
            <w:shd w:val="clear" w:color="auto" w:fill="auto"/>
          </w:tcPr>
          <w:p w14:paraId="586FC9E6" w14:textId="77777777" w:rsidR="00311DC5" w:rsidRPr="009F2B12" w:rsidRDefault="00311DC5" w:rsidP="008238ED">
            <w:pPr>
              <w:ind w:left="-27"/>
              <w:rPr>
                <w:rFonts w:ascii="Times New Roman" w:hAnsi="Times New Roman"/>
                <w:sz w:val="18"/>
                <w:szCs w:val="18"/>
              </w:rPr>
            </w:pPr>
          </w:p>
        </w:tc>
      </w:tr>
    </w:tbl>
    <w:p w14:paraId="586FC9E8" w14:textId="77777777" w:rsidR="00311DC5" w:rsidRDefault="00311DC5" w:rsidP="00311DC5">
      <w:pPr>
        <w:pStyle w:val="EndnoteText"/>
        <w:widowControl w:val="0"/>
        <w:tabs>
          <w:tab w:val="clear" w:pos="567"/>
        </w:tabs>
        <w:rPr>
          <w:color w:val="000000"/>
          <w:szCs w:val="22"/>
          <w:lang w:val="fi-FI"/>
        </w:rPr>
      </w:pPr>
    </w:p>
    <w:p w14:paraId="586FC9E9" w14:textId="77777777" w:rsidR="00311DC5" w:rsidRPr="008A5B9A" w:rsidRDefault="00311DC5" w:rsidP="00311DC5">
      <w:pPr>
        <w:keepNext/>
        <w:widowControl w:val="0"/>
        <w:ind w:left="1134" w:hanging="1134"/>
        <w:outlineLvl w:val="6"/>
        <w:rPr>
          <w:rFonts w:ascii="Times New Roman" w:eastAsia="MS Mincho" w:hAnsi="Times New Roman"/>
          <w:b/>
          <w:sz w:val="22"/>
          <w:szCs w:val="22"/>
        </w:rPr>
      </w:pPr>
      <w:r>
        <w:rPr>
          <w:rFonts w:ascii="Times New Roman" w:hAnsi="Times New Roman"/>
          <w:b/>
          <w:sz w:val="22"/>
        </w:rPr>
        <w:t>Kuva 2</w:t>
      </w:r>
      <w:r>
        <w:rPr>
          <w:rFonts w:ascii="Times New Roman" w:hAnsi="Times New Roman"/>
          <w:b/>
          <w:sz w:val="22"/>
        </w:rPr>
        <w:tab/>
      </w:r>
      <w:r w:rsidRPr="008A5B9A">
        <w:rPr>
          <w:rFonts w:ascii="Times New Roman" w:hAnsi="Times New Roman"/>
          <w:b/>
          <w:sz w:val="22"/>
        </w:rPr>
        <w:t>Kokonaiselossaolon Kaplan–Meier-estimaatit (ITT-populaatio)</w:t>
      </w:r>
    </w:p>
    <w:p w14:paraId="586FC9EA" w14:textId="77777777" w:rsidR="00311DC5" w:rsidRDefault="00311DC5" w:rsidP="00311DC5">
      <w:pPr>
        <w:pStyle w:val="EndnoteText"/>
        <w:keepNext/>
        <w:widowControl w:val="0"/>
        <w:tabs>
          <w:tab w:val="clear" w:pos="567"/>
        </w:tabs>
        <w:ind w:left="1134" w:hanging="1134"/>
        <w:outlineLvl w:val="6"/>
        <w:rPr>
          <w:color w:val="000000"/>
          <w:szCs w:val="22"/>
          <w:lang w:val="fi-FI"/>
        </w:rPr>
      </w:pPr>
    </w:p>
    <w:p w14:paraId="586FC9EB" w14:textId="77777777" w:rsidR="00311DC5" w:rsidRDefault="00CC29DC" w:rsidP="00311DC5">
      <w:pPr>
        <w:pStyle w:val="EndnoteText"/>
        <w:widowControl w:val="0"/>
        <w:tabs>
          <w:tab w:val="clear" w:pos="567"/>
        </w:tabs>
        <w:rPr>
          <w:color w:val="000000"/>
          <w:szCs w:val="22"/>
          <w:lang w:val="fi-FI"/>
        </w:rPr>
      </w:pPr>
      <w:r>
        <w:rPr>
          <w:noProof/>
          <w:lang w:val="en-US"/>
        </w:rPr>
        <mc:AlternateContent>
          <mc:Choice Requires="wps">
            <w:drawing>
              <wp:anchor distT="0" distB="0" distL="114300" distR="114300" simplePos="0" relativeHeight="251661312" behindDoc="0" locked="0" layoutInCell="1" allowOverlap="1" wp14:anchorId="586FD3C2" wp14:editId="586FD3C3">
                <wp:simplePos x="0" y="0"/>
                <wp:positionH relativeFrom="column">
                  <wp:posOffset>-202565</wp:posOffset>
                </wp:positionH>
                <wp:positionV relativeFrom="paragraph">
                  <wp:posOffset>6350</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FD439" w14:textId="77777777" w:rsidR="00800EFA" w:rsidRPr="00A33DBA" w:rsidRDefault="00800EFA" w:rsidP="00311DC5">
                            <w:pPr>
                              <w:rPr>
                                <w:rFonts w:cs="Arial"/>
                                <w:sz w:val="20"/>
                              </w:rPr>
                            </w:pPr>
                            <w:r>
                              <w:rPr>
                                <w:sz w:val="20"/>
                              </w:rPr>
                              <w:t>Kokonaiselossaolon todennäköisyys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C2" id="_x0000_s1035" type="#_x0000_t202" style="position:absolute;margin-left:-15.95pt;margin-top:.5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4A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" stroked="f">
                <v:fill opacity="0"/>
                <v:textbox style="layout-flow:vertical;mso-layout-flow-alt:bottom-to-top">
                  <w:txbxContent>
                    <w:p w14:paraId="586FD439" w14:textId="77777777" w:rsidR="00800EFA" w:rsidRPr="00A33DBA" w:rsidRDefault="00800EFA" w:rsidP="00311DC5">
                      <w:pPr>
                        <w:rPr>
                          <w:rFonts w:cs="Arial"/>
                          <w:sz w:val="20"/>
                        </w:rPr>
                      </w:pPr>
                      <w:r>
                        <w:rPr>
                          <w:sz w:val="20"/>
                        </w:rPr>
                        <w:t>Kokonaiselossaolon todennäköisyys</w:t>
                      </w:r>
                    </w:p>
                  </w:txbxContent>
                </v:textbox>
              </v:shape>
            </w:pict>
          </mc:Fallback>
        </mc:AlternateContent>
      </w:r>
      <w:r>
        <w:rPr>
          <w:noProof/>
          <w:color w:val="000000"/>
          <w:szCs w:val="22"/>
          <w:lang w:val="en-US"/>
        </w:rPr>
        <mc:AlternateContent>
          <mc:Choice Requires="wps">
            <w:drawing>
              <wp:anchor distT="0" distB="0" distL="114300" distR="114300" simplePos="0" relativeHeight="251663360" behindDoc="0" locked="0" layoutInCell="1" allowOverlap="1" wp14:anchorId="586FD3C4" wp14:editId="586FD3C5">
                <wp:simplePos x="0" y="0"/>
                <wp:positionH relativeFrom="column">
                  <wp:posOffset>2301240</wp:posOffset>
                </wp:positionH>
                <wp:positionV relativeFrom="paragraph">
                  <wp:posOffset>2635250</wp:posOffset>
                </wp:positionV>
                <wp:extent cx="1275080" cy="3048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FD43A" w14:textId="77777777" w:rsidR="00800EFA" w:rsidRPr="00A33DBA" w:rsidRDefault="00800EFA" w:rsidP="00311DC5">
                            <w:pPr>
                              <w:rPr>
                                <w:rFonts w:cs="Arial"/>
                                <w:sz w:val="20"/>
                              </w:rPr>
                            </w:pPr>
                            <w:r>
                              <w:rPr>
                                <w:sz w:val="20"/>
                              </w:rPr>
                              <w:t>Elossaolo (kk)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C4" id="_x0000_s1036" type="#_x0000_t202" style="position:absolute;margin-left:181.2pt;margin-top:207.5pt;width:100.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" stroked="f">
                <v:fill opacity="0"/>
                <v:textbox>
                  <w:txbxContent>
                    <w:p w14:paraId="586FD43A" w14:textId="77777777" w:rsidR="00800EFA" w:rsidRPr="00A33DBA" w:rsidRDefault="00800EFA" w:rsidP="00311DC5">
                      <w:pPr>
                        <w:rPr>
                          <w:rFonts w:cs="Arial"/>
                          <w:sz w:val="20"/>
                        </w:rPr>
                      </w:pPr>
                      <w:r>
                        <w:rPr>
                          <w:sz w:val="20"/>
                        </w:rPr>
                        <w:t>Elossaolo (kk)</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86FD3C6" wp14:editId="586FD3C7">
                <wp:simplePos x="0" y="0"/>
                <wp:positionH relativeFrom="column">
                  <wp:posOffset>350520</wp:posOffset>
                </wp:positionH>
                <wp:positionV relativeFrom="paragraph">
                  <wp:posOffset>939800</wp:posOffset>
                </wp:positionV>
                <wp:extent cx="4585335" cy="1428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FD43B" w14:textId="77777777" w:rsidR="00800EFA" w:rsidRDefault="00800EFA" w:rsidP="00311DC5">
                            <w:pPr>
                              <w:rPr>
                                <w:rFonts w:cs="Arial"/>
                                <w:sz w:val="20"/>
                              </w:rPr>
                            </w:pPr>
                          </w:p>
                          <w:tbl>
                            <w:tblPr>
                              <w:tblW w:w="0" w:type="auto"/>
                              <w:tblLook w:val="04A0" w:firstRow="1" w:lastRow="0" w:firstColumn="1" w:lastColumn="0" w:noHBand="0" w:noVBand="1"/>
                            </w:tblPr>
                            <w:tblGrid>
                              <w:gridCol w:w="817"/>
                              <w:gridCol w:w="2464"/>
                              <w:gridCol w:w="851"/>
                              <w:gridCol w:w="1284"/>
                              <w:gridCol w:w="850"/>
                            </w:tblGrid>
                            <w:tr w:rsidR="00800EFA" w:rsidRPr="0055776F" w14:paraId="586FD43F" w14:textId="77777777" w:rsidTr="006F2202">
                              <w:tc>
                                <w:tcPr>
                                  <w:tcW w:w="5691" w:type="dxa"/>
                                  <w:gridSpan w:val="5"/>
                                  <w:shd w:val="clear" w:color="auto" w:fill="auto"/>
                                </w:tcPr>
                                <w:p w14:paraId="586FD43C" w14:textId="77777777" w:rsidR="00800EFA" w:rsidRPr="0055776F" w:rsidRDefault="00800EFA" w:rsidP="006F2202">
                                  <w:pPr>
                                    <w:rPr>
                                      <w:rFonts w:cs="Arial"/>
                                      <w:sz w:val="20"/>
                                    </w:rPr>
                                  </w:pPr>
                                  <w:r>
                                    <w:rPr>
                                      <w:rFonts w:cs="Arial"/>
                                      <w:sz w:val="20"/>
                                    </w:rPr>
                                    <w:t>P = 0,0</w:t>
                                  </w:r>
                                  <w:r w:rsidRPr="0055776F">
                                    <w:rPr>
                                      <w:rFonts w:cs="Arial"/>
                                      <w:sz w:val="20"/>
                                    </w:rPr>
                                    <w:t>19</w:t>
                                  </w:r>
                                </w:p>
                                <w:p w14:paraId="586FD43D" w14:textId="77777777" w:rsidR="00800EFA" w:rsidRDefault="00800EFA" w:rsidP="009F5C42">
                                  <w:pPr>
                                    <w:rPr>
                                      <w:rFonts w:cs="Arial"/>
                                      <w:sz w:val="20"/>
                                    </w:rPr>
                                  </w:pPr>
                                  <w:r>
                                    <w:rPr>
                                      <w:sz w:val="20"/>
                                    </w:rPr>
                                    <w:t>Riskisuhde 0,45</w:t>
                                  </w:r>
                                </w:p>
                                <w:p w14:paraId="586FD43E" w14:textId="77777777" w:rsidR="00800EFA" w:rsidRPr="0055776F" w:rsidRDefault="00800EFA" w:rsidP="009F5C42">
                                  <w:pPr>
                                    <w:rPr>
                                      <w:rFonts w:cs="Arial"/>
                                      <w:sz w:val="20"/>
                                      <w:lang w:val="de-DE"/>
                                    </w:rPr>
                                  </w:pPr>
                                  <w:r>
                                    <w:rPr>
                                      <w:sz w:val="20"/>
                                    </w:rPr>
                                    <w:t>(95 % luottamusväli 0,22</w:t>
                                  </w:r>
                                  <w:r>
                                    <w:rPr>
                                      <w:sz w:val="20"/>
                                    </w:rPr>
                                    <w:noBreakHyphen/>
                                    <w:t>0,89)</w:t>
                                  </w:r>
                                </w:p>
                              </w:tc>
                            </w:tr>
                            <w:tr w:rsidR="00800EFA" w:rsidRPr="0055776F" w14:paraId="586FD445" w14:textId="77777777" w:rsidTr="006F2202">
                              <w:tc>
                                <w:tcPr>
                                  <w:tcW w:w="817" w:type="dxa"/>
                                  <w:shd w:val="clear" w:color="auto" w:fill="auto"/>
                                </w:tcPr>
                                <w:p w14:paraId="586FD440" w14:textId="77777777" w:rsidR="00800EFA" w:rsidRPr="0055776F" w:rsidRDefault="00800EFA" w:rsidP="006F2202">
                                  <w:pPr>
                                    <w:rPr>
                                      <w:rFonts w:cs="Arial"/>
                                      <w:sz w:val="20"/>
                                    </w:rPr>
                                  </w:pPr>
                                </w:p>
                              </w:tc>
                              <w:tc>
                                <w:tcPr>
                                  <w:tcW w:w="2464" w:type="dxa"/>
                                  <w:shd w:val="clear" w:color="auto" w:fill="auto"/>
                                </w:tcPr>
                                <w:p w14:paraId="586FD441" w14:textId="77777777" w:rsidR="00800EFA" w:rsidRPr="0055776F" w:rsidRDefault="00800EFA" w:rsidP="006F2202">
                                  <w:pPr>
                                    <w:rPr>
                                      <w:rFonts w:cs="Arial"/>
                                      <w:sz w:val="20"/>
                                    </w:rPr>
                                  </w:pPr>
                                </w:p>
                              </w:tc>
                              <w:tc>
                                <w:tcPr>
                                  <w:tcW w:w="851" w:type="dxa"/>
                                  <w:tcBorders>
                                    <w:bottom w:val="single" w:sz="4" w:space="0" w:color="auto"/>
                                  </w:tcBorders>
                                  <w:shd w:val="clear" w:color="auto" w:fill="auto"/>
                                </w:tcPr>
                                <w:p w14:paraId="586FD442" w14:textId="77777777" w:rsidR="00800EFA" w:rsidRPr="0055776F" w:rsidRDefault="00800EFA" w:rsidP="006F2202">
                                  <w:pPr>
                                    <w:rPr>
                                      <w:rFonts w:cs="Arial"/>
                                      <w:sz w:val="20"/>
                                    </w:rPr>
                                  </w:pPr>
                                  <w:r w:rsidRPr="009F5C42">
                                    <w:rPr>
                                      <w:rFonts w:cs="Arial"/>
                                      <w:sz w:val="20"/>
                                      <w:lang w:val="de-DE"/>
                                    </w:rPr>
                                    <w:t>N</w:t>
                                  </w:r>
                                </w:p>
                              </w:tc>
                              <w:tc>
                                <w:tcPr>
                                  <w:tcW w:w="709" w:type="dxa"/>
                                  <w:tcBorders>
                                    <w:bottom w:val="single" w:sz="4" w:space="0" w:color="auto"/>
                                  </w:tcBorders>
                                  <w:shd w:val="clear" w:color="auto" w:fill="auto"/>
                                </w:tcPr>
                                <w:p w14:paraId="586FD443" w14:textId="77777777" w:rsidR="00800EFA" w:rsidRPr="0055776F" w:rsidRDefault="00800EFA" w:rsidP="006F2202">
                                  <w:pPr>
                                    <w:rPr>
                                      <w:rFonts w:cs="Arial"/>
                                      <w:sz w:val="20"/>
                                    </w:rPr>
                                  </w:pPr>
                                  <w:r w:rsidRPr="009F5C42">
                                    <w:rPr>
                                      <w:sz w:val="20"/>
                                    </w:rPr>
                                    <w:t>Tapahtumat</w:t>
                                  </w:r>
                                </w:p>
                              </w:tc>
                              <w:tc>
                                <w:tcPr>
                                  <w:tcW w:w="850" w:type="dxa"/>
                                  <w:tcBorders>
                                    <w:bottom w:val="single" w:sz="4" w:space="0" w:color="auto"/>
                                  </w:tcBorders>
                                  <w:shd w:val="clear" w:color="auto" w:fill="auto"/>
                                </w:tcPr>
                                <w:p w14:paraId="586FD444" w14:textId="77777777" w:rsidR="00800EFA" w:rsidRPr="0055776F" w:rsidRDefault="00800EFA" w:rsidP="006F2202">
                                  <w:pPr>
                                    <w:rPr>
                                      <w:rFonts w:cs="Arial"/>
                                      <w:sz w:val="20"/>
                                    </w:rPr>
                                  </w:pPr>
                                  <w:r w:rsidRPr="009F5C42">
                                    <w:rPr>
                                      <w:sz w:val="20"/>
                                    </w:rPr>
                                    <w:t>Rajatut</w:t>
                                  </w:r>
                                </w:p>
                              </w:tc>
                            </w:tr>
                            <w:tr w:rsidR="00800EFA" w:rsidRPr="0055776F" w14:paraId="586FD44B" w14:textId="77777777" w:rsidTr="006F2202">
                              <w:tc>
                                <w:tcPr>
                                  <w:tcW w:w="817" w:type="dxa"/>
                                  <w:shd w:val="clear" w:color="auto" w:fill="auto"/>
                                </w:tcPr>
                                <w:p w14:paraId="586FD446" w14:textId="77777777" w:rsidR="00800EFA" w:rsidRPr="0055776F" w:rsidRDefault="00800EFA" w:rsidP="006F2202">
                                  <w:pPr>
                                    <w:rPr>
                                      <w:rFonts w:cs="Arial"/>
                                      <w:sz w:val="20"/>
                                    </w:rPr>
                                  </w:pPr>
                                  <w:r w:rsidRPr="0055776F">
                                    <w:rPr>
                                      <w:rFonts w:cs="Arial"/>
                                      <w:b/>
                                      <w:sz w:val="20"/>
                                    </w:rPr>
                                    <w:t>——</w:t>
                                  </w:r>
                                </w:p>
                              </w:tc>
                              <w:tc>
                                <w:tcPr>
                                  <w:tcW w:w="2464" w:type="dxa"/>
                                  <w:shd w:val="clear" w:color="auto" w:fill="auto"/>
                                </w:tcPr>
                                <w:p w14:paraId="586FD447" w14:textId="77777777" w:rsidR="00800EFA" w:rsidRPr="0055776F" w:rsidRDefault="00800EFA" w:rsidP="006F2202">
                                  <w:pPr>
                                    <w:rPr>
                                      <w:rFonts w:cs="Arial"/>
                                      <w:sz w:val="20"/>
                                    </w:rPr>
                                  </w:pPr>
                                  <w:r w:rsidRPr="0055776F">
                                    <w:rPr>
                                      <w:rFonts w:cs="Arial"/>
                                      <w:sz w:val="20"/>
                                    </w:rPr>
                                    <w:t xml:space="preserve">(1) </w:t>
                                  </w:r>
                                  <w:r>
                                    <w:rPr>
                                      <w:sz w:val="20"/>
                                    </w:rPr>
                                    <w:t>Imatinibi, 12 kk</w:t>
                                  </w:r>
                                  <w:r w:rsidRPr="0055776F">
                                    <w:rPr>
                                      <w:rFonts w:cs="Arial"/>
                                      <w:sz w:val="20"/>
                                    </w:rPr>
                                    <w:t>:</w:t>
                                  </w:r>
                                </w:p>
                              </w:tc>
                              <w:tc>
                                <w:tcPr>
                                  <w:tcW w:w="851" w:type="dxa"/>
                                  <w:tcBorders>
                                    <w:top w:val="single" w:sz="4" w:space="0" w:color="auto"/>
                                  </w:tcBorders>
                                  <w:shd w:val="clear" w:color="auto" w:fill="auto"/>
                                </w:tcPr>
                                <w:p w14:paraId="586FD448" w14:textId="77777777" w:rsidR="00800EFA" w:rsidRPr="0055776F" w:rsidRDefault="00800EFA" w:rsidP="006F2202">
                                  <w:pPr>
                                    <w:rPr>
                                      <w:rFonts w:cs="Arial"/>
                                      <w:sz w:val="20"/>
                                    </w:rPr>
                                  </w:pPr>
                                  <w:r w:rsidRPr="0055776F">
                                    <w:rPr>
                                      <w:rFonts w:cs="Arial"/>
                                      <w:sz w:val="20"/>
                                    </w:rPr>
                                    <w:t>199</w:t>
                                  </w:r>
                                </w:p>
                              </w:tc>
                              <w:tc>
                                <w:tcPr>
                                  <w:tcW w:w="709" w:type="dxa"/>
                                  <w:tcBorders>
                                    <w:top w:val="single" w:sz="4" w:space="0" w:color="auto"/>
                                  </w:tcBorders>
                                  <w:shd w:val="clear" w:color="auto" w:fill="auto"/>
                                </w:tcPr>
                                <w:p w14:paraId="586FD449" w14:textId="77777777" w:rsidR="00800EFA" w:rsidRPr="0055776F" w:rsidRDefault="00800EFA" w:rsidP="006F2202">
                                  <w:pPr>
                                    <w:rPr>
                                      <w:rFonts w:cs="Arial"/>
                                      <w:sz w:val="20"/>
                                    </w:rPr>
                                  </w:pPr>
                                  <w:r w:rsidRPr="0055776F">
                                    <w:rPr>
                                      <w:rFonts w:cs="Arial"/>
                                      <w:sz w:val="20"/>
                                    </w:rPr>
                                    <w:t>25</w:t>
                                  </w:r>
                                </w:p>
                              </w:tc>
                              <w:tc>
                                <w:tcPr>
                                  <w:tcW w:w="850" w:type="dxa"/>
                                  <w:tcBorders>
                                    <w:top w:val="single" w:sz="4" w:space="0" w:color="auto"/>
                                  </w:tcBorders>
                                  <w:shd w:val="clear" w:color="auto" w:fill="auto"/>
                                </w:tcPr>
                                <w:p w14:paraId="586FD44A" w14:textId="77777777" w:rsidR="00800EFA" w:rsidRPr="0055776F" w:rsidRDefault="00800EFA" w:rsidP="006F2202">
                                  <w:pPr>
                                    <w:rPr>
                                      <w:rFonts w:cs="Arial"/>
                                      <w:sz w:val="20"/>
                                    </w:rPr>
                                  </w:pPr>
                                  <w:r w:rsidRPr="0055776F">
                                    <w:rPr>
                                      <w:rFonts w:cs="Arial"/>
                                      <w:sz w:val="20"/>
                                    </w:rPr>
                                    <w:t>174</w:t>
                                  </w:r>
                                </w:p>
                              </w:tc>
                            </w:tr>
                            <w:tr w:rsidR="00800EFA" w:rsidRPr="0055776F" w14:paraId="586FD451" w14:textId="77777777" w:rsidTr="006F2202">
                              <w:tc>
                                <w:tcPr>
                                  <w:tcW w:w="817" w:type="dxa"/>
                                  <w:shd w:val="clear" w:color="auto" w:fill="auto"/>
                                </w:tcPr>
                                <w:p w14:paraId="586FD44C" w14:textId="77777777" w:rsidR="00800EFA" w:rsidRPr="0055776F" w:rsidRDefault="00800EFA" w:rsidP="006F2202">
                                  <w:pPr>
                                    <w:rPr>
                                      <w:rFonts w:cs="Arial"/>
                                      <w:sz w:val="20"/>
                                    </w:rPr>
                                  </w:pPr>
                                  <w:r w:rsidRPr="0055776F">
                                    <w:rPr>
                                      <w:rFonts w:cs="Arial"/>
                                      <w:sz w:val="20"/>
                                    </w:rPr>
                                    <w:t>-----</w:t>
                                  </w:r>
                                </w:p>
                              </w:tc>
                              <w:tc>
                                <w:tcPr>
                                  <w:tcW w:w="2464" w:type="dxa"/>
                                  <w:shd w:val="clear" w:color="auto" w:fill="auto"/>
                                </w:tcPr>
                                <w:p w14:paraId="586FD44D" w14:textId="77777777" w:rsidR="00800EFA" w:rsidRPr="0055776F" w:rsidRDefault="00800EFA" w:rsidP="006F2202">
                                  <w:pPr>
                                    <w:rPr>
                                      <w:rFonts w:cs="Arial"/>
                                      <w:sz w:val="20"/>
                                    </w:rPr>
                                  </w:pPr>
                                  <w:r w:rsidRPr="0055776F">
                                    <w:rPr>
                                      <w:rFonts w:cs="Arial"/>
                                      <w:sz w:val="20"/>
                                    </w:rPr>
                                    <w:t xml:space="preserve">(2) </w:t>
                                  </w:r>
                                  <w:r>
                                    <w:rPr>
                                      <w:sz w:val="20"/>
                                    </w:rPr>
                                    <w:t>Imatinibi, 36 kk</w:t>
                                  </w:r>
                                  <w:r w:rsidRPr="0055776F">
                                    <w:rPr>
                                      <w:rFonts w:cs="Arial"/>
                                      <w:sz w:val="20"/>
                                    </w:rPr>
                                    <w:t>:</w:t>
                                  </w:r>
                                </w:p>
                              </w:tc>
                              <w:tc>
                                <w:tcPr>
                                  <w:tcW w:w="851" w:type="dxa"/>
                                  <w:tcBorders>
                                    <w:bottom w:val="single" w:sz="4" w:space="0" w:color="auto"/>
                                  </w:tcBorders>
                                  <w:shd w:val="clear" w:color="auto" w:fill="auto"/>
                                </w:tcPr>
                                <w:p w14:paraId="586FD44E" w14:textId="77777777" w:rsidR="00800EFA" w:rsidRPr="0055776F" w:rsidRDefault="00800EFA" w:rsidP="006F2202">
                                  <w:pPr>
                                    <w:rPr>
                                      <w:rFonts w:cs="Arial"/>
                                      <w:sz w:val="20"/>
                                    </w:rPr>
                                  </w:pPr>
                                  <w:r w:rsidRPr="0055776F">
                                    <w:rPr>
                                      <w:rFonts w:cs="Arial"/>
                                      <w:sz w:val="20"/>
                                    </w:rPr>
                                    <w:t>198</w:t>
                                  </w:r>
                                </w:p>
                              </w:tc>
                              <w:tc>
                                <w:tcPr>
                                  <w:tcW w:w="709" w:type="dxa"/>
                                  <w:tcBorders>
                                    <w:bottom w:val="single" w:sz="4" w:space="0" w:color="auto"/>
                                  </w:tcBorders>
                                  <w:shd w:val="clear" w:color="auto" w:fill="auto"/>
                                </w:tcPr>
                                <w:p w14:paraId="586FD44F" w14:textId="77777777" w:rsidR="00800EFA" w:rsidRPr="0055776F" w:rsidRDefault="00800EFA" w:rsidP="006F2202">
                                  <w:pPr>
                                    <w:rPr>
                                      <w:rFonts w:cs="Arial"/>
                                      <w:sz w:val="20"/>
                                    </w:rPr>
                                  </w:pPr>
                                  <w:r w:rsidRPr="0055776F">
                                    <w:rPr>
                                      <w:rFonts w:cs="Arial"/>
                                      <w:sz w:val="20"/>
                                    </w:rPr>
                                    <w:t>12</w:t>
                                  </w:r>
                                </w:p>
                              </w:tc>
                              <w:tc>
                                <w:tcPr>
                                  <w:tcW w:w="850" w:type="dxa"/>
                                  <w:tcBorders>
                                    <w:bottom w:val="single" w:sz="4" w:space="0" w:color="auto"/>
                                  </w:tcBorders>
                                  <w:shd w:val="clear" w:color="auto" w:fill="auto"/>
                                </w:tcPr>
                                <w:p w14:paraId="586FD450" w14:textId="77777777" w:rsidR="00800EFA" w:rsidRPr="0055776F" w:rsidRDefault="00800EFA" w:rsidP="006F2202">
                                  <w:pPr>
                                    <w:rPr>
                                      <w:rFonts w:cs="Arial"/>
                                      <w:sz w:val="20"/>
                                    </w:rPr>
                                  </w:pPr>
                                  <w:r w:rsidRPr="0055776F">
                                    <w:rPr>
                                      <w:rFonts w:cs="Arial"/>
                                      <w:sz w:val="20"/>
                                    </w:rPr>
                                    <w:t>186</w:t>
                                  </w:r>
                                </w:p>
                              </w:tc>
                            </w:tr>
                            <w:tr w:rsidR="00800EFA" w:rsidRPr="0055776F" w14:paraId="586FD457" w14:textId="77777777" w:rsidTr="006F2202">
                              <w:tc>
                                <w:tcPr>
                                  <w:tcW w:w="817" w:type="dxa"/>
                                  <w:shd w:val="clear" w:color="auto" w:fill="auto"/>
                                </w:tcPr>
                                <w:p w14:paraId="586FD452" w14:textId="77777777" w:rsidR="00800EFA" w:rsidRPr="0055776F" w:rsidRDefault="00800EFA" w:rsidP="006F2202">
                                  <w:pPr>
                                    <w:rPr>
                                      <w:rFonts w:cs="Arial"/>
                                      <w:sz w:val="20"/>
                                    </w:rPr>
                                  </w:pPr>
                                  <w:r w:rsidRPr="0055776F">
                                    <w:rPr>
                                      <w:rFonts w:cs="Arial"/>
                                      <w:sz w:val="20"/>
                                    </w:rPr>
                                    <w:t>│││</w:t>
                                  </w:r>
                                </w:p>
                              </w:tc>
                              <w:tc>
                                <w:tcPr>
                                  <w:tcW w:w="2464" w:type="dxa"/>
                                  <w:shd w:val="clear" w:color="auto" w:fill="auto"/>
                                </w:tcPr>
                                <w:p w14:paraId="586FD453" w14:textId="77777777" w:rsidR="00800EFA" w:rsidRPr="0055776F" w:rsidRDefault="00800EFA" w:rsidP="006F2202">
                                  <w:pPr>
                                    <w:rPr>
                                      <w:rFonts w:cs="Arial"/>
                                      <w:sz w:val="20"/>
                                    </w:rPr>
                                  </w:pPr>
                                  <w:r>
                                    <w:rPr>
                                      <w:sz w:val="20"/>
                                    </w:rPr>
                                    <w:t>Rajatut havaintoarvot</w:t>
                                  </w:r>
                                </w:p>
                              </w:tc>
                              <w:tc>
                                <w:tcPr>
                                  <w:tcW w:w="851" w:type="dxa"/>
                                  <w:tcBorders>
                                    <w:top w:val="single" w:sz="4" w:space="0" w:color="auto"/>
                                  </w:tcBorders>
                                  <w:shd w:val="clear" w:color="auto" w:fill="auto"/>
                                </w:tcPr>
                                <w:p w14:paraId="586FD454" w14:textId="77777777" w:rsidR="00800EFA" w:rsidRPr="0055776F" w:rsidRDefault="00800EFA" w:rsidP="006F2202">
                                  <w:pPr>
                                    <w:rPr>
                                      <w:rFonts w:cs="Arial"/>
                                      <w:sz w:val="20"/>
                                    </w:rPr>
                                  </w:pPr>
                                </w:p>
                              </w:tc>
                              <w:tc>
                                <w:tcPr>
                                  <w:tcW w:w="709" w:type="dxa"/>
                                  <w:tcBorders>
                                    <w:top w:val="single" w:sz="4" w:space="0" w:color="auto"/>
                                  </w:tcBorders>
                                  <w:shd w:val="clear" w:color="auto" w:fill="auto"/>
                                </w:tcPr>
                                <w:p w14:paraId="586FD455" w14:textId="77777777" w:rsidR="00800EFA" w:rsidRPr="0055776F" w:rsidRDefault="00800EFA" w:rsidP="006F2202">
                                  <w:pPr>
                                    <w:rPr>
                                      <w:rFonts w:cs="Arial"/>
                                      <w:sz w:val="20"/>
                                    </w:rPr>
                                  </w:pPr>
                                </w:p>
                              </w:tc>
                              <w:tc>
                                <w:tcPr>
                                  <w:tcW w:w="850" w:type="dxa"/>
                                  <w:tcBorders>
                                    <w:top w:val="single" w:sz="4" w:space="0" w:color="auto"/>
                                  </w:tcBorders>
                                  <w:shd w:val="clear" w:color="auto" w:fill="auto"/>
                                </w:tcPr>
                                <w:p w14:paraId="586FD456" w14:textId="77777777" w:rsidR="00800EFA" w:rsidRPr="0055776F" w:rsidRDefault="00800EFA" w:rsidP="006F2202">
                                  <w:pPr>
                                    <w:rPr>
                                      <w:rFonts w:cs="Arial"/>
                                      <w:sz w:val="20"/>
                                    </w:rPr>
                                  </w:pPr>
                                </w:p>
                              </w:tc>
                            </w:tr>
                          </w:tbl>
                          <w:p w14:paraId="586FD458" w14:textId="77777777" w:rsidR="00800EFA" w:rsidRPr="00A33DBA" w:rsidRDefault="00800EFA" w:rsidP="00311DC5">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FD3C6" id="_x0000_s1037" type="#_x0000_t202" style="position:absolute;margin-left:27.6pt;margin-top:74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" filled="f" stroked="f">
                <v:textbox>
                  <w:txbxContent>
                    <w:p w14:paraId="586FD43B" w14:textId="77777777" w:rsidR="00800EFA" w:rsidRDefault="00800EFA" w:rsidP="00311DC5">
                      <w:pPr>
                        <w:rPr>
                          <w:rFonts w:cs="Arial"/>
                          <w:sz w:val="20"/>
                        </w:rPr>
                      </w:pPr>
                    </w:p>
                    <w:tbl>
                      <w:tblPr>
                        <w:tblW w:w="0" w:type="auto"/>
                        <w:tblLook w:val="04A0" w:firstRow="1" w:lastRow="0" w:firstColumn="1" w:lastColumn="0" w:noHBand="0" w:noVBand="1"/>
                      </w:tblPr>
                      <w:tblGrid>
                        <w:gridCol w:w="817"/>
                        <w:gridCol w:w="2464"/>
                        <w:gridCol w:w="851"/>
                        <w:gridCol w:w="1284"/>
                        <w:gridCol w:w="850"/>
                      </w:tblGrid>
                      <w:tr w:rsidR="00800EFA" w:rsidRPr="0055776F" w14:paraId="586FD43F" w14:textId="77777777" w:rsidTr="006F2202">
                        <w:tc>
                          <w:tcPr>
                            <w:tcW w:w="5691" w:type="dxa"/>
                            <w:gridSpan w:val="5"/>
                            <w:shd w:val="clear" w:color="auto" w:fill="auto"/>
                          </w:tcPr>
                          <w:p w14:paraId="586FD43C" w14:textId="77777777" w:rsidR="00800EFA" w:rsidRPr="0055776F" w:rsidRDefault="00800EFA" w:rsidP="006F2202">
                            <w:pPr>
                              <w:rPr>
                                <w:rFonts w:cs="Arial"/>
                                <w:sz w:val="20"/>
                              </w:rPr>
                            </w:pPr>
                            <w:r>
                              <w:rPr>
                                <w:rFonts w:cs="Arial"/>
                                <w:sz w:val="20"/>
                              </w:rPr>
                              <w:t>P = 0,0</w:t>
                            </w:r>
                            <w:r w:rsidRPr="0055776F">
                              <w:rPr>
                                <w:rFonts w:cs="Arial"/>
                                <w:sz w:val="20"/>
                              </w:rPr>
                              <w:t>19</w:t>
                            </w:r>
                          </w:p>
                          <w:p w14:paraId="586FD43D" w14:textId="77777777" w:rsidR="00800EFA" w:rsidRDefault="00800EFA" w:rsidP="009F5C42">
                            <w:pPr>
                              <w:rPr>
                                <w:rFonts w:cs="Arial"/>
                                <w:sz w:val="20"/>
                              </w:rPr>
                            </w:pPr>
                            <w:r>
                              <w:rPr>
                                <w:sz w:val="20"/>
                              </w:rPr>
                              <w:t>Riskisuhde 0,45</w:t>
                            </w:r>
                          </w:p>
                          <w:p w14:paraId="586FD43E" w14:textId="77777777" w:rsidR="00800EFA" w:rsidRPr="0055776F" w:rsidRDefault="00800EFA" w:rsidP="009F5C42">
                            <w:pPr>
                              <w:rPr>
                                <w:rFonts w:cs="Arial"/>
                                <w:sz w:val="20"/>
                                <w:lang w:val="de-DE"/>
                              </w:rPr>
                            </w:pPr>
                            <w:r>
                              <w:rPr>
                                <w:sz w:val="20"/>
                              </w:rPr>
                              <w:t>(95 % luottamusväli 0,22</w:t>
                            </w:r>
                            <w:r>
                              <w:rPr>
                                <w:sz w:val="20"/>
                              </w:rPr>
                              <w:noBreakHyphen/>
                              <w:t>0,89)</w:t>
                            </w:r>
                          </w:p>
                        </w:tc>
                      </w:tr>
                      <w:tr w:rsidR="00800EFA" w:rsidRPr="0055776F" w14:paraId="586FD445" w14:textId="77777777" w:rsidTr="006F2202">
                        <w:tc>
                          <w:tcPr>
                            <w:tcW w:w="817" w:type="dxa"/>
                            <w:shd w:val="clear" w:color="auto" w:fill="auto"/>
                          </w:tcPr>
                          <w:p w14:paraId="586FD440" w14:textId="77777777" w:rsidR="00800EFA" w:rsidRPr="0055776F" w:rsidRDefault="00800EFA" w:rsidP="006F2202">
                            <w:pPr>
                              <w:rPr>
                                <w:rFonts w:cs="Arial"/>
                                <w:sz w:val="20"/>
                              </w:rPr>
                            </w:pPr>
                          </w:p>
                        </w:tc>
                        <w:tc>
                          <w:tcPr>
                            <w:tcW w:w="2464" w:type="dxa"/>
                            <w:shd w:val="clear" w:color="auto" w:fill="auto"/>
                          </w:tcPr>
                          <w:p w14:paraId="586FD441" w14:textId="77777777" w:rsidR="00800EFA" w:rsidRPr="0055776F" w:rsidRDefault="00800EFA" w:rsidP="006F2202">
                            <w:pPr>
                              <w:rPr>
                                <w:rFonts w:cs="Arial"/>
                                <w:sz w:val="20"/>
                              </w:rPr>
                            </w:pPr>
                          </w:p>
                        </w:tc>
                        <w:tc>
                          <w:tcPr>
                            <w:tcW w:w="851" w:type="dxa"/>
                            <w:tcBorders>
                              <w:bottom w:val="single" w:sz="4" w:space="0" w:color="auto"/>
                            </w:tcBorders>
                            <w:shd w:val="clear" w:color="auto" w:fill="auto"/>
                          </w:tcPr>
                          <w:p w14:paraId="586FD442" w14:textId="77777777" w:rsidR="00800EFA" w:rsidRPr="0055776F" w:rsidRDefault="00800EFA" w:rsidP="006F2202">
                            <w:pPr>
                              <w:rPr>
                                <w:rFonts w:cs="Arial"/>
                                <w:sz w:val="20"/>
                              </w:rPr>
                            </w:pPr>
                            <w:r w:rsidRPr="009F5C42">
                              <w:rPr>
                                <w:rFonts w:cs="Arial"/>
                                <w:sz w:val="20"/>
                                <w:lang w:val="de-DE"/>
                              </w:rPr>
                              <w:t>N</w:t>
                            </w:r>
                          </w:p>
                        </w:tc>
                        <w:tc>
                          <w:tcPr>
                            <w:tcW w:w="709" w:type="dxa"/>
                            <w:tcBorders>
                              <w:bottom w:val="single" w:sz="4" w:space="0" w:color="auto"/>
                            </w:tcBorders>
                            <w:shd w:val="clear" w:color="auto" w:fill="auto"/>
                          </w:tcPr>
                          <w:p w14:paraId="586FD443" w14:textId="77777777" w:rsidR="00800EFA" w:rsidRPr="0055776F" w:rsidRDefault="00800EFA" w:rsidP="006F2202">
                            <w:pPr>
                              <w:rPr>
                                <w:rFonts w:cs="Arial"/>
                                <w:sz w:val="20"/>
                              </w:rPr>
                            </w:pPr>
                            <w:r w:rsidRPr="009F5C42">
                              <w:rPr>
                                <w:sz w:val="20"/>
                              </w:rPr>
                              <w:t>Tapahtumat</w:t>
                            </w:r>
                          </w:p>
                        </w:tc>
                        <w:tc>
                          <w:tcPr>
                            <w:tcW w:w="850" w:type="dxa"/>
                            <w:tcBorders>
                              <w:bottom w:val="single" w:sz="4" w:space="0" w:color="auto"/>
                            </w:tcBorders>
                            <w:shd w:val="clear" w:color="auto" w:fill="auto"/>
                          </w:tcPr>
                          <w:p w14:paraId="586FD444" w14:textId="77777777" w:rsidR="00800EFA" w:rsidRPr="0055776F" w:rsidRDefault="00800EFA" w:rsidP="006F2202">
                            <w:pPr>
                              <w:rPr>
                                <w:rFonts w:cs="Arial"/>
                                <w:sz w:val="20"/>
                              </w:rPr>
                            </w:pPr>
                            <w:r w:rsidRPr="009F5C42">
                              <w:rPr>
                                <w:sz w:val="20"/>
                              </w:rPr>
                              <w:t>Rajatut</w:t>
                            </w:r>
                          </w:p>
                        </w:tc>
                      </w:tr>
                      <w:tr w:rsidR="00800EFA" w:rsidRPr="0055776F" w14:paraId="586FD44B" w14:textId="77777777" w:rsidTr="006F2202">
                        <w:tc>
                          <w:tcPr>
                            <w:tcW w:w="817" w:type="dxa"/>
                            <w:shd w:val="clear" w:color="auto" w:fill="auto"/>
                          </w:tcPr>
                          <w:p w14:paraId="586FD446" w14:textId="77777777" w:rsidR="00800EFA" w:rsidRPr="0055776F" w:rsidRDefault="00800EFA" w:rsidP="006F2202">
                            <w:pPr>
                              <w:rPr>
                                <w:rFonts w:cs="Arial"/>
                                <w:sz w:val="20"/>
                              </w:rPr>
                            </w:pPr>
                            <w:r w:rsidRPr="0055776F">
                              <w:rPr>
                                <w:rFonts w:cs="Arial"/>
                                <w:b/>
                                <w:sz w:val="20"/>
                              </w:rPr>
                              <w:t>——</w:t>
                            </w:r>
                          </w:p>
                        </w:tc>
                        <w:tc>
                          <w:tcPr>
                            <w:tcW w:w="2464" w:type="dxa"/>
                            <w:shd w:val="clear" w:color="auto" w:fill="auto"/>
                          </w:tcPr>
                          <w:p w14:paraId="586FD447" w14:textId="77777777" w:rsidR="00800EFA" w:rsidRPr="0055776F" w:rsidRDefault="00800EFA" w:rsidP="006F2202">
                            <w:pPr>
                              <w:rPr>
                                <w:rFonts w:cs="Arial"/>
                                <w:sz w:val="20"/>
                              </w:rPr>
                            </w:pPr>
                            <w:r w:rsidRPr="0055776F">
                              <w:rPr>
                                <w:rFonts w:cs="Arial"/>
                                <w:sz w:val="20"/>
                              </w:rPr>
                              <w:t xml:space="preserve">(1) </w:t>
                            </w:r>
                            <w:r>
                              <w:rPr>
                                <w:sz w:val="20"/>
                              </w:rPr>
                              <w:t>Imatinibi, 12 kk</w:t>
                            </w:r>
                            <w:r w:rsidRPr="0055776F">
                              <w:rPr>
                                <w:rFonts w:cs="Arial"/>
                                <w:sz w:val="20"/>
                              </w:rPr>
                              <w:t>:</w:t>
                            </w:r>
                          </w:p>
                        </w:tc>
                        <w:tc>
                          <w:tcPr>
                            <w:tcW w:w="851" w:type="dxa"/>
                            <w:tcBorders>
                              <w:top w:val="single" w:sz="4" w:space="0" w:color="auto"/>
                            </w:tcBorders>
                            <w:shd w:val="clear" w:color="auto" w:fill="auto"/>
                          </w:tcPr>
                          <w:p w14:paraId="586FD448" w14:textId="77777777" w:rsidR="00800EFA" w:rsidRPr="0055776F" w:rsidRDefault="00800EFA" w:rsidP="006F2202">
                            <w:pPr>
                              <w:rPr>
                                <w:rFonts w:cs="Arial"/>
                                <w:sz w:val="20"/>
                              </w:rPr>
                            </w:pPr>
                            <w:r w:rsidRPr="0055776F">
                              <w:rPr>
                                <w:rFonts w:cs="Arial"/>
                                <w:sz w:val="20"/>
                              </w:rPr>
                              <w:t>199</w:t>
                            </w:r>
                          </w:p>
                        </w:tc>
                        <w:tc>
                          <w:tcPr>
                            <w:tcW w:w="709" w:type="dxa"/>
                            <w:tcBorders>
                              <w:top w:val="single" w:sz="4" w:space="0" w:color="auto"/>
                            </w:tcBorders>
                            <w:shd w:val="clear" w:color="auto" w:fill="auto"/>
                          </w:tcPr>
                          <w:p w14:paraId="586FD449" w14:textId="77777777" w:rsidR="00800EFA" w:rsidRPr="0055776F" w:rsidRDefault="00800EFA" w:rsidP="006F2202">
                            <w:pPr>
                              <w:rPr>
                                <w:rFonts w:cs="Arial"/>
                                <w:sz w:val="20"/>
                              </w:rPr>
                            </w:pPr>
                            <w:r w:rsidRPr="0055776F">
                              <w:rPr>
                                <w:rFonts w:cs="Arial"/>
                                <w:sz w:val="20"/>
                              </w:rPr>
                              <w:t>25</w:t>
                            </w:r>
                          </w:p>
                        </w:tc>
                        <w:tc>
                          <w:tcPr>
                            <w:tcW w:w="850" w:type="dxa"/>
                            <w:tcBorders>
                              <w:top w:val="single" w:sz="4" w:space="0" w:color="auto"/>
                            </w:tcBorders>
                            <w:shd w:val="clear" w:color="auto" w:fill="auto"/>
                          </w:tcPr>
                          <w:p w14:paraId="586FD44A" w14:textId="77777777" w:rsidR="00800EFA" w:rsidRPr="0055776F" w:rsidRDefault="00800EFA" w:rsidP="006F2202">
                            <w:pPr>
                              <w:rPr>
                                <w:rFonts w:cs="Arial"/>
                                <w:sz w:val="20"/>
                              </w:rPr>
                            </w:pPr>
                            <w:r w:rsidRPr="0055776F">
                              <w:rPr>
                                <w:rFonts w:cs="Arial"/>
                                <w:sz w:val="20"/>
                              </w:rPr>
                              <w:t>174</w:t>
                            </w:r>
                          </w:p>
                        </w:tc>
                      </w:tr>
                      <w:tr w:rsidR="00800EFA" w:rsidRPr="0055776F" w14:paraId="586FD451" w14:textId="77777777" w:rsidTr="006F2202">
                        <w:tc>
                          <w:tcPr>
                            <w:tcW w:w="817" w:type="dxa"/>
                            <w:shd w:val="clear" w:color="auto" w:fill="auto"/>
                          </w:tcPr>
                          <w:p w14:paraId="586FD44C" w14:textId="77777777" w:rsidR="00800EFA" w:rsidRPr="0055776F" w:rsidRDefault="00800EFA" w:rsidP="006F2202">
                            <w:pPr>
                              <w:rPr>
                                <w:rFonts w:cs="Arial"/>
                                <w:sz w:val="20"/>
                              </w:rPr>
                            </w:pPr>
                            <w:r w:rsidRPr="0055776F">
                              <w:rPr>
                                <w:rFonts w:cs="Arial"/>
                                <w:sz w:val="20"/>
                              </w:rPr>
                              <w:t>-----</w:t>
                            </w:r>
                          </w:p>
                        </w:tc>
                        <w:tc>
                          <w:tcPr>
                            <w:tcW w:w="2464" w:type="dxa"/>
                            <w:shd w:val="clear" w:color="auto" w:fill="auto"/>
                          </w:tcPr>
                          <w:p w14:paraId="586FD44D" w14:textId="77777777" w:rsidR="00800EFA" w:rsidRPr="0055776F" w:rsidRDefault="00800EFA" w:rsidP="006F2202">
                            <w:pPr>
                              <w:rPr>
                                <w:rFonts w:cs="Arial"/>
                                <w:sz w:val="20"/>
                              </w:rPr>
                            </w:pPr>
                            <w:r w:rsidRPr="0055776F">
                              <w:rPr>
                                <w:rFonts w:cs="Arial"/>
                                <w:sz w:val="20"/>
                              </w:rPr>
                              <w:t xml:space="preserve">(2) </w:t>
                            </w:r>
                            <w:r>
                              <w:rPr>
                                <w:sz w:val="20"/>
                              </w:rPr>
                              <w:t>Imatinibi, 36 kk</w:t>
                            </w:r>
                            <w:r w:rsidRPr="0055776F">
                              <w:rPr>
                                <w:rFonts w:cs="Arial"/>
                                <w:sz w:val="20"/>
                              </w:rPr>
                              <w:t>:</w:t>
                            </w:r>
                          </w:p>
                        </w:tc>
                        <w:tc>
                          <w:tcPr>
                            <w:tcW w:w="851" w:type="dxa"/>
                            <w:tcBorders>
                              <w:bottom w:val="single" w:sz="4" w:space="0" w:color="auto"/>
                            </w:tcBorders>
                            <w:shd w:val="clear" w:color="auto" w:fill="auto"/>
                          </w:tcPr>
                          <w:p w14:paraId="586FD44E" w14:textId="77777777" w:rsidR="00800EFA" w:rsidRPr="0055776F" w:rsidRDefault="00800EFA" w:rsidP="006F2202">
                            <w:pPr>
                              <w:rPr>
                                <w:rFonts w:cs="Arial"/>
                                <w:sz w:val="20"/>
                              </w:rPr>
                            </w:pPr>
                            <w:r w:rsidRPr="0055776F">
                              <w:rPr>
                                <w:rFonts w:cs="Arial"/>
                                <w:sz w:val="20"/>
                              </w:rPr>
                              <w:t>198</w:t>
                            </w:r>
                          </w:p>
                        </w:tc>
                        <w:tc>
                          <w:tcPr>
                            <w:tcW w:w="709" w:type="dxa"/>
                            <w:tcBorders>
                              <w:bottom w:val="single" w:sz="4" w:space="0" w:color="auto"/>
                            </w:tcBorders>
                            <w:shd w:val="clear" w:color="auto" w:fill="auto"/>
                          </w:tcPr>
                          <w:p w14:paraId="586FD44F" w14:textId="77777777" w:rsidR="00800EFA" w:rsidRPr="0055776F" w:rsidRDefault="00800EFA" w:rsidP="006F2202">
                            <w:pPr>
                              <w:rPr>
                                <w:rFonts w:cs="Arial"/>
                                <w:sz w:val="20"/>
                              </w:rPr>
                            </w:pPr>
                            <w:r w:rsidRPr="0055776F">
                              <w:rPr>
                                <w:rFonts w:cs="Arial"/>
                                <w:sz w:val="20"/>
                              </w:rPr>
                              <w:t>12</w:t>
                            </w:r>
                          </w:p>
                        </w:tc>
                        <w:tc>
                          <w:tcPr>
                            <w:tcW w:w="850" w:type="dxa"/>
                            <w:tcBorders>
                              <w:bottom w:val="single" w:sz="4" w:space="0" w:color="auto"/>
                            </w:tcBorders>
                            <w:shd w:val="clear" w:color="auto" w:fill="auto"/>
                          </w:tcPr>
                          <w:p w14:paraId="586FD450" w14:textId="77777777" w:rsidR="00800EFA" w:rsidRPr="0055776F" w:rsidRDefault="00800EFA" w:rsidP="006F2202">
                            <w:pPr>
                              <w:rPr>
                                <w:rFonts w:cs="Arial"/>
                                <w:sz w:val="20"/>
                              </w:rPr>
                            </w:pPr>
                            <w:r w:rsidRPr="0055776F">
                              <w:rPr>
                                <w:rFonts w:cs="Arial"/>
                                <w:sz w:val="20"/>
                              </w:rPr>
                              <w:t>186</w:t>
                            </w:r>
                          </w:p>
                        </w:tc>
                      </w:tr>
                      <w:tr w:rsidR="00800EFA" w:rsidRPr="0055776F" w14:paraId="586FD457" w14:textId="77777777" w:rsidTr="006F2202">
                        <w:tc>
                          <w:tcPr>
                            <w:tcW w:w="817" w:type="dxa"/>
                            <w:shd w:val="clear" w:color="auto" w:fill="auto"/>
                          </w:tcPr>
                          <w:p w14:paraId="586FD452" w14:textId="77777777" w:rsidR="00800EFA" w:rsidRPr="0055776F" w:rsidRDefault="00800EFA" w:rsidP="006F2202">
                            <w:pPr>
                              <w:rPr>
                                <w:rFonts w:cs="Arial"/>
                                <w:sz w:val="20"/>
                              </w:rPr>
                            </w:pPr>
                            <w:r w:rsidRPr="0055776F">
                              <w:rPr>
                                <w:rFonts w:cs="Arial"/>
                                <w:sz w:val="20"/>
                              </w:rPr>
                              <w:t>│││</w:t>
                            </w:r>
                          </w:p>
                        </w:tc>
                        <w:tc>
                          <w:tcPr>
                            <w:tcW w:w="2464" w:type="dxa"/>
                            <w:shd w:val="clear" w:color="auto" w:fill="auto"/>
                          </w:tcPr>
                          <w:p w14:paraId="586FD453" w14:textId="77777777" w:rsidR="00800EFA" w:rsidRPr="0055776F" w:rsidRDefault="00800EFA" w:rsidP="006F2202">
                            <w:pPr>
                              <w:rPr>
                                <w:rFonts w:cs="Arial"/>
                                <w:sz w:val="20"/>
                              </w:rPr>
                            </w:pPr>
                            <w:r>
                              <w:rPr>
                                <w:sz w:val="20"/>
                              </w:rPr>
                              <w:t>Rajatut havaintoarvot</w:t>
                            </w:r>
                          </w:p>
                        </w:tc>
                        <w:tc>
                          <w:tcPr>
                            <w:tcW w:w="851" w:type="dxa"/>
                            <w:tcBorders>
                              <w:top w:val="single" w:sz="4" w:space="0" w:color="auto"/>
                            </w:tcBorders>
                            <w:shd w:val="clear" w:color="auto" w:fill="auto"/>
                          </w:tcPr>
                          <w:p w14:paraId="586FD454" w14:textId="77777777" w:rsidR="00800EFA" w:rsidRPr="0055776F" w:rsidRDefault="00800EFA" w:rsidP="006F2202">
                            <w:pPr>
                              <w:rPr>
                                <w:rFonts w:cs="Arial"/>
                                <w:sz w:val="20"/>
                              </w:rPr>
                            </w:pPr>
                          </w:p>
                        </w:tc>
                        <w:tc>
                          <w:tcPr>
                            <w:tcW w:w="709" w:type="dxa"/>
                            <w:tcBorders>
                              <w:top w:val="single" w:sz="4" w:space="0" w:color="auto"/>
                            </w:tcBorders>
                            <w:shd w:val="clear" w:color="auto" w:fill="auto"/>
                          </w:tcPr>
                          <w:p w14:paraId="586FD455" w14:textId="77777777" w:rsidR="00800EFA" w:rsidRPr="0055776F" w:rsidRDefault="00800EFA" w:rsidP="006F2202">
                            <w:pPr>
                              <w:rPr>
                                <w:rFonts w:cs="Arial"/>
                                <w:sz w:val="20"/>
                              </w:rPr>
                            </w:pPr>
                          </w:p>
                        </w:tc>
                        <w:tc>
                          <w:tcPr>
                            <w:tcW w:w="850" w:type="dxa"/>
                            <w:tcBorders>
                              <w:top w:val="single" w:sz="4" w:space="0" w:color="auto"/>
                            </w:tcBorders>
                            <w:shd w:val="clear" w:color="auto" w:fill="auto"/>
                          </w:tcPr>
                          <w:p w14:paraId="586FD456" w14:textId="77777777" w:rsidR="00800EFA" w:rsidRPr="0055776F" w:rsidRDefault="00800EFA" w:rsidP="006F2202">
                            <w:pPr>
                              <w:rPr>
                                <w:rFonts w:cs="Arial"/>
                                <w:sz w:val="20"/>
                              </w:rPr>
                            </w:pPr>
                          </w:p>
                        </w:tc>
                      </w:tr>
                    </w:tbl>
                    <w:p w14:paraId="586FD458" w14:textId="77777777" w:rsidR="00800EFA" w:rsidRPr="00A33DBA" w:rsidRDefault="00800EFA" w:rsidP="00311DC5">
                      <w:pPr>
                        <w:rPr>
                          <w:rFonts w:cs="Arial"/>
                          <w:sz w:val="20"/>
                        </w:rPr>
                      </w:pPr>
                    </w:p>
                  </w:txbxContent>
                </v:textbox>
              </v:shape>
            </w:pict>
          </mc:Fallback>
        </mc:AlternateContent>
      </w:r>
      <w:r w:rsidRPr="00D82973">
        <w:rPr>
          <w:noProof/>
          <w:lang w:val="en-US"/>
        </w:rPr>
        <w:drawing>
          <wp:inline distT="0" distB="0" distL="0" distR="0" wp14:anchorId="586FD3C8" wp14:editId="586FD3C9">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586FC9EC" w14:textId="77777777" w:rsidR="00311DC5" w:rsidRDefault="00311DC5" w:rsidP="00311DC5">
      <w:pPr>
        <w:pStyle w:val="EndnoteText"/>
        <w:widowControl w:val="0"/>
        <w:tabs>
          <w:tab w:val="clear" w:pos="567"/>
        </w:tabs>
        <w:rPr>
          <w:color w:val="000000"/>
          <w:szCs w:val="22"/>
          <w:lang w:val="fi-FI"/>
        </w:rPr>
      </w:pPr>
    </w:p>
    <w:p w14:paraId="586FC9ED" w14:textId="77777777" w:rsidR="00311DC5" w:rsidRPr="009F2B12" w:rsidRDefault="00311DC5" w:rsidP="00311DC5">
      <w:pPr>
        <w:rPr>
          <w:rFonts w:ascii="Times New Roman" w:hAnsi="Times New Roman"/>
          <w:noProof/>
          <w:sz w:val="22"/>
          <w:szCs w:val="22"/>
        </w:rPr>
      </w:pPr>
    </w:p>
    <w:tbl>
      <w:tblPr>
        <w:tblW w:w="10632" w:type="dxa"/>
        <w:tblInd w:w="-318" w:type="dxa"/>
        <w:tblLook w:val="04A0" w:firstRow="1" w:lastRow="0" w:firstColumn="1" w:lastColumn="0" w:noHBand="0" w:noVBand="1"/>
      </w:tblPr>
      <w:tblGrid>
        <w:gridCol w:w="461"/>
        <w:gridCol w:w="672"/>
        <w:gridCol w:w="672"/>
        <w:gridCol w:w="672"/>
        <w:gridCol w:w="672"/>
        <w:gridCol w:w="672"/>
        <w:gridCol w:w="783"/>
        <w:gridCol w:w="783"/>
        <w:gridCol w:w="783"/>
        <w:gridCol w:w="672"/>
        <w:gridCol w:w="672"/>
        <w:gridCol w:w="672"/>
        <w:gridCol w:w="672"/>
        <w:gridCol w:w="672"/>
        <w:gridCol w:w="561"/>
        <w:gridCol w:w="561"/>
      </w:tblGrid>
      <w:tr w:rsidR="00311DC5" w:rsidRPr="0055776F" w14:paraId="586FC9EF" w14:textId="77777777" w:rsidTr="008238ED">
        <w:tc>
          <w:tcPr>
            <w:tcW w:w="10632" w:type="dxa"/>
            <w:gridSpan w:val="16"/>
            <w:shd w:val="clear" w:color="auto" w:fill="auto"/>
          </w:tcPr>
          <w:p w14:paraId="586FC9EE" w14:textId="77777777" w:rsidR="00311DC5" w:rsidRPr="0055776F" w:rsidRDefault="00311DC5" w:rsidP="008238ED">
            <w:pPr>
              <w:ind w:left="-27"/>
              <w:rPr>
                <w:rFonts w:cs="Arial"/>
                <w:sz w:val="16"/>
                <w:szCs w:val="16"/>
              </w:rPr>
            </w:pPr>
            <w:r>
              <w:rPr>
                <w:sz w:val="20"/>
              </w:rPr>
              <w:t>Potilaita : Tapahtumia</w:t>
            </w:r>
          </w:p>
        </w:tc>
      </w:tr>
      <w:tr w:rsidR="00311DC5" w:rsidRPr="0055776F" w14:paraId="586FCA00" w14:textId="77777777" w:rsidTr="008238ED">
        <w:tc>
          <w:tcPr>
            <w:tcW w:w="450" w:type="dxa"/>
            <w:shd w:val="clear" w:color="auto" w:fill="auto"/>
          </w:tcPr>
          <w:p w14:paraId="586FC9F0" w14:textId="77777777" w:rsidR="00311DC5" w:rsidRPr="0055776F" w:rsidRDefault="00311DC5" w:rsidP="008238ED">
            <w:pPr>
              <w:rPr>
                <w:sz w:val="20"/>
              </w:rPr>
            </w:pPr>
            <w:r w:rsidRPr="0055776F">
              <w:rPr>
                <w:sz w:val="20"/>
              </w:rPr>
              <w:t>(1)</w:t>
            </w:r>
          </w:p>
        </w:tc>
        <w:tc>
          <w:tcPr>
            <w:tcW w:w="691" w:type="dxa"/>
            <w:shd w:val="clear" w:color="auto" w:fill="auto"/>
          </w:tcPr>
          <w:p w14:paraId="586FC9F1" w14:textId="77777777" w:rsidR="00311DC5" w:rsidRPr="0055776F" w:rsidRDefault="00311DC5" w:rsidP="008238ED">
            <w:pPr>
              <w:ind w:left="-45"/>
              <w:rPr>
                <w:sz w:val="20"/>
              </w:rPr>
            </w:pPr>
            <w:r w:rsidRPr="0055776F">
              <w:rPr>
                <w:sz w:val="20"/>
              </w:rPr>
              <w:t>199:0</w:t>
            </w:r>
          </w:p>
        </w:tc>
        <w:tc>
          <w:tcPr>
            <w:tcW w:w="672" w:type="dxa"/>
            <w:shd w:val="clear" w:color="auto" w:fill="auto"/>
          </w:tcPr>
          <w:p w14:paraId="586FC9F2" w14:textId="77777777" w:rsidR="00311DC5" w:rsidRPr="0055776F" w:rsidRDefault="00311DC5" w:rsidP="008238ED">
            <w:pPr>
              <w:ind w:left="-45"/>
              <w:rPr>
                <w:sz w:val="20"/>
              </w:rPr>
            </w:pPr>
            <w:r w:rsidRPr="0055776F">
              <w:rPr>
                <w:sz w:val="20"/>
              </w:rPr>
              <w:t>190:2</w:t>
            </w:r>
          </w:p>
        </w:tc>
        <w:tc>
          <w:tcPr>
            <w:tcW w:w="714" w:type="dxa"/>
            <w:shd w:val="clear" w:color="auto" w:fill="auto"/>
          </w:tcPr>
          <w:p w14:paraId="586FC9F3" w14:textId="77777777" w:rsidR="00311DC5" w:rsidRPr="0055776F" w:rsidRDefault="00311DC5" w:rsidP="008238ED">
            <w:pPr>
              <w:ind w:left="-45"/>
              <w:rPr>
                <w:sz w:val="20"/>
              </w:rPr>
            </w:pPr>
            <w:r w:rsidRPr="0055776F">
              <w:rPr>
                <w:sz w:val="20"/>
              </w:rPr>
              <w:t>188:2</w:t>
            </w:r>
          </w:p>
        </w:tc>
        <w:tc>
          <w:tcPr>
            <w:tcW w:w="722" w:type="dxa"/>
            <w:shd w:val="clear" w:color="auto" w:fill="auto"/>
          </w:tcPr>
          <w:p w14:paraId="586FC9F4" w14:textId="77777777" w:rsidR="00311DC5" w:rsidRPr="0055776F" w:rsidRDefault="00311DC5" w:rsidP="008238ED">
            <w:pPr>
              <w:ind w:left="-45"/>
              <w:rPr>
                <w:sz w:val="20"/>
              </w:rPr>
            </w:pPr>
            <w:r w:rsidRPr="0055776F">
              <w:rPr>
                <w:sz w:val="20"/>
              </w:rPr>
              <w:t>183:6</w:t>
            </w:r>
          </w:p>
        </w:tc>
        <w:tc>
          <w:tcPr>
            <w:tcW w:w="694" w:type="dxa"/>
            <w:shd w:val="clear" w:color="auto" w:fill="auto"/>
          </w:tcPr>
          <w:p w14:paraId="586FC9F5" w14:textId="77777777" w:rsidR="00311DC5" w:rsidRPr="0055776F" w:rsidRDefault="00311DC5" w:rsidP="008238ED">
            <w:pPr>
              <w:ind w:left="-45"/>
              <w:rPr>
                <w:sz w:val="20"/>
              </w:rPr>
            </w:pPr>
            <w:r w:rsidRPr="0055776F">
              <w:rPr>
                <w:sz w:val="20"/>
              </w:rPr>
              <w:t>176:8</w:t>
            </w:r>
          </w:p>
        </w:tc>
        <w:tc>
          <w:tcPr>
            <w:tcW w:w="772" w:type="dxa"/>
            <w:shd w:val="clear" w:color="auto" w:fill="auto"/>
          </w:tcPr>
          <w:p w14:paraId="586FC9F6" w14:textId="77777777" w:rsidR="00311DC5" w:rsidRPr="0055776F" w:rsidRDefault="00311DC5" w:rsidP="008238ED">
            <w:pPr>
              <w:ind w:left="-45"/>
              <w:rPr>
                <w:sz w:val="20"/>
              </w:rPr>
            </w:pPr>
            <w:r w:rsidRPr="0055776F">
              <w:rPr>
                <w:sz w:val="20"/>
              </w:rPr>
              <w:t>156:10</w:t>
            </w:r>
          </w:p>
        </w:tc>
        <w:tc>
          <w:tcPr>
            <w:tcW w:w="782" w:type="dxa"/>
            <w:shd w:val="clear" w:color="auto" w:fill="auto"/>
          </w:tcPr>
          <w:p w14:paraId="586FC9F7" w14:textId="77777777" w:rsidR="00311DC5" w:rsidRPr="0055776F" w:rsidRDefault="00311DC5" w:rsidP="008238ED">
            <w:pPr>
              <w:ind w:left="-45"/>
              <w:rPr>
                <w:sz w:val="20"/>
              </w:rPr>
            </w:pPr>
            <w:r w:rsidRPr="0055776F">
              <w:rPr>
                <w:sz w:val="20"/>
              </w:rPr>
              <w:t>140:11</w:t>
            </w:r>
          </w:p>
        </w:tc>
        <w:tc>
          <w:tcPr>
            <w:tcW w:w="798" w:type="dxa"/>
            <w:shd w:val="clear" w:color="auto" w:fill="auto"/>
          </w:tcPr>
          <w:p w14:paraId="586FC9F8" w14:textId="77777777" w:rsidR="00311DC5" w:rsidRPr="0055776F" w:rsidRDefault="00311DC5" w:rsidP="008238ED">
            <w:pPr>
              <w:ind w:left="-45"/>
              <w:rPr>
                <w:sz w:val="20"/>
              </w:rPr>
            </w:pPr>
            <w:r w:rsidRPr="0055776F">
              <w:rPr>
                <w:sz w:val="20"/>
              </w:rPr>
              <w:t>105:14</w:t>
            </w:r>
          </w:p>
        </w:tc>
        <w:tc>
          <w:tcPr>
            <w:tcW w:w="654" w:type="dxa"/>
            <w:shd w:val="clear" w:color="auto" w:fill="auto"/>
          </w:tcPr>
          <w:p w14:paraId="586FC9F9" w14:textId="77777777" w:rsidR="00311DC5" w:rsidRPr="0055776F" w:rsidRDefault="00311DC5" w:rsidP="008238ED">
            <w:pPr>
              <w:ind w:left="-45"/>
              <w:rPr>
                <w:sz w:val="20"/>
              </w:rPr>
            </w:pPr>
            <w:r w:rsidRPr="0055776F">
              <w:rPr>
                <w:sz w:val="20"/>
              </w:rPr>
              <w:t>87:18</w:t>
            </w:r>
          </w:p>
        </w:tc>
        <w:tc>
          <w:tcPr>
            <w:tcW w:w="630" w:type="dxa"/>
            <w:shd w:val="clear" w:color="auto" w:fill="auto"/>
          </w:tcPr>
          <w:p w14:paraId="586FC9FA" w14:textId="77777777" w:rsidR="00311DC5" w:rsidRPr="0055776F" w:rsidRDefault="00311DC5" w:rsidP="008238ED">
            <w:pPr>
              <w:ind w:left="-45"/>
              <w:rPr>
                <w:sz w:val="20"/>
              </w:rPr>
            </w:pPr>
            <w:r w:rsidRPr="0055776F">
              <w:rPr>
                <w:sz w:val="20"/>
              </w:rPr>
              <w:t>64:22</w:t>
            </w:r>
          </w:p>
        </w:tc>
        <w:tc>
          <w:tcPr>
            <w:tcW w:w="644" w:type="dxa"/>
            <w:shd w:val="clear" w:color="auto" w:fill="auto"/>
          </w:tcPr>
          <w:p w14:paraId="586FC9FB" w14:textId="77777777" w:rsidR="00311DC5" w:rsidRPr="0055776F" w:rsidRDefault="00311DC5" w:rsidP="008238ED">
            <w:pPr>
              <w:ind w:left="-45"/>
              <w:rPr>
                <w:sz w:val="20"/>
              </w:rPr>
            </w:pPr>
            <w:r w:rsidRPr="0055776F">
              <w:rPr>
                <w:sz w:val="20"/>
              </w:rPr>
              <w:t>46:23</w:t>
            </w:r>
          </w:p>
        </w:tc>
        <w:tc>
          <w:tcPr>
            <w:tcW w:w="672" w:type="dxa"/>
            <w:shd w:val="clear" w:color="auto" w:fill="auto"/>
          </w:tcPr>
          <w:p w14:paraId="586FC9FC" w14:textId="77777777" w:rsidR="00311DC5" w:rsidRPr="0055776F" w:rsidRDefault="00311DC5" w:rsidP="008238ED">
            <w:pPr>
              <w:ind w:left="-45"/>
              <w:rPr>
                <w:sz w:val="20"/>
              </w:rPr>
            </w:pPr>
            <w:r w:rsidRPr="0055776F">
              <w:rPr>
                <w:sz w:val="20"/>
              </w:rPr>
              <w:t>27:25</w:t>
            </w:r>
          </w:p>
        </w:tc>
        <w:tc>
          <w:tcPr>
            <w:tcW w:w="686" w:type="dxa"/>
            <w:shd w:val="clear" w:color="auto" w:fill="auto"/>
          </w:tcPr>
          <w:p w14:paraId="586FC9FD" w14:textId="77777777" w:rsidR="00311DC5" w:rsidRPr="0055776F" w:rsidRDefault="00311DC5" w:rsidP="008238ED">
            <w:pPr>
              <w:ind w:left="-45"/>
              <w:rPr>
                <w:sz w:val="20"/>
              </w:rPr>
            </w:pPr>
            <w:r w:rsidRPr="0055776F">
              <w:rPr>
                <w:sz w:val="20"/>
              </w:rPr>
              <w:t>20:25</w:t>
            </w:r>
          </w:p>
        </w:tc>
        <w:tc>
          <w:tcPr>
            <w:tcW w:w="560" w:type="dxa"/>
            <w:shd w:val="clear" w:color="auto" w:fill="auto"/>
          </w:tcPr>
          <w:p w14:paraId="586FC9FE" w14:textId="77777777" w:rsidR="00311DC5" w:rsidRPr="0055776F" w:rsidRDefault="00311DC5" w:rsidP="008238ED">
            <w:pPr>
              <w:ind w:left="-45"/>
              <w:rPr>
                <w:sz w:val="20"/>
              </w:rPr>
            </w:pPr>
            <w:r w:rsidRPr="0055776F">
              <w:rPr>
                <w:sz w:val="20"/>
              </w:rPr>
              <w:t>2:25</w:t>
            </w:r>
          </w:p>
        </w:tc>
        <w:tc>
          <w:tcPr>
            <w:tcW w:w="491" w:type="dxa"/>
            <w:shd w:val="clear" w:color="auto" w:fill="auto"/>
          </w:tcPr>
          <w:p w14:paraId="586FC9FF" w14:textId="77777777" w:rsidR="00311DC5" w:rsidRPr="0055776F" w:rsidRDefault="00311DC5" w:rsidP="008238ED">
            <w:pPr>
              <w:ind w:left="-45"/>
              <w:rPr>
                <w:sz w:val="20"/>
              </w:rPr>
            </w:pPr>
            <w:r w:rsidRPr="0055776F">
              <w:rPr>
                <w:sz w:val="20"/>
              </w:rPr>
              <w:t>0:25</w:t>
            </w:r>
          </w:p>
        </w:tc>
      </w:tr>
      <w:tr w:rsidR="00311DC5" w:rsidRPr="0055776F" w14:paraId="586FCA11" w14:textId="77777777" w:rsidTr="008238ED">
        <w:tc>
          <w:tcPr>
            <w:tcW w:w="450" w:type="dxa"/>
            <w:shd w:val="clear" w:color="auto" w:fill="auto"/>
          </w:tcPr>
          <w:p w14:paraId="586FCA01" w14:textId="77777777" w:rsidR="00311DC5" w:rsidRPr="0055776F" w:rsidRDefault="00311DC5" w:rsidP="008238ED">
            <w:pPr>
              <w:rPr>
                <w:sz w:val="20"/>
              </w:rPr>
            </w:pPr>
            <w:r w:rsidRPr="0055776F">
              <w:rPr>
                <w:sz w:val="20"/>
              </w:rPr>
              <w:t>(2)</w:t>
            </w:r>
          </w:p>
        </w:tc>
        <w:tc>
          <w:tcPr>
            <w:tcW w:w="691" w:type="dxa"/>
            <w:shd w:val="clear" w:color="auto" w:fill="auto"/>
          </w:tcPr>
          <w:p w14:paraId="586FCA02" w14:textId="77777777" w:rsidR="00311DC5" w:rsidRPr="0055776F" w:rsidRDefault="00311DC5" w:rsidP="008238ED">
            <w:pPr>
              <w:ind w:left="-45"/>
              <w:rPr>
                <w:sz w:val="20"/>
              </w:rPr>
            </w:pPr>
            <w:r w:rsidRPr="0055776F">
              <w:rPr>
                <w:sz w:val="20"/>
              </w:rPr>
              <w:t>198:0</w:t>
            </w:r>
          </w:p>
        </w:tc>
        <w:tc>
          <w:tcPr>
            <w:tcW w:w="672" w:type="dxa"/>
            <w:shd w:val="clear" w:color="auto" w:fill="auto"/>
          </w:tcPr>
          <w:p w14:paraId="586FCA03" w14:textId="77777777" w:rsidR="00311DC5" w:rsidRPr="0055776F" w:rsidRDefault="00311DC5" w:rsidP="008238ED">
            <w:pPr>
              <w:ind w:left="-45"/>
              <w:rPr>
                <w:sz w:val="20"/>
              </w:rPr>
            </w:pPr>
            <w:r w:rsidRPr="0055776F">
              <w:rPr>
                <w:sz w:val="20"/>
              </w:rPr>
              <w:t>196:0</w:t>
            </w:r>
          </w:p>
        </w:tc>
        <w:tc>
          <w:tcPr>
            <w:tcW w:w="714" w:type="dxa"/>
            <w:shd w:val="clear" w:color="auto" w:fill="auto"/>
          </w:tcPr>
          <w:p w14:paraId="586FCA04" w14:textId="77777777" w:rsidR="00311DC5" w:rsidRPr="0055776F" w:rsidRDefault="00311DC5" w:rsidP="008238ED">
            <w:pPr>
              <w:ind w:left="-45"/>
              <w:rPr>
                <w:sz w:val="20"/>
              </w:rPr>
            </w:pPr>
            <w:r w:rsidRPr="0055776F">
              <w:rPr>
                <w:sz w:val="20"/>
              </w:rPr>
              <w:t>192:0</w:t>
            </w:r>
          </w:p>
        </w:tc>
        <w:tc>
          <w:tcPr>
            <w:tcW w:w="722" w:type="dxa"/>
            <w:shd w:val="clear" w:color="auto" w:fill="auto"/>
          </w:tcPr>
          <w:p w14:paraId="586FCA05" w14:textId="77777777" w:rsidR="00311DC5" w:rsidRPr="0055776F" w:rsidRDefault="00311DC5" w:rsidP="008238ED">
            <w:pPr>
              <w:ind w:left="-45"/>
              <w:rPr>
                <w:sz w:val="20"/>
              </w:rPr>
            </w:pPr>
            <w:r w:rsidRPr="0055776F">
              <w:rPr>
                <w:sz w:val="20"/>
              </w:rPr>
              <w:t>187:4</w:t>
            </w:r>
          </w:p>
        </w:tc>
        <w:tc>
          <w:tcPr>
            <w:tcW w:w="694" w:type="dxa"/>
            <w:shd w:val="clear" w:color="auto" w:fill="auto"/>
          </w:tcPr>
          <w:p w14:paraId="586FCA06" w14:textId="77777777" w:rsidR="00311DC5" w:rsidRPr="0055776F" w:rsidRDefault="00311DC5" w:rsidP="008238ED">
            <w:pPr>
              <w:ind w:left="-45"/>
              <w:rPr>
                <w:sz w:val="20"/>
              </w:rPr>
            </w:pPr>
            <w:r w:rsidRPr="0055776F">
              <w:rPr>
                <w:sz w:val="20"/>
              </w:rPr>
              <w:t>184:5</w:t>
            </w:r>
          </w:p>
        </w:tc>
        <w:tc>
          <w:tcPr>
            <w:tcW w:w="772" w:type="dxa"/>
            <w:shd w:val="clear" w:color="auto" w:fill="auto"/>
          </w:tcPr>
          <w:p w14:paraId="586FCA07" w14:textId="77777777" w:rsidR="00311DC5" w:rsidRPr="0055776F" w:rsidRDefault="00311DC5" w:rsidP="008238ED">
            <w:pPr>
              <w:ind w:left="-45"/>
              <w:rPr>
                <w:sz w:val="20"/>
              </w:rPr>
            </w:pPr>
            <w:r w:rsidRPr="0055776F">
              <w:rPr>
                <w:sz w:val="20"/>
              </w:rPr>
              <w:t>164:7</w:t>
            </w:r>
          </w:p>
        </w:tc>
        <w:tc>
          <w:tcPr>
            <w:tcW w:w="782" w:type="dxa"/>
            <w:shd w:val="clear" w:color="auto" w:fill="auto"/>
          </w:tcPr>
          <w:p w14:paraId="586FCA08" w14:textId="77777777" w:rsidR="00311DC5" w:rsidRPr="0055776F" w:rsidRDefault="00311DC5" w:rsidP="008238ED">
            <w:pPr>
              <w:ind w:left="-45"/>
              <w:rPr>
                <w:sz w:val="20"/>
              </w:rPr>
            </w:pPr>
            <w:r w:rsidRPr="0055776F">
              <w:rPr>
                <w:sz w:val="20"/>
              </w:rPr>
              <w:t>152:7</w:t>
            </w:r>
          </w:p>
        </w:tc>
        <w:tc>
          <w:tcPr>
            <w:tcW w:w="798" w:type="dxa"/>
            <w:shd w:val="clear" w:color="auto" w:fill="auto"/>
          </w:tcPr>
          <w:p w14:paraId="586FCA09" w14:textId="77777777" w:rsidR="00311DC5" w:rsidRPr="0055776F" w:rsidRDefault="00311DC5" w:rsidP="008238ED">
            <w:pPr>
              <w:ind w:left="-45"/>
              <w:rPr>
                <w:sz w:val="20"/>
              </w:rPr>
            </w:pPr>
            <w:r w:rsidRPr="0055776F">
              <w:rPr>
                <w:sz w:val="20"/>
              </w:rPr>
              <w:t>119:8</w:t>
            </w:r>
          </w:p>
        </w:tc>
        <w:tc>
          <w:tcPr>
            <w:tcW w:w="654" w:type="dxa"/>
            <w:shd w:val="clear" w:color="auto" w:fill="auto"/>
          </w:tcPr>
          <w:p w14:paraId="586FCA0A" w14:textId="77777777" w:rsidR="00311DC5" w:rsidRPr="0055776F" w:rsidRDefault="00311DC5" w:rsidP="008238ED">
            <w:pPr>
              <w:ind w:left="-45"/>
              <w:rPr>
                <w:sz w:val="20"/>
              </w:rPr>
            </w:pPr>
            <w:r w:rsidRPr="0055776F">
              <w:rPr>
                <w:sz w:val="20"/>
              </w:rPr>
              <w:t>100:8</w:t>
            </w:r>
          </w:p>
        </w:tc>
        <w:tc>
          <w:tcPr>
            <w:tcW w:w="630" w:type="dxa"/>
            <w:shd w:val="clear" w:color="auto" w:fill="auto"/>
          </w:tcPr>
          <w:p w14:paraId="586FCA0B" w14:textId="77777777" w:rsidR="00311DC5" w:rsidRPr="0055776F" w:rsidRDefault="00311DC5" w:rsidP="008238ED">
            <w:pPr>
              <w:ind w:left="-45"/>
              <w:rPr>
                <w:sz w:val="20"/>
              </w:rPr>
            </w:pPr>
            <w:r w:rsidRPr="0055776F">
              <w:rPr>
                <w:sz w:val="20"/>
              </w:rPr>
              <w:t>76:10</w:t>
            </w:r>
          </w:p>
        </w:tc>
        <w:tc>
          <w:tcPr>
            <w:tcW w:w="644" w:type="dxa"/>
            <w:shd w:val="clear" w:color="auto" w:fill="auto"/>
          </w:tcPr>
          <w:p w14:paraId="586FCA0C" w14:textId="77777777" w:rsidR="00311DC5" w:rsidRPr="0055776F" w:rsidRDefault="00311DC5" w:rsidP="008238ED">
            <w:pPr>
              <w:ind w:left="-45"/>
              <w:rPr>
                <w:sz w:val="20"/>
              </w:rPr>
            </w:pPr>
            <w:r w:rsidRPr="0055776F">
              <w:rPr>
                <w:sz w:val="20"/>
              </w:rPr>
              <w:t>56:11</w:t>
            </w:r>
          </w:p>
        </w:tc>
        <w:tc>
          <w:tcPr>
            <w:tcW w:w="672" w:type="dxa"/>
            <w:shd w:val="clear" w:color="auto" w:fill="auto"/>
          </w:tcPr>
          <w:p w14:paraId="586FCA0D" w14:textId="77777777" w:rsidR="00311DC5" w:rsidRPr="0055776F" w:rsidRDefault="00311DC5" w:rsidP="008238ED">
            <w:pPr>
              <w:ind w:left="-45"/>
              <w:rPr>
                <w:sz w:val="20"/>
              </w:rPr>
            </w:pPr>
            <w:r w:rsidRPr="0055776F">
              <w:rPr>
                <w:sz w:val="20"/>
              </w:rPr>
              <w:t>31:11</w:t>
            </w:r>
          </w:p>
        </w:tc>
        <w:tc>
          <w:tcPr>
            <w:tcW w:w="686" w:type="dxa"/>
            <w:shd w:val="clear" w:color="auto" w:fill="auto"/>
          </w:tcPr>
          <w:p w14:paraId="586FCA0E" w14:textId="77777777" w:rsidR="00311DC5" w:rsidRPr="0055776F" w:rsidRDefault="00311DC5" w:rsidP="008238ED">
            <w:pPr>
              <w:ind w:left="-45"/>
              <w:rPr>
                <w:sz w:val="20"/>
              </w:rPr>
            </w:pPr>
            <w:r w:rsidRPr="0055776F">
              <w:rPr>
                <w:sz w:val="20"/>
              </w:rPr>
              <w:t>13:12</w:t>
            </w:r>
          </w:p>
        </w:tc>
        <w:tc>
          <w:tcPr>
            <w:tcW w:w="560" w:type="dxa"/>
            <w:shd w:val="clear" w:color="auto" w:fill="auto"/>
          </w:tcPr>
          <w:p w14:paraId="586FCA0F" w14:textId="77777777" w:rsidR="00311DC5" w:rsidRPr="0055776F" w:rsidRDefault="00311DC5" w:rsidP="008238ED">
            <w:pPr>
              <w:ind w:left="-45"/>
              <w:rPr>
                <w:sz w:val="20"/>
              </w:rPr>
            </w:pPr>
            <w:r>
              <w:rPr>
                <w:sz w:val="20"/>
              </w:rPr>
              <w:t>0</w:t>
            </w:r>
            <w:r w:rsidRPr="0055776F">
              <w:rPr>
                <w:sz w:val="20"/>
              </w:rPr>
              <w:t>:12</w:t>
            </w:r>
          </w:p>
        </w:tc>
        <w:tc>
          <w:tcPr>
            <w:tcW w:w="491" w:type="dxa"/>
            <w:shd w:val="clear" w:color="auto" w:fill="auto"/>
          </w:tcPr>
          <w:p w14:paraId="586FCA10" w14:textId="77777777" w:rsidR="00311DC5" w:rsidRPr="0055776F" w:rsidRDefault="00311DC5" w:rsidP="008238ED">
            <w:pPr>
              <w:ind w:left="-45"/>
              <w:rPr>
                <w:sz w:val="20"/>
              </w:rPr>
            </w:pPr>
          </w:p>
        </w:tc>
      </w:tr>
    </w:tbl>
    <w:p w14:paraId="586FCA12" w14:textId="77777777" w:rsidR="00311DC5" w:rsidRDefault="00311DC5" w:rsidP="00311DC5">
      <w:pPr>
        <w:pStyle w:val="EndnoteText"/>
        <w:widowControl w:val="0"/>
        <w:tabs>
          <w:tab w:val="clear" w:pos="567"/>
        </w:tabs>
        <w:rPr>
          <w:color w:val="000000"/>
          <w:szCs w:val="22"/>
          <w:lang w:val="fi-FI"/>
        </w:rPr>
      </w:pPr>
    </w:p>
    <w:p w14:paraId="586FCA13" w14:textId="77777777" w:rsidR="00311DC5" w:rsidRDefault="00311DC5" w:rsidP="00311DC5">
      <w:pPr>
        <w:pStyle w:val="EndnoteText"/>
        <w:widowControl w:val="0"/>
        <w:tabs>
          <w:tab w:val="clear" w:pos="567"/>
        </w:tabs>
        <w:rPr>
          <w:color w:val="000000"/>
          <w:szCs w:val="22"/>
          <w:lang w:val="fi-FI"/>
        </w:rPr>
      </w:pPr>
      <w:r>
        <w:rPr>
          <w:color w:val="000000"/>
          <w:szCs w:val="22"/>
          <w:lang w:val="fi-FI"/>
        </w:rPr>
        <w:t xml:space="preserve">C-Kit-positiivista </w:t>
      </w:r>
      <w:r w:rsidRPr="00D931A4">
        <w:rPr>
          <w:szCs w:val="22"/>
          <w:lang w:val="fi-FI"/>
        </w:rPr>
        <w:t xml:space="preserve">ruuansulatuskanavan stroomakasvainta </w:t>
      </w:r>
      <w:r>
        <w:rPr>
          <w:color w:val="000000"/>
          <w:szCs w:val="22"/>
          <w:lang w:val="fi-FI"/>
        </w:rPr>
        <w:t>sairastavilla pediatrisilla potilailla</w:t>
      </w:r>
      <w:r w:rsidRPr="005E4D97">
        <w:rPr>
          <w:color w:val="000000"/>
          <w:szCs w:val="22"/>
          <w:lang w:val="fi-FI"/>
        </w:rPr>
        <w:t xml:space="preserve"> </w:t>
      </w:r>
      <w:r>
        <w:rPr>
          <w:color w:val="000000"/>
          <w:szCs w:val="22"/>
          <w:lang w:val="fi-FI"/>
        </w:rPr>
        <w:t>ei ole tehty kontrolloituja tutkimuksia. Seitsemässä eri julkaisussa on raportoitu 17 GIST:iä (Kit- ja PDGFR-mutaatioiden kera tai ilman) sairastavaa potilaasta. Nämä potilaat olivat 8</w:t>
      </w:r>
      <w:r>
        <w:rPr>
          <w:color w:val="000000"/>
          <w:szCs w:val="22"/>
          <w:lang w:val="fi-FI"/>
        </w:rPr>
        <w:noBreakHyphen/>
        <w:t>18-vuotiaita ja imatinibia annettiin sekä liitännäishoitona että metastasoituneen taudin hoidossa. Annokset vaihtelivat välillä 300</w:t>
      </w:r>
      <w:r>
        <w:rPr>
          <w:color w:val="000000"/>
          <w:szCs w:val="22"/>
          <w:lang w:val="fi-FI"/>
        </w:rPr>
        <w:noBreakHyphen/>
        <w:t>800 mg/vrk. Suurimmassa osassa tapauksista pediatrisilta GIST-potilailta puuttuivat tiedot c-Kit- tai PDGFR-mutaatiostatuksesta, mikä saattoi olla vaihtelevien kliinisten hoitotulosten syynä.</w:t>
      </w:r>
    </w:p>
    <w:p w14:paraId="586FCA14" w14:textId="77777777" w:rsidR="00311DC5" w:rsidRPr="00912A5D" w:rsidRDefault="00311DC5" w:rsidP="00311DC5">
      <w:pPr>
        <w:pStyle w:val="EndnoteText"/>
        <w:widowControl w:val="0"/>
        <w:tabs>
          <w:tab w:val="clear" w:pos="567"/>
        </w:tabs>
        <w:rPr>
          <w:color w:val="000000"/>
          <w:szCs w:val="22"/>
          <w:lang w:val="fi-FI"/>
        </w:rPr>
      </w:pPr>
    </w:p>
    <w:p w14:paraId="586FCA15" w14:textId="77777777" w:rsidR="00311DC5" w:rsidRPr="00912A5D" w:rsidRDefault="00311DC5" w:rsidP="00331A48">
      <w:pPr>
        <w:pStyle w:val="EndnoteText"/>
        <w:keepNext/>
        <w:widowControl w:val="0"/>
        <w:tabs>
          <w:tab w:val="clear" w:pos="567"/>
        </w:tabs>
        <w:rPr>
          <w:color w:val="000000"/>
          <w:szCs w:val="22"/>
          <w:u w:val="single"/>
          <w:lang w:val="fi-FI"/>
        </w:rPr>
      </w:pPr>
      <w:r w:rsidRPr="00912A5D">
        <w:rPr>
          <w:color w:val="000000"/>
          <w:szCs w:val="22"/>
          <w:u w:val="single"/>
          <w:lang w:val="fi-FI"/>
        </w:rPr>
        <w:lastRenderedPageBreak/>
        <w:t>Kliiniset tutkimukset dermatofibrosarcoma protuberansin (DFSP) hoidossa</w:t>
      </w:r>
    </w:p>
    <w:p w14:paraId="586FCA16" w14:textId="77777777" w:rsidR="00311DC5" w:rsidRDefault="00311DC5" w:rsidP="00311DC5">
      <w:pPr>
        <w:pStyle w:val="EndnoteText"/>
        <w:widowControl w:val="0"/>
        <w:tabs>
          <w:tab w:val="clear" w:pos="567"/>
        </w:tabs>
        <w:rPr>
          <w:color w:val="000000"/>
          <w:szCs w:val="22"/>
          <w:lang w:val="fi-FI" w:eastAsia="ja-JP"/>
        </w:rPr>
      </w:pPr>
      <w:r w:rsidRPr="00912A5D">
        <w:rPr>
          <w:color w:val="000000"/>
          <w:szCs w:val="22"/>
          <w:lang w:val="fi-FI"/>
        </w:rPr>
        <w:t>Vaiheen II avoimeen kliiniseen monikeskustutkimukseen (tutkimus B2225) osallistui 12 potilasta, joilla oli dermatofibrosarcoma protuberans (DFSP) ja jotka saivat Glivec-valmistetta annoksella 800 mg/vrk. DFSP-potilaiden ikä oli 23</w:t>
      </w:r>
      <w:r w:rsidRPr="00912A5D">
        <w:rPr>
          <w:color w:val="000000"/>
          <w:szCs w:val="22"/>
          <w:lang w:val="fi-FI"/>
        </w:rPr>
        <w:noBreakHyphen/>
        <w:t xml:space="preserve">75 vuotta; sairaus oli metastaattinen ja uusiutunut paikallisesti alkuvaiheen resektioleikkauksen jälkeen, eikä soveltunut uuteen resektioleikkaukseen tutkimukseenottoajankohtana. Hoidon vaikutusta arvioitiin ensisijaisesti objektiivisten vasteprosenttien perusteella. Yhdeksällä tutkimukseen otetuista 12 potilaasta saavutettiin vaste (1 täydellinen ja 8 osittaista vastetta). Kolme osittaisen vasteen saavuttanutta potilasta parantui myöhemmin kokonaan leikkauksella. B2225-tutkimuksessa hoidon keston mediaani oli 6,2 kk ja pisin hoitoaika 24,3 kk. Viidessä julkaistussa tapauskertomuksessaselostuksessa on kuvattu kuusi muuta Glivec-hoitoa saanutta DFSP-potilaasta, joiden ikävaihtelu oli 18 kuukaudesta 49 vuoteen. Kirjallisuudessa mainitut aikuispotilaat saivat joko 400 mg (4 potilasta) tai 800 mg (1 potilas) Glivec-valmistetta päivässä. Viidellä </w:t>
      </w:r>
      <w:r>
        <w:rPr>
          <w:color w:val="000000"/>
          <w:szCs w:val="22"/>
          <w:lang w:val="fi-FI"/>
        </w:rPr>
        <w:t xml:space="preserve">(5) </w:t>
      </w:r>
      <w:r w:rsidRPr="00912A5D">
        <w:rPr>
          <w:color w:val="000000"/>
          <w:szCs w:val="22"/>
          <w:lang w:val="fi-FI"/>
        </w:rPr>
        <w:t xml:space="preserve">potilaalla saavutettiin vaste (3 täydellistä ja 2 osittaista vastetta). Julkaistussa kirjallisuudessa hoidon keston mediaani vaihteli 4 viikosta yli 20 kuukauteen. Lähes kaikilla potilailla, joilla saavutettiin vaste Glivec-hoitoon, oli translokaatio </w:t>
      </w:r>
      <w:r w:rsidRPr="00912A5D">
        <w:rPr>
          <w:color w:val="000000"/>
          <w:szCs w:val="22"/>
          <w:lang w:val="fi-FI" w:eastAsia="ja-JP"/>
        </w:rPr>
        <w:t>t(17:22)[(q22:q13)] tai sen geenituotetta.</w:t>
      </w:r>
    </w:p>
    <w:p w14:paraId="586FCA17" w14:textId="77777777" w:rsidR="00311DC5" w:rsidRDefault="00311DC5" w:rsidP="00311DC5">
      <w:pPr>
        <w:pStyle w:val="EndnoteText"/>
        <w:widowControl w:val="0"/>
        <w:tabs>
          <w:tab w:val="clear" w:pos="567"/>
        </w:tabs>
        <w:rPr>
          <w:color w:val="000000"/>
          <w:szCs w:val="22"/>
          <w:lang w:val="fi-FI" w:eastAsia="ja-JP"/>
        </w:rPr>
      </w:pPr>
    </w:p>
    <w:p w14:paraId="586FCA18" w14:textId="77777777" w:rsidR="00311DC5" w:rsidRPr="00E91375" w:rsidRDefault="00311DC5" w:rsidP="00311DC5">
      <w:pPr>
        <w:pStyle w:val="EndnoteText"/>
        <w:widowControl w:val="0"/>
        <w:tabs>
          <w:tab w:val="clear" w:pos="567"/>
        </w:tabs>
        <w:rPr>
          <w:color w:val="000000"/>
          <w:szCs w:val="22"/>
          <w:lang w:val="fi-FI" w:eastAsia="ja-JP"/>
        </w:rPr>
      </w:pPr>
      <w:r>
        <w:rPr>
          <w:color w:val="000000"/>
          <w:szCs w:val="22"/>
          <w:lang w:val="fi-FI"/>
        </w:rPr>
        <w:t>D</w:t>
      </w:r>
      <w:r w:rsidRPr="00E91375">
        <w:rPr>
          <w:color w:val="000000"/>
          <w:szCs w:val="22"/>
          <w:lang w:val="fi-FI"/>
        </w:rPr>
        <w:t>ermatofibrosarcoma protuberansia sairastavilla pediatrisilla potilailla</w:t>
      </w:r>
      <w:r w:rsidRPr="0052155D">
        <w:rPr>
          <w:color w:val="000000"/>
          <w:szCs w:val="22"/>
          <w:lang w:val="fi-FI"/>
        </w:rPr>
        <w:t xml:space="preserve"> </w:t>
      </w:r>
      <w:r>
        <w:rPr>
          <w:color w:val="000000"/>
          <w:szCs w:val="22"/>
          <w:lang w:val="fi-FI"/>
        </w:rPr>
        <w:t>ei ole tehty k</w:t>
      </w:r>
      <w:r w:rsidRPr="00E91375">
        <w:rPr>
          <w:color w:val="000000"/>
          <w:szCs w:val="22"/>
          <w:lang w:val="fi-FI"/>
        </w:rPr>
        <w:t>ontrolloituja tutkimuksia. Kolmessa julkaisussa on raportoitu vii</w:t>
      </w:r>
      <w:r>
        <w:rPr>
          <w:color w:val="000000"/>
          <w:szCs w:val="22"/>
          <w:lang w:val="fi-FI"/>
        </w:rPr>
        <w:t>si</w:t>
      </w:r>
      <w:r w:rsidRPr="00E91375">
        <w:rPr>
          <w:color w:val="000000"/>
          <w:szCs w:val="22"/>
          <w:lang w:val="fi-FI"/>
        </w:rPr>
        <w:t xml:space="preserve"> potilasta, jo</w:t>
      </w:r>
      <w:r>
        <w:rPr>
          <w:color w:val="000000"/>
          <w:szCs w:val="22"/>
          <w:lang w:val="fi-FI"/>
        </w:rPr>
        <w:t xml:space="preserve">illa oli </w:t>
      </w:r>
      <w:r w:rsidRPr="00E91375">
        <w:rPr>
          <w:color w:val="000000"/>
          <w:szCs w:val="22"/>
          <w:lang w:val="fi-FI"/>
        </w:rPr>
        <w:t>DFSP ja siihen liittyvä</w:t>
      </w:r>
      <w:r>
        <w:rPr>
          <w:color w:val="000000"/>
          <w:szCs w:val="22"/>
          <w:lang w:val="fi-FI"/>
        </w:rPr>
        <w:t xml:space="preserve"> </w:t>
      </w:r>
      <w:r w:rsidRPr="00E91375">
        <w:rPr>
          <w:color w:val="000000"/>
          <w:szCs w:val="22"/>
          <w:lang w:val="fi-FI"/>
        </w:rPr>
        <w:t>PDGFR</w:t>
      </w:r>
      <w:r>
        <w:rPr>
          <w:color w:val="000000"/>
          <w:szCs w:val="22"/>
          <w:lang w:val="fi-FI"/>
        </w:rPr>
        <w:t>-geenin</w:t>
      </w:r>
      <w:r w:rsidRPr="00E91375">
        <w:rPr>
          <w:color w:val="000000"/>
          <w:szCs w:val="22"/>
          <w:lang w:val="fi-FI"/>
        </w:rPr>
        <w:t xml:space="preserve"> uudelleenjärjestäytymi</w:t>
      </w:r>
      <w:r>
        <w:rPr>
          <w:color w:val="000000"/>
          <w:szCs w:val="22"/>
          <w:lang w:val="fi-FI"/>
        </w:rPr>
        <w:t>nen</w:t>
      </w:r>
      <w:r w:rsidRPr="00E91375">
        <w:rPr>
          <w:color w:val="000000"/>
          <w:szCs w:val="22"/>
          <w:lang w:val="fi-FI"/>
        </w:rPr>
        <w:t>. Näiden potilaiden iät vaihtelivat vastasyntyneestä neljä</w:t>
      </w:r>
      <w:r>
        <w:rPr>
          <w:color w:val="000000"/>
          <w:szCs w:val="22"/>
          <w:lang w:val="fi-FI"/>
        </w:rPr>
        <w:t>ä</w:t>
      </w:r>
      <w:r w:rsidRPr="00E91375">
        <w:rPr>
          <w:color w:val="000000"/>
          <w:szCs w:val="22"/>
          <w:lang w:val="fi-FI"/>
        </w:rPr>
        <w:t>ntoista vuo</w:t>
      </w:r>
      <w:r>
        <w:rPr>
          <w:color w:val="000000"/>
          <w:szCs w:val="22"/>
          <w:lang w:val="fi-FI"/>
        </w:rPr>
        <w:t>teen</w:t>
      </w:r>
      <w:r w:rsidRPr="00E91375">
        <w:rPr>
          <w:color w:val="000000"/>
          <w:szCs w:val="22"/>
          <w:lang w:val="fi-FI"/>
        </w:rPr>
        <w:t xml:space="preserve">. Imatinibia annettiin </w:t>
      </w:r>
      <w:r>
        <w:rPr>
          <w:color w:val="000000"/>
          <w:szCs w:val="22"/>
          <w:lang w:val="fi-FI"/>
        </w:rPr>
        <w:t xml:space="preserve">annoksin </w:t>
      </w:r>
      <w:r w:rsidRPr="00E91375">
        <w:rPr>
          <w:color w:val="000000"/>
          <w:szCs w:val="22"/>
          <w:lang w:val="fi-FI"/>
        </w:rPr>
        <w:t xml:space="preserve">50 mg/vrk </w:t>
      </w:r>
      <w:r>
        <w:rPr>
          <w:color w:val="000000"/>
          <w:szCs w:val="22"/>
          <w:lang w:val="fi-FI"/>
        </w:rPr>
        <w:t xml:space="preserve">tai </w:t>
      </w:r>
      <w:r w:rsidRPr="00E91375">
        <w:rPr>
          <w:color w:val="000000"/>
          <w:szCs w:val="22"/>
          <w:lang w:val="fi-FI"/>
        </w:rPr>
        <w:t>400</w:t>
      </w:r>
      <w:r>
        <w:rPr>
          <w:color w:val="000000"/>
          <w:szCs w:val="22"/>
          <w:lang w:val="fi-FI"/>
        </w:rPr>
        <w:noBreakHyphen/>
      </w:r>
      <w:r w:rsidRPr="00E91375">
        <w:rPr>
          <w:color w:val="000000"/>
          <w:szCs w:val="22"/>
          <w:lang w:val="fi-FI"/>
        </w:rPr>
        <w:t>520 mg/m</w:t>
      </w:r>
      <w:r w:rsidRPr="00E91375">
        <w:rPr>
          <w:color w:val="000000"/>
          <w:szCs w:val="22"/>
          <w:vertAlign w:val="superscript"/>
          <w:lang w:val="fi-FI"/>
        </w:rPr>
        <w:t>2</w:t>
      </w:r>
      <w:r w:rsidRPr="00E91375">
        <w:rPr>
          <w:color w:val="000000"/>
          <w:szCs w:val="22"/>
          <w:lang w:val="fi-FI"/>
        </w:rPr>
        <w:t>/vrk. Kaikki potilaat saavuttivat osittaisen ja/tai täydellisen vasteen.</w:t>
      </w:r>
    </w:p>
    <w:p w14:paraId="586FCA19" w14:textId="77777777" w:rsidR="00311DC5" w:rsidRPr="00912A5D" w:rsidRDefault="00311DC5" w:rsidP="00311DC5">
      <w:pPr>
        <w:pStyle w:val="EndnoteText"/>
        <w:widowControl w:val="0"/>
        <w:tabs>
          <w:tab w:val="clear" w:pos="567"/>
        </w:tabs>
        <w:rPr>
          <w:color w:val="000000"/>
          <w:szCs w:val="22"/>
          <w:lang w:val="fi-FI"/>
        </w:rPr>
      </w:pPr>
    </w:p>
    <w:p w14:paraId="586FCA1A" w14:textId="77777777" w:rsidR="004506D0" w:rsidRPr="00912A5D" w:rsidRDefault="004506D0" w:rsidP="00CE1795">
      <w:pPr>
        <w:keepNext/>
        <w:widowControl w:val="0"/>
        <w:ind w:left="567" w:hanging="567"/>
        <w:rPr>
          <w:rFonts w:ascii="Times New Roman" w:hAnsi="Times New Roman"/>
          <w:b/>
          <w:sz w:val="22"/>
          <w:szCs w:val="22"/>
        </w:rPr>
      </w:pPr>
      <w:r w:rsidRPr="00912A5D">
        <w:rPr>
          <w:rFonts w:ascii="Times New Roman" w:hAnsi="Times New Roman"/>
          <w:b/>
          <w:sz w:val="22"/>
          <w:szCs w:val="22"/>
        </w:rPr>
        <w:t>5.2</w:t>
      </w:r>
      <w:r w:rsidRPr="00912A5D">
        <w:rPr>
          <w:rFonts w:ascii="Times New Roman" w:hAnsi="Times New Roman"/>
          <w:b/>
          <w:sz w:val="22"/>
          <w:szCs w:val="22"/>
        </w:rPr>
        <w:tab/>
        <w:t>Farmakokinetiikka</w:t>
      </w:r>
    </w:p>
    <w:p w14:paraId="586FCA1B" w14:textId="77777777" w:rsidR="004506D0" w:rsidRPr="00912A5D" w:rsidRDefault="004506D0" w:rsidP="00CE1795">
      <w:pPr>
        <w:pStyle w:val="EndnoteText"/>
        <w:keepNext/>
        <w:widowControl w:val="0"/>
        <w:tabs>
          <w:tab w:val="clear" w:pos="567"/>
        </w:tabs>
        <w:rPr>
          <w:color w:val="000000"/>
          <w:szCs w:val="22"/>
          <w:lang w:val="fi-FI"/>
        </w:rPr>
      </w:pPr>
    </w:p>
    <w:p w14:paraId="586FCA1C" w14:textId="77777777" w:rsidR="004506D0" w:rsidRPr="00912A5D" w:rsidRDefault="004506D0" w:rsidP="00CE1795">
      <w:pPr>
        <w:pStyle w:val="EndnoteText"/>
        <w:keepNext/>
        <w:widowControl w:val="0"/>
        <w:tabs>
          <w:tab w:val="clear" w:pos="567"/>
        </w:tabs>
        <w:rPr>
          <w:color w:val="000000"/>
          <w:szCs w:val="22"/>
          <w:u w:val="single"/>
          <w:lang w:val="fi-FI"/>
        </w:rPr>
      </w:pPr>
      <w:r w:rsidRPr="00912A5D">
        <w:rPr>
          <w:color w:val="000000"/>
          <w:szCs w:val="22"/>
          <w:u w:val="single"/>
          <w:lang w:val="fi-FI"/>
        </w:rPr>
        <w:t>Glivecin farmakokinetiikka</w:t>
      </w:r>
    </w:p>
    <w:p w14:paraId="586FCA1D" w14:textId="77777777" w:rsidR="004506D0" w:rsidRPr="00912A5D" w:rsidRDefault="004506D0" w:rsidP="004506D0">
      <w:pPr>
        <w:pStyle w:val="EndnoteText"/>
        <w:widowControl w:val="0"/>
        <w:tabs>
          <w:tab w:val="clear" w:pos="567"/>
        </w:tabs>
        <w:rPr>
          <w:color w:val="000000"/>
          <w:szCs w:val="22"/>
          <w:lang w:val="fi-FI"/>
        </w:rPr>
      </w:pPr>
      <w:r w:rsidRPr="00912A5D">
        <w:rPr>
          <w:color w:val="000000"/>
          <w:szCs w:val="22"/>
          <w:lang w:val="fi-FI"/>
        </w:rPr>
        <w:t>Glivecin farmakokinetiikkaa on arvioitu 25–1 000 mg:n annoksilla. Plasman farmakokineettiset profiilit analysoitiin ensimmäisenä päivänä sekä päivänä 7 tai 28, johon mennessä plasman pitoisuudet olivat saavuttaneet vakaan tilan.</w:t>
      </w:r>
    </w:p>
    <w:p w14:paraId="586FCA1E" w14:textId="77777777" w:rsidR="004506D0" w:rsidRPr="00912A5D" w:rsidRDefault="004506D0" w:rsidP="004506D0">
      <w:pPr>
        <w:pStyle w:val="EndnoteText"/>
        <w:widowControl w:val="0"/>
        <w:tabs>
          <w:tab w:val="clear" w:pos="567"/>
        </w:tabs>
        <w:rPr>
          <w:color w:val="000000"/>
          <w:szCs w:val="22"/>
          <w:lang w:val="fi-FI"/>
        </w:rPr>
      </w:pPr>
    </w:p>
    <w:p w14:paraId="586FCA1F" w14:textId="77777777" w:rsidR="00AE3698" w:rsidRPr="00912A5D" w:rsidRDefault="00AE3698" w:rsidP="00CE1795">
      <w:pPr>
        <w:pStyle w:val="EndnoteText"/>
        <w:keepNext/>
        <w:widowControl w:val="0"/>
        <w:tabs>
          <w:tab w:val="clear" w:pos="567"/>
        </w:tabs>
        <w:rPr>
          <w:color w:val="000000"/>
          <w:szCs w:val="22"/>
          <w:lang w:val="fi-FI"/>
        </w:rPr>
      </w:pPr>
      <w:r w:rsidRPr="00912A5D">
        <w:rPr>
          <w:color w:val="000000"/>
          <w:szCs w:val="22"/>
          <w:u w:val="single"/>
          <w:lang w:val="fi-FI"/>
        </w:rPr>
        <w:t>Imeytyminen</w:t>
      </w:r>
    </w:p>
    <w:p w14:paraId="586FCA20"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Imatinibin keskimääräinen absoluuttinen biologinen hyötyosuus on 98 %. Imatinibin plasman AUC-arvot vaihtelevat paljon potilaiden välillä, kun lääkettä otetaan suun kautta. Kun imatinibi otetaan rasvaisen aterian kera, imeytyminen heikkeni vain vähän (C</w:t>
      </w:r>
      <w:r w:rsidRPr="00912A5D">
        <w:rPr>
          <w:color w:val="000000"/>
          <w:szCs w:val="22"/>
          <w:vertAlign w:val="subscript"/>
          <w:lang w:val="fi-FI"/>
        </w:rPr>
        <w:t>max</w:t>
      </w:r>
      <w:r w:rsidRPr="00912A5D">
        <w:rPr>
          <w:color w:val="000000"/>
          <w:szCs w:val="22"/>
          <w:lang w:val="fi-FI"/>
        </w:rPr>
        <w:t xml:space="preserve"> väheni 11 % ja t</w:t>
      </w:r>
      <w:r w:rsidRPr="00912A5D">
        <w:rPr>
          <w:color w:val="000000"/>
          <w:szCs w:val="22"/>
          <w:vertAlign w:val="subscript"/>
          <w:lang w:val="fi-FI"/>
        </w:rPr>
        <w:t>max</w:t>
      </w:r>
      <w:r w:rsidRPr="00912A5D">
        <w:rPr>
          <w:color w:val="000000"/>
          <w:szCs w:val="22"/>
          <w:lang w:val="fi-FI"/>
        </w:rPr>
        <w:t xml:space="preserve"> piteni 1,5 h) ja AUC väheni hieman (7,4 %), verrattuna paasto-olosuhteisiin. Aikaisemman ruuansulatuskanavan leikkauksen vaikutusta lääkkeen imeytymiseen ei ole tutkittu.</w:t>
      </w:r>
    </w:p>
    <w:p w14:paraId="586FCA21" w14:textId="77777777" w:rsidR="00AE3698" w:rsidRPr="00912A5D" w:rsidRDefault="00AE3698">
      <w:pPr>
        <w:pStyle w:val="EndnoteText"/>
        <w:widowControl w:val="0"/>
        <w:tabs>
          <w:tab w:val="clear" w:pos="567"/>
        </w:tabs>
        <w:rPr>
          <w:color w:val="000000"/>
          <w:szCs w:val="22"/>
          <w:lang w:val="fi-FI"/>
        </w:rPr>
      </w:pPr>
    </w:p>
    <w:p w14:paraId="586FCA22" w14:textId="77777777" w:rsidR="00AE3698" w:rsidRPr="00912A5D" w:rsidRDefault="00AE3698" w:rsidP="00CE1795">
      <w:pPr>
        <w:pStyle w:val="EndnoteText"/>
        <w:keepNext/>
        <w:widowControl w:val="0"/>
        <w:tabs>
          <w:tab w:val="clear" w:pos="567"/>
        </w:tabs>
        <w:rPr>
          <w:color w:val="000000"/>
          <w:szCs w:val="22"/>
          <w:lang w:val="fi-FI"/>
        </w:rPr>
      </w:pPr>
      <w:r w:rsidRPr="00912A5D">
        <w:rPr>
          <w:color w:val="000000"/>
          <w:szCs w:val="22"/>
          <w:u w:val="single"/>
          <w:lang w:val="fi-FI"/>
        </w:rPr>
        <w:t>Jakautuminen</w:t>
      </w:r>
    </w:p>
    <w:p w14:paraId="586FCA23"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Kliinisesti merkittävällä konsentraatiolla imatinibi sitoutui plasman proteiineihin 95 %:sesti </w:t>
      </w:r>
      <w:r w:rsidRPr="00912A5D">
        <w:rPr>
          <w:i/>
          <w:color w:val="000000"/>
          <w:szCs w:val="22"/>
          <w:lang w:val="fi-FI"/>
        </w:rPr>
        <w:t>in vitro</w:t>
      </w:r>
      <w:r w:rsidRPr="00912A5D">
        <w:rPr>
          <w:color w:val="000000"/>
          <w:szCs w:val="22"/>
          <w:lang w:val="fi-FI"/>
        </w:rPr>
        <w:t xml:space="preserve"> -tutkimuksen perusteella, lähinnä albumiiniin ja alfa-happo-glykoproteiiniin ja vähäisessä määrin lipoproteiiniin.</w:t>
      </w:r>
    </w:p>
    <w:p w14:paraId="586FCA24" w14:textId="77777777" w:rsidR="00AE3698" w:rsidRPr="00912A5D" w:rsidRDefault="00AE3698">
      <w:pPr>
        <w:pStyle w:val="EndnoteText"/>
        <w:widowControl w:val="0"/>
        <w:tabs>
          <w:tab w:val="clear" w:pos="567"/>
        </w:tabs>
        <w:rPr>
          <w:color w:val="000000"/>
          <w:szCs w:val="22"/>
          <w:lang w:val="fi-FI"/>
        </w:rPr>
      </w:pPr>
    </w:p>
    <w:p w14:paraId="586FCA25" w14:textId="77777777" w:rsidR="00AE3698" w:rsidRPr="00912A5D" w:rsidRDefault="00B77D32" w:rsidP="00CE1795">
      <w:pPr>
        <w:pStyle w:val="EndnoteText"/>
        <w:keepNext/>
        <w:widowControl w:val="0"/>
        <w:tabs>
          <w:tab w:val="clear" w:pos="567"/>
        </w:tabs>
        <w:rPr>
          <w:color w:val="000000"/>
          <w:szCs w:val="22"/>
          <w:lang w:val="fi-FI"/>
        </w:rPr>
      </w:pPr>
      <w:r>
        <w:rPr>
          <w:color w:val="000000"/>
          <w:szCs w:val="22"/>
          <w:u w:val="single"/>
          <w:lang w:val="fi-FI"/>
        </w:rPr>
        <w:t>Biotransformaatio</w:t>
      </w:r>
    </w:p>
    <w:p w14:paraId="586FCA26"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Tärkein ihmisen veressä todettavista metaboliiteista on N-demetyloitunut piperatsiinijohdos, jolla on samanlainen </w:t>
      </w:r>
      <w:r w:rsidRPr="00912A5D">
        <w:rPr>
          <w:i/>
          <w:color w:val="000000"/>
          <w:szCs w:val="22"/>
          <w:lang w:val="fi-FI"/>
        </w:rPr>
        <w:t>in vitro</w:t>
      </w:r>
      <w:r w:rsidRPr="00912A5D">
        <w:rPr>
          <w:color w:val="000000"/>
          <w:szCs w:val="22"/>
          <w:lang w:val="fi-FI"/>
        </w:rPr>
        <w:t xml:space="preserve"> teho kuin vaikuttavalla aineella. Tämän metaboliitin plasma-AUC-arvo on vain 16 % imatinibin AUC-arvosta. N-demetyloituneen metaboliitin sitoutuminen plasman proteiineihin on samansuuruista kuin vaikuttavan aineen.</w:t>
      </w:r>
    </w:p>
    <w:p w14:paraId="586FCA27" w14:textId="77777777" w:rsidR="00AE3698" w:rsidRPr="00912A5D" w:rsidRDefault="00AE3698">
      <w:pPr>
        <w:pStyle w:val="EndnoteText"/>
        <w:widowControl w:val="0"/>
        <w:tabs>
          <w:tab w:val="clear" w:pos="567"/>
        </w:tabs>
        <w:rPr>
          <w:color w:val="000000"/>
          <w:szCs w:val="22"/>
          <w:lang w:val="fi-FI"/>
        </w:rPr>
      </w:pPr>
    </w:p>
    <w:p w14:paraId="586FCA28"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Imatinibi ja N-demetyloitunut metaboliitti vastasivat yhdessä noin 65 %:sta verenkierrossa havaitusta radioaktiivisuudesta (AUC</w:t>
      </w:r>
      <w:r w:rsidRPr="00912A5D">
        <w:rPr>
          <w:color w:val="000000"/>
          <w:szCs w:val="22"/>
          <w:vertAlign w:val="subscript"/>
          <w:lang w:val="fi-FI"/>
        </w:rPr>
        <w:t>(0-48h)</w:t>
      </w:r>
      <w:r w:rsidRPr="00912A5D">
        <w:rPr>
          <w:color w:val="000000"/>
          <w:szCs w:val="22"/>
          <w:lang w:val="fi-FI"/>
        </w:rPr>
        <w:t>). Loppuosa verenkierrossa havaitusta radioaktiivisuudesta koostui useista vähäisistä metaboliiteista.</w:t>
      </w:r>
    </w:p>
    <w:p w14:paraId="586FCA29" w14:textId="77777777" w:rsidR="00AE3698" w:rsidRPr="00912A5D" w:rsidRDefault="00AE3698">
      <w:pPr>
        <w:pStyle w:val="EndnoteText"/>
        <w:widowControl w:val="0"/>
        <w:tabs>
          <w:tab w:val="clear" w:pos="567"/>
        </w:tabs>
        <w:rPr>
          <w:color w:val="000000"/>
          <w:szCs w:val="22"/>
          <w:lang w:val="fi-FI"/>
        </w:rPr>
      </w:pPr>
    </w:p>
    <w:p w14:paraId="586FCA2A" w14:textId="77777777" w:rsidR="00AE3698" w:rsidRPr="00912A5D" w:rsidRDefault="00AE3698">
      <w:pPr>
        <w:pStyle w:val="EndnoteText"/>
        <w:widowControl w:val="0"/>
        <w:tabs>
          <w:tab w:val="clear" w:pos="567"/>
        </w:tabs>
        <w:rPr>
          <w:color w:val="000000"/>
          <w:szCs w:val="22"/>
          <w:lang w:val="fi-FI"/>
        </w:rPr>
      </w:pPr>
      <w:r w:rsidRPr="00912A5D">
        <w:rPr>
          <w:i/>
          <w:color w:val="000000"/>
          <w:szCs w:val="22"/>
          <w:lang w:val="fi-FI"/>
        </w:rPr>
        <w:t>In vitro</w:t>
      </w:r>
      <w:r w:rsidRPr="00912A5D">
        <w:rPr>
          <w:color w:val="000000"/>
          <w:szCs w:val="22"/>
          <w:lang w:val="fi-FI"/>
        </w:rPr>
        <w:t xml:space="preserve"> –tutkimukset osoittivat, että CYP3A4 oli merkittävin ihmisen P450-entsyymi, joka katalysoi imatinibin biotransformaatiota. Joukosta mahdollisia yhtä</w:t>
      </w:r>
      <w:r w:rsidR="004506D0">
        <w:rPr>
          <w:color w:val="000000"/>
          <w:szCs w:val="22"/>
          <w:lang w:val="fi-FI"/>
        </w:rPr>
        <w:t xml:space="preserve"> </w:t>
      </w:r>
      <w:r w:rsidRPr="00912A5D">
        <w:rPr>
          <w:color w:val="000000"/>
          <w:szCs w:val="22"/>
          <w:lang w:val="fi-FI"/>
        </w:rPr>
        <w:t>aikaa annettavia lääkeaineita (parasetamoli, asikloviiri, allopurinoli, amfoterisiini, sytarabiini, erytromysiini, flukonatsoli, hydroksiurea, norfloksasiini, V-penisilliini) ainoastaan erytromysiini (IC</w:t>
      </w:r>
      <w:r w:rsidRPr="00912A5D">
        <w:rPr>
          <w:color w:val="000000"/>
          <w:szCs w:val="22"/>
          <w:vertAlign w:val="subscript"/>
          <w:lang w:val="fi-FI"/>
        </w:rPr>
        <w:t>50</w:t>
      </w:r>
      <w:r w:rsidRPr="00912A5D">
        <w:rPr>
          <w:color w:val="000000"/>
          <w:szCs w:val="22"/>
          <w:lang w:val="fi-FI"/>
        </w:rPr>
        <w:t xml:space="preserve"> 50 µmol/l) ja flukonatsoli (IC</w:t>
      </w:r>
      <w:r w:rsidRPr="00912A5D">
        <w:rPr>
          <w:color w:val="000000"/>
          <w:szCs w:val="22"/>
          <w:vertAlign w:val="subscript"/>
          <w:lang w:val="fi-FI"/>
        </w:rPr>
        <w:t>50</w:t>
      </w:r>
      <w:r w:rsidRPr="00912A5D">
        <w:rPr>
          <w:color w:val="000000"/>
          <w:szCs w:val="22"/>
          <w:lang w:val="fi-FI"/>
        </w:rPr>
        <w:t xml:space="preserve"> 118 µmol/l) estivät imatinibin metaboliaa niin, että sillä voi olla kliinistä merkitystä.</w:t>
      </w:r>
    </w:p>
    <w:p w14:paraId="586FCA2B" w14:textId="77777777" w:rsidR="00AE3698" w:rsidRPr="00912A5D" w:rsidRDefault="00AE3698">
      <w:pPr>
        <w:pStyle w:val="EndnoteText"/>
        <w:widowControl w:val="0"/>
        <w:tabs>
          <w:tab w:val="clear" w:pos="567"/>
        </w:tabs>
        <w:rPr>
          <w:color w:val="000000"/>
          <w:szCs w:val="22"/>
          <w:lang w:val="fi-FI"/>
        </w:rPr>
      </w:pPr>
    </w:p>
    <w:p w14:paraId="586FCA2C"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Imatinibin osoitettiin </w:t>
      </w:r>
      <w:r w:rsidRPr="00912A5D">
        <w:rPr>
          <w:i/>
          <w:color w:val="000000"/>
          <w:szCs w:val="22"/>
          <w:lang w:val="fi-FI"/>
        </w:rPr>
        <w:t>in vitro</w:t>
      </w:r>
      <w:r w:rsidRPr="00912A5D">
        <w:rPr>
          <w:color w:val="000000"/>
          <w:szCs w:val="22"/>
          <w:lang w:val="fi-FI"/>
        </w:rPr>
        <w:t xml:space="preserve"> –tutkimuksissa olevan kilpaileva estäjä CYP2C9-, CYP2D6- ja CYP3A4/5-substraateille K</w:t>
      </w:r>
      <w:r w:rsidRPr="00912A5D">
        <w:rPr>
          <w:color w:val="000000"/>
          <w:szCs w:val="22"/>
          <w:vertAlign w:val="subscript"/>
          <w:lang w:val="fi-FI"/>
        </w:rPr>
        <w:t>i</w:t>
      </w:r>
      <w:r w:rsidRPr="00912A5D">
        <w:rPr>
          <w:color w:val="000000"/>
          <w:szCs w:val="22"/>
          <w:lang w:val="fi-FI"/>
        </w:rPr>
        <w:t xml:space="preserve"> -arvot ihmisen maksan mikrosomeissa olivat vastaavasti 27; 7,5 ja 7,9 µmol/l. Imatinibin suurimmat plasmapitoisuudet potilailla ovat 2–4 µmol/l, mistä syystä CYP2D6 ja/tai CYPA4/5 välityksellä tapahtuva, samaan aikaan annetun lääkkeen, metabolian estyminen on mahdollista. Imatinibi ei vaikuttanut 5-fluorourasiilin biotransformaatioon mutta se esti paklitakselin metaboliaa, johtuen CYP2C8 kilpailevasta estosta (K</w:t>
      </w:r>
      <w:r w:rsidRPr="00912A5D">
        <w:rPr>
          <w:color w:val="000000"/>
          <w:szCs w:val="22"/>
          <w:vertAlign w:val="subscript"/>
          <w:lang w:val="fi-FI"/>
        </w:rPr>
        <w:t>i</w:t>
      </w:r>
      <w:r w:rsidRPr="00912A5D">
        <w:rPr>
          <w:color w:val="000000"/>
          <w:szCs w:val="22"/>
          <w:lang w:val="fi-FI"/>
        </w:rPr>
        <w:t xml:space="preserve"> = 34,7</w:t>
      </w:r>
      <w:r w:rsidRPr="00912A5D">
        <w:rPr>
          <w:b/>
          <w:color w:val="000000"/>
          <w:szCs w:val="22"/>
          <w:lang w:val="fi-FI"/>
        </w:rPr>
        <w:t> </w:t>
      </w:r>
      <w:r w:rsidRPr="00912A5D">
        <w:rPr>
          <w:color w:val="000000"/>
          <w:szCs w:val="22"/>
          <w:lang w:val="fi-FI"/>
        </w:rPr>
        <w:t>µmol/l). Tämä K</w:t>
      </w:r>
      <w:r w:rsidRPr="00912A5D">
        <w:rPr>
          <w:color w:val="000000"/>
          <w:szCs w:val="22"/>
          <w:vertAlign w:val="subscript"/>
          <w:lang w:val="fi-FI"/>
        </w:rPr>
        <w:t>I</w:t>
      </w:r>
      <w:r w:rsidRPr="00912A5D">
        <w:rPr>
          <w:color w:val="000000"/>
          <w:szCs w:val="22"/>
          <w:lang w:val="fi-FI"/>
        </w:rPr>
        <w:t>-arvo on huomattavasti suurempi kuin imatinibin odotetut plasmapitoisuudet potilailla, mistä johtuen yhteisvaikutuksia ei odoteta annettaessa yhdessä imatinibia ja 5-fluorourasiilia tai paklitakselia.</w:t>
      </w:r>
    </w:p>
    <w:p w14:paraId="586FCA2D" w14:textId="77777777" w:rsidR="00AE3698" w:rsidRPr="00912A5D" w:rsidRDefault="00AE3698">
      <w:pPr>
        <w:pStyle w:val="EndnoteText"/>
        <w:widowControl w:val="0"/>
        <w:tabs>
          <w:tab w:val="clear" w:pos="567"/>
        </w:tabs>
        <w:rPr>
          <w:color w:val="000000"/>
          <w:szCs w:val="22"/>
          <w:lang w:val="fi-FI"/>
        </w:rPr>
      </w:pPr>
    </w:p>
    <w:p w14:paraId="586FCA2E" w14:textId="77777777" w:rsidR="00AE3698" w:rsidRPr="00912A5D" w:rsidRDefault="00AE3698" w:rsidP="00CE1795">
      <w:pPr>
        <w:pStyle w:val="EndnoteText"/>
        <w:keepNext/>
        <w:widowControl w:val="0"/>
        <w:tabs>
          <w:tab w:val="clear" w:pos="567"/>
        </w:tabs>
        <w:rPr>
          <w:color w:val="000000"/>
          <w:szCs w:val="22"/>
          <w:lang w:val="fi-FI"/>
        </w:rPr>
      </w:pPr>
      <w:r w:rsidRPr="00912A5D">
        <w:rPr>
          <w:color w:val="000000"/>
          <w:szCs w:val="22"/>
          <w:u w:val="single"/>
          <w:lang w:val="fi-FI"/>
        </w:rPr>
        <w:t>Eliminaatio</w:t>
      </w:r>
    </w:p>
    <w:p w14:paraId="586FCA2F"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Suun kautta annetun </w:t>
      </w:r>
      <w:r w:rsidRPr="00912A5D">
        <w:rPr>
          <w:color w:val="000000"/>
          <w:szCs w:val="22"/>
          <w:vertAlign w:val="superscript"/>
          <w:lang w:val="fi-FI"/>
        </w:rPr>
        <w:t>14</w:t>
      </w:r>
      <w:r w:rsidRPr="00912A5D">
        <w:rPr>
          <w:color w:val="000000"/>
          <w:szCs w:val="22"/>
          <w:lang w:val="fi-FI"/>
        </w:rPr>
        <w:t>C-merkityn imatinibiannoksen poistumisanalyysin perusteella noin 81 % annoksesta poistui 7 päivän kuluessa ulosteisiin (68 % annoksesta) ja virtsaan (13 % annoksesta). Muuttumattomana imatinibista poistui 25 % annoksesta (5 % virtsaan, 20 % ulosteisiin), ja loppuosa oli metaboliitteja.</w:t>
      </w:r>
    </w:p>
    <w:p w14:paraId="586FCA30" w14:textId="77777777" w:rsidR="00AE3698" w:rsidRPr="00912A5D" w:rsidRDefault="00AE3698">
      <w:pPr>
        <w:pStyle w:val="EndnoteText"/>
        <w:widowControl w:val="0"/>
        <w:tabs>
          <w:tab w:val="clear" w:pos="567"/>
        </w:tabs>
        <w:rPr>
          <w:color w:val="000000"/>
          <w:szCs w:val="22"/>
          <w:lang w:val="fi-FI"/>
        </w:rPr>
      </w:pPr>
    </w:p>
    <w:p w14:paraId="586FCA31" w14:textId="77777777" w:rsidR="00AE3698" w:rsidRPr="00912A5D" w:rsidRDefault="00AE3698" w:rsidP="00CE1795">
      <w:pPr>
        <w:pStyle w:val="EndnoteText"/>
        <w:keepNext/>
        <w:widowControl w:val="0"/>
        <w:tabs>
          <w:tab w:val="clear" w:pos="567"/>
        </w:tabs>
        <w:rPr>
          <w:color w:val="000000"/>
          <w:szCs w:val="22"/>
          <w:lang w:val="fi-FI"/>
        </w:rPr>
      </w:pPr>
      <w:r w:rsidRPr="00912A5D">
        <w:rPr>
          <w:color w:val="000000"/>
          <w:szCs w:val="22"/>
          <w:u w:val="single"/>
          <w:lang w:val="fi-FI"/>
        </w:rPr>
        <w:t>Plasmafarmakokinetiikka</w:t>
      </w:r>
    </w:p>
    <w:p w14:paraId="586FCA32"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Suun kautta terveille vapaaehtoisille koehenkilöille annetun imatinibin puoliintumisaika (t</w:t>
      </w:r>
      <w:r w:rsidRPr="00912A5D">
        <w:rPr>
          <w:color w:val="000000"/>
          <w:szCs w:val="22"/>
          <w:vertAlign w:val="subscript"/>
          <w:lang w:val="fi-FI"/>
        </w:rPr>
        <w:t>½</w:t>
      </w:r>
      <w:r w:rsidRPr="00912A5D">
        <w:rPr>
          <w:color w:val="000000"/>
          <w:szCs w:val="22"/>
          <w:lang w:val="fi-FI"/>
        </w:rPr>
        <w:t>) oli noin 18 h, minkä perusteella kerran vuorokaudessa tapahtuva annostelu on riittävä. Suun kautta annetun imatinibin AUC-keskiarvo suureni lineaarisesti ja suhteessa annokseen suurennettaessa annoksia alueella 25–1 000 mg. Imatinibin kinetiikka ei muuttunut toistuvassa annostelussa, ja kumuloituminen oli 1,5–2,5-kertaista vakaassa tilassa, kun annos otettiin kerran vuorokaudessa.</w:t>
      </w:r>
    </w:p>
    <w:p w14:paraId="586FCA33" w14:textId="77777777" w:rsidR="00AE3698" w:rsidRPr="00912A5D" w:rsidRDefault="00AE3698">
      <w:pPr>
        <w:pStyle w:val="EndnoteText"/>
        <w:widowControl w:val="0"/>
        <w:tabs>
          <w:tab w:val="clear" w:pos="567"/>
        </w:tabs>
        <w:rPr>
          <w:color w:val="000000"/>
          <w:szCs w:val="22"/>
          <w:lang w:val="fi-FI"/>
        </w:rPr>
      </w:pPr>
    </w:p>
    <w:p w14:paraId="586FCA34" w14:textId="77777777" w:rsidR="00AE3698" w:rsidRPr="00912A5D" w:rsidRDefault="00AE3698" w:rsidP="00CE1795">
      <w:pPr>
        <w:pStyle w:val="EndnoteText"/>
        <w:keepNext/>
        <w:widowControl w:val="0"/>
        <w:tabs>
          <w:tab w:val="clear" w:pos="567"/>
        </w:tabs>
        <w:rPr>
          <w:color w:val="000000"/>
          <w:szCs w:val="22"/>
          <w:u w:val="single"/>
          <w:lang w:val="fi-FI"/>
        </w:rPr>
      </w:pPr>
      <w:r w:rsidRPr="00912A5D">
        <w:rPr>
          <w:color w:val="000000"/>
          <w:szCs w:val="22"/>
          <w:u w:val="single"/>
          <w:lang w:val="fi-FI"/>
        </w:rPr>
        <w:t>Farmakokinetiikka GIST potilailla</w:t>
      </w:r>
    </w:p>
    <w:p w14:paraId="586FCA35"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Käytettäessä samaa annosta (400 mg vuorokaudessa), GIST-potilailla vakaan tilan altistus oli 1,5-kertaa suurempi kuin </w:t>
      </w:r>
      <w:smartTag w:uri="urn:schemas-microsoft-com:office:smarttags" w:element="State">
        <w:r w:rsidRPr="00912A5D">
          <w:rPr>
            <w:color w:val="000000"/>
            <w:szCs w:val="22"/>
            <w:lang w:val="fi-FI"/>
          </w:rPr>
          <w:t>KML</w:t>
        </w:r>
      </w:smartTag>
      <w:r w:rsidRPr="00912A5D">
        <w:rPr>
          <w:color w:val="000000"/>
          <w:szCs w:val="22"/>
          <w:lang w:val="fi-FI"/>
        </w:rPr>
        <w:t>-potilailla havaittu. Alustavan GIST-potilaille tehdyn populaatiofarmakokinetiikka-analyysin mukaan kolme muuttujaa (albumiini, valkosolumäärä, bilirubiini) vaikuttivat tilastollisesti merkitsevästi imatinibin farmakokinetiikkaan. Pienentynyt albumiinin määrä vähensi puhdistumaa (CL/f); ja valkosolujen suurempi määrä vähensi CL/f:tä. Nämä riippuvuudet eivät kuitenkaan ole niin voimakkaita, että annostusta täytyisi muuttaa. Tässä potilasryhmässä maksan metastaasien esiintyminen voi mahdollisesti johtaa maksan vajaatoimintaan ja metabolian heikkenemiseen.</w:t>
      </w:r>
    </w:p>
    <w:p w14:paraId="586FCA36" w14:textId="77777777" w:rsidR="00AE3698" w:rsidRPr="00912A5D" w:rsidRDefault="00AE3698">
      <w:pPr>
        <w:pStyle w:val="EndnoteText"/>
        <w:widowControl w:val="0"/>
        <w:tabs>
          <w:tab w:val="clear" w:pos="567"/>
        </w:tabs>
        <w:rPr>
          <w:color w:val="000000"/>
          <w:szCs w:val="22"/>
          <w:lang w:val="fi-FI"/>
        </w:rPr>
      </w:pPr>
    </w:p>
    <w:p w14:paraId="586FCA37" w14:textId="77777777" w:rsidR="00AE3698" w:rsidRPr="00912A5D" w:rsidRDefault="00AE3698" w:rsidP="00CE1795">
      <w:pPr>
        <w:pStyle w:val="EndnoteText"/>
        <w:keepNext/>
        <w:widowControl w:val="0"/>
        <w:tabs>
          <w:tab w:val="clear" w:pos="567"/>
        </w:tabs>
        <w:rPr>
          <w:color w:val="000000"/>
          <w:szCs w:val="22"/>
          <w:lang w:val="fi-FI"/>
        </w:rPr>
      </w:pPr>
      <w:r w:rsidRPr="00912A5D">
        <w:rPr>
          <w:color w:val="000000"/>
          <w:szCs w:val="22"/>
          <w:u w:val="single"/>
          <w:lang w:val="fi-FI"/>
        </w:rPr>
        <w:t>Populaatiofarmakokinetiikka</w:t>
      </w:r>
    </w:p>
    <w:p w14:paraId="586FCA38"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 xml:space="preserve">Populaatiofarmakokinetiikkaa </w:t>
      </w:r>
      <w:smartTag w:uri="urn:schemas-microsoft-com:office:smarttags" w:element="State">
        <w:r w:rsidRPr="00912A5D">
          <w:rPr>
            <w:color w:val="000000"/>
            <w:szCs w:val="22"/>
            <w:lang w:val="fi-FI"/>
          </w:rPr>
          <w:t>KML</w:t>
        </w:r>
      </w:smartTag>
      <w:r w:rsidRPr="00912A5D">
        <w:rPr>
          <w:color w:val="000000"/>
          <w:szCs w:val="22"/>
          <w:lang w:val="fi-FI"/>
        </w:rPr>
        <w:t>-potilailla koskevan analyysin perusteella ikä vaikutti vähäisessä määrin jakautumistilavuuteen (suureni 12 %, yli 65-vuotiailla potilailla). Tätä muutosta ei pidetä kliinisesti merkitsevänä. Painon vaikutus imatinibin puhdistumaan on sellainen, että 50 kg painavalla potilaalla odotettavissa oleva keskipuhdistuma on 8,5 l/h, mutta 100 kg painavalla potilaalla puhdistuma suurenee arvoon 11,8 l/h. Näitä muutoksia ei katsota riittäviksi, jotta annosta tulisi painon perusteella muuttaa. Sukupuoli ei vaikuta imatinibin kinetiikkaan.</w:t>
      </w:r>
    </w:p>
    <w:p w14:paraId="586FCA39" w14:textId="77777777" w:rsidR="00AE3698" w:rsidRPr="00912A5D" w:rsidRDefault="00AE3698">
      <w:pPr>
        <w:pStyle w:val="EndnoteText"/>
        <w:widowControl w:val="0"/>
        <w:tabs>
          <w:tab w:val="clear" w:pos="567"/>
        </w:tabs>
        <w:rPr>
          <w:color w:val="000000"/>
          <w:szCs w:val="22"/>
          <w:lang w:val="fi-FI"/>
        </w:rPr>
      </w:pPr>
    </w:p>
    <w:p w14:paraId="586FCA3A" w14:textId="77777777" w:rsidR="00AE3698" w:rsidRPr="00912A5D" w:rsidRDefault="00AE3698" w:rsidP="00CE1795">
      <w:pPr>
        <w:pStyle w:val="EndnoteText"/>
        <w:keepNext/>
        <w:widowControl w:val="0"/>
        <w:tabs>
          <w:tab w:val="clear" w:pos="567"/>
        </w:tabs>
        <w:rPr>
          <w:color w:val="000000"/>
          <w:szCs w:val="22"/>
          <w:u w:val="single"/>
          <w:lang w:val="fi-FI"/>
        </w:rPr>
      </w:pPr>
      <w:r w:rsidRPr="00912A5D">
        <w:rPr>
          <w:color w:val="000000"/>
          <w:szCs w:val="22"/>
          <w:u w:val="single"/>
          <w:lang w:val="fi-FI"/>
        </w:rPr>
        <w:t>Farmakokinetiikka lapsilla</w:t>
      </w:r>
    </w:p>
    <w:p w14:paraId="586FCA3B" w14:textId="77777777" w:rsidR="00AE3698" w:rsidRDefault="00AE3698">
      <w:pPr>
        <w:pStyle w:val="EndnoteText"/>
        <w:widowControl w:val="0"/>
        <w:tabs>
          <w:tab w:val="clear" w:pos="567"/>
        </w:tabs>
        <w:rPr>
          <w:color w:val="000000"/>
          <w:szCs w:val="22"/>
          <w:lang w:val="fi-FI"/>
        </w:rPr>
      </w:pPr>
      <w:r w:rsidRPr="00912A5D">
        <w:rPr>
          <w:color w:val="000000"/>
          <w:szCs w:val="22"/>
          <w:lang w:val="fi-FI"/>
        </w:rPr>
        <w:t>Kuten aikuisilla potilailla, lapsipotilailla, sekä I vaiheen että II vaiheen tutkimuksissa, imatinibi imeytyi nopeasti suun kautta annettaessa. Annokset 260 ja 340 mg/m</w:t>
      </w:r>
      <w:r w:rsidRPr="00912A5D">
        <w:rPr>
          <w:color w:val="000000"/>
          <w:szCs w:val="22"/>
          <w:vertAlign w:val="superscript"/>
          <w:lang w:val="fi-FI"/>
        </w:rPr>
        <w:t>2</w:t>
      </w:r>
      <w:r w:rsidRPr="00912A5D">
        <w:rPr>
          <w:color w:val="000000"/>
          <w:szCs w:val="22"/>
          <w:lang w:val="fi-FI"/>
        </w:rPr>
        <w:t>/vrk lapsilla aiheuttivat samankaltaisen altistuksen kuin annokset 400 ja 600 mg aikuisilla. AUC</w:t>
      </w:r>
      <w:r w:rsidRPr="00912A5D">
        <w:rPr>
          <w:color w:val="000000"/>
          <w:szCs w:val="22"/>
          <w:vertAlign w:val="subscript"/>
          <w:lang w:val="fi-FI"/>
        </w:rPr>
        <w:t>(0-24)</w:t>
      </w:r>
      <w:r w:rsidRPr="00912A5D">
        <w:rPr>
          <w:color w:val="000000"/>
          <w:szCs w:val="22"/>
          <w:lang w:val="fi-FI"/>
        </w:rPr>
        <w:t>-arvojen vertailu päivinä yksi ja kahdeksan käytettäessä annosta 340 mg/m</w:t>
      </w:r>
      <w:r w:rsidRPr="00912A5D">
        <w:rPr>
          <w:color w:val="000000"/>
          <w:szCs w:val="22"/>
          <w:vertAlign w:val="superscript"/>
          <w:lang w:val="fi-FI"/>
        </w:rPr>
        <w:t>2</w:t>
      </w:r>
      <w:r w:rsidRPr="00912A5D">
        <w:rPr>
          <w:color w:val="000000"/>
          <w:szCs w:val="22"/>
          <w:lang w:val="fi-FI"/>
        </w:rPr>
        <w:t>/vrk paljasti lääkeaineen 1,7-kertaisen kumuloitumisen toistuvan kerran vuorokaudessa-annostelun yhteydessä.</w:t>
      </w:r>
    </w:p>
    <w:p w14:paraId="586FCA3C" w14:textId="77777777" w:rsidR="003B7063" w:rsidRPr="00912A5D" w:rsidRDefault="003B7063">
      <w:pPr>
        <w:pStyle w:val="EndnoteText"/>
        <w:widowControl w:val="0"/>
        <w:tabs>
          <w:tab w:val="clear" w:pos="567"/>
        </w:tabs>
        <w:rPr>
          <w:color w:val="000000"/>
          <w:szCs w:val="22"/>
          <w:lang w:val="fi-FI"/>
        </w:rPr>
      </w:pPr>
    </w:p>
    <w:p w14:paraId="586FCA3D" w14:textId="77777777" w:rsidR="00291A4D" w:rsidRPr="00396314" w:rsidRDefault="00291A4D" w:rsidP="00291A4D">
      <w:pPr>
        <w:pStyle w:val="EndnoteText"/>
        <w:widowControl w:val="0"/>
        <w:rPr>
          <w:color w:val="000000"/>
          <w:szCs w:val="22"/>
          <w:lang w:val="fi-FI"/>
        </w:rPr>
      </w:pPr>
      <w:r w:rsidRPr="00396314">
        <w:rPr>
          <w:color w:val="000000"/>
          <w:szCs w:val="22"/>
          <w:lang w:val="fi-FI"/>
        </w:rPr>
        <w:t>Hematologista sairautta (KML, Ph+ ALL tai muu imatinibilla hoidettava hematologinen sairaus) sairastavilla pediatrisilla potilailla toteutetun poolatun populaatiofarmakokinetiikan analyysin perusteella imatinibin puhdistuma suurenee kehon pinta-alan suurentuessa. Kehon pinta-alan vaikutuksen suhteen tehtyjen korjausten jälkeen muilla demografisilla tekijöillä kuten iällä, painolla ja painoindeksillä ei ollut kliinisesti merkitseviä vaikutuksia imatinibialtistukseen. Analyysi vahvisti, että imatinibialtistus oli samaa luokkaa pediatrisilla potilailla, jotka saivat 260 mg/m</w:t>
      </w:r>
      <w:r w:rsidRPr="00396314">
        <w:rPr>
          <w:color w:val="000000"/>
          <w:szCs w:val="22"/>
          <w:vertAlign w:val="superscript"/>
          <w:lang w:val="fi-FI"/>
        </w:rPr>
        <w:t>2</w:t>
      </w:r>
      <w:r w:rsidRPr="00396314">
        <w:rPr>
          <w:color w:val="000000"/>
          <w:szCs w:val="22"/>
          <w:lang w:val="fi-FI"/>
        </w:rPr>
        <w:t xml:space="preserve"> kerran vuorokaudessa (enintään 400 mg kerran vuorokaudessa) tai 340 mg/m</w:t>
      </w:r>
      <w:r w:rsidRPr="00396314">
        <w:rPr>
          <w:color w:val="000000"/>
          <w:szCs w:val="22"/>
          <w:vertAlign w:val="superscript"/>
          <w:lang w:val="fi-FI"/>
        </w:rPr>
        <w:t>2</w:t>
      </w:r>
      <w:r w:rsidRPr="00396314">
        <w:rPr>
          <w:color w:val="000000"/>
          <w:szCs w:val="22"/>
          <w:lang w:val="fi-FI"/>
        </w:rPr>
        <w:t xml:space="preserve"> kerran vuorokaudessa (enintään 600 mg kerran vuorokaudessa), ja aikuispotilailla, jotka saivat imatinibia 400 mg tai 600 mg kerran vuorokaudessa.</w:t>
      </w:r>
    </w:p>
    <w:p w14:paraId="586FCA3E" w14:textId="77777777" w:rsidR="00AE3698" w:rsidRPr="00912A5D" w:rsidRDefault="00AE3698">
      <w:pPr>
        <w:pStyle w:val="EndnoteText"/>
        <w:widowControl w:val="0"/>
        <w:tabs>
          <w:tab w:val="clear" w:pos="567"/>
        </w:tabs>
        <w:rPr>
          <w:color w:val="000000"/>
          <w:szCs w:val="22"/>
          <w:lang w:val="fi-FI"/>
        </w:rPr>
      </w:pPr>
    </w:p>
    <w:p w14:paraId="586FCA3F" w14:textId="77777777" w:rsidR="00AE3698" w:rsidRPr="00912A5D" w:rsidRDefault="00AE3698" w:rsidP="00CE1795">
      <w:pPr>
        <w:pStyle w:val="EndnoteText"/>
        <w:keepNext/>
        <w:widowControl w:val="0"/>
        <w:tabs>
          <w:tab w:val="clear" w:pos="567"/>
        </w:tabs>
        <w:rPr>
          <w:color w:val="000000"/>
          <w:szCs w:val="22"/>
          <w:lang w:val="fi-FI"/>
        </w:rPr>
      </w:pPr>
      <w:r w:rsidRPr="00912A5D">
        <w:rPr>
          <w:color w:val="000000"/>
          <w:szCs w:val="22"/>
          <w:u w:val="single"/>
          <w:lang w:val="fi-FI"/>
        </w:rPr>
        <w:t>Elintoimintojen heikkeneminen</w:t>
      </w:r>
    </w:p>
    <w:p w14:paraId="586FCA40"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Imatinibi ja sen metaboliitit eivät erity merkittävässä määrin munuaisten kautta. Potilailla, joilla on lievä tai keskivaikea munuaisten vajaatoiminta, vaikuttaa olevan suurempi imatinibialtistus plasmassa kuin potilailla, joiden munuaistoiminta on normaali. Altistus suurenee noin 1,5–2-kertaiseksi, mikä vastaa imatinibia voimakkaasti sitovan proteiinin, AGP:n, pitoisuuden suurenemista plasmassa 1,5-kertaiseksi. Vapaan imatinibin puhdistuma on todennäköisesti samanlainen munuaisten vajaatoimintapotilailla ja potilailla, joiden munuaistoiminta on normaali, sillä imatinibi eliminoituu vain vähäisessä määrin munuaisten kautta (ks. kohdat 4.2 ja 4.4).</w:t>
      </w:r>
    </w:p>
    <w:p w14:paraId="586FCA41" w14:textId="77777777" w:rsidR="00AE3698" w:rsidRPr="00912A5D" w:rsidRDefault="00AE3698">
      <w:pPr>
        <w:pStyle w:val="EndnoteText"/>
        <w:widowControl w:val="0"/>
        <w:tabs>
          <w:tab w:val="clear" w:pos="567"/>
        </w:tabs>
        <w:rPr>
          <w:color w:val="000000"/>
          <w:szCs w:val="22"/>
          <w:lang w:val="fi-FI"/>
        </w:rPr>
      </w:pPr>
    </w:p>
    <w:p w14:paraId="586FCA42"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Vaikka farmakokineettisen analyysin tulokset osoittivat, että henkilöiden välillä on suurta vaihtelua, keskimääräinen altistus imatinibille ei suurentunut potilailla, joilla oli eriasteinen maksan vajaatoiminta, verrattuna potilaisiin, joilla oli normaali maksan toiminta (ks. kohdat 4.2, 4.4 ja 4.8).</w:t>
      </w:r>
    </w:p>
    <w:p w14:paraId="586FCA43" w14:textId="77777777" w:rsidR="00AE3698" w:rsidRPr="00912A5D" w:rsidRDefault="00AE3698">
      <w:pPr>
        <w:pStyle w:val="EndnoteText"/>
        <w:widowControl w:val="0"/>
        <w:tabs>
          <w:tab w:val="clear" w:pos="567"/>
        </w:tabs>
        <w:rPr>
          <w:color w:val="000000"/>
          <w:szCs w:val="22"/>
          <w:lang w:val="fi-FI"/>
        </w:rPr>
      </w:pPr>
    </w:p>
    <w:p w14:paraId="586FCA44" w14:textId="77777777" w:rsidR="00AE3698" w:rsidRPr="00912A5D" w:rsidRDefault="00AE3698" w:rsidP="00CE1795">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5.3</w:t>
      </w:r>
      <w:r w:rsidRPr="00912A5D">
        <w:rPr>
          <w:rFonts w:ascii="Times New Roman" w:hAnsi="Times New Roman"/>
          <w:b/>
          <w:sz w:val="22"/>
          <w:szCs w:val="22"/>
        </w:rPr>
        <w:tab/>
        <w:t>Prekliiniset tiedot turvallisuudesta</w:t>
      </w:r>
    </w:p>
    <w:p w14:paraId="586FCA45" w14:textId="77777777" w:rsidR="00AE3698" w:rsidRPr="00912A5D" w:rsidRDefault="00AE3698" w:rsidP="00CE1795">
      <w:pPr>
        <w:keepNext/>
        <w:widowControl w:val="0"/>
        <w:rPr>
          <w:rFonts w:ascii="Times New Roman" w:hAnsi="Times New Roman"/>
          <w:sz w:val="22"/>
          <w:szCs w:val="22"/>
        </w:rPr>
      </w:pPr>
    </w:p>
    <w:p w14:paraId="586FCA46"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Imatinibin prekliininen turvallisuusprofiili arvioitiin rotilla, koirilla, apinoilla ja kaneilla.</w:t>
      </w:r>
    </w:p>
    <w:p w14:paraId="586FCA47" w14:textId="77777777" w:rsidR="00AE3698" w:rsidRPr="00912A5D" w:rsidRDefault="00AE3698">
      <w:pPr>
        <w:widowControl w:val="0"/>
        <w:rPr>
          <w:rFonts w:ascii="Times New Roman" w:hAnsi="Times New Roman"/>
          <w:sz w:val="22"/>
          <w:szCs w:val="22"/>
        </w:rPr>
      </w:pPr>
    </w:p>
    <w:p w14:paraId="586FCA48"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Toistuvan annostelun toksisuuskokeissa huomattiin lieviä tai kohtalaisia hematologisia muutoksia rotilla, koirilla ja apinoilla. Rotilla ja koirilla niihin liittyi luuydinmuutoksia.</w:t>
      </w:r>
    </w:p>
    <w:p w14:paraId="586FCA49" w14:textId="77777777" w:rsidR="00AE3698" w:rsidRPr="00912A5D" w:rsidRDefault="00AE3698">
      <w:pPr>
        <w:widowControl w:val="0"/>
        <w:rPr>
          <w:rFonts w:ascii="Times New Roman" w:hAnsi="Times New Roman"/>
          <w:sz w:val="22"/>
          <w:szCs w:val="22"/>
        </w:rPr>
      </w:pPr>
    </w:p>
    <w:p w14:paraId="586FCA4A"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Rotilla ja koirilla maksa oli toksisuuden kohde-elin. Molemmilla eläinlajeilla havaittiin lievää tai kohtalaista transaminaasiarvojen nousua ja lievää kolesteroli-, triglyseridi-, kokonaisproteiini- ja albumiiniarvojen laskua. Rotan maksassa ei havaittu histopatologisia muutoksia. Kaksi viikkoa hoidetuilla koirilla havaittiin vakavaa maksatoksisuutta, johon liittyi maksaentsyymiarvojen kohoamista, hepatosellulaarista nekroosia, sappitiehyeiden nekroosia ja sappitiehyeiden hyperplasiaa.</w:t>
      </w:r>
    </w:p>
    <w:p w14:paraId="586FCA4B" w14:textId="77777777" w:rsidR="00AE3698" w:rsidRPr="00912A5D" w:rsidRDefault="00AE3698">
      <w:pPr>
        <w:widowControl w:val="0"/>
        <w:rPr>
          <w:rFonts w:ascii="Times New Roman" w:hAnsi="Times New Roman"/>
          <w:sz w:val="22"/>
          <w:szCs w:val="22"/>
        </w:rPr>
      </w:pPr>
    </w:p>
    <w:p w14:paraId="586FCA4C"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Kaksi viikkoa hoidetuilla apinoilla havaittiin munuaistoksisuutta, johon liittyi pesäkemäistä mineralisaatiota ja munuaistiehyeiden laajenemista ja tubulusnekroosia. Usealla apinalla havaittiin veren ureatypen (BUN) ja kreatiniinin nousu. Rotilla 13 viikkoa kestäneessä tutkimuksessa &gt; 6 mg/kg annoksilla havaittiin munuaisnystyn ja virtsarakon välimuotoisen epiteelin (transitional epithelium) hyperplasiaa, johon ei liittynyt muutoksia seerumi- tai virtsa-arvoissa. Imatinibin pitkäaikaisessa annostuksessa havaittiin opportunististen infektioiden määrän kasvu.</w:t>
      </w:r>
    </w:p>
    <w:p w14:paraId="586FCA4D" w14:textId="77777777" w:rsidR="00AE3698" w:rsidRPr="00912A5D" w:rsidRDefault="00AE3698">
      <w:pPr>
        <w:widowControl w:val="0"/>
        <w:rPr>
          <w:rFonts w:ascii="Times New Roman" w:hAnsi="Times New Roman"/>
          <w:sz w:val="22"/>
          <w:szCs w:val="22"/>
        </w:rPr>
      </w:pPr>
    </w:p>
    <w:p w14:paraId="586FCA4E"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39 viikkoa kestäneessä apinakokeessa ei saatu määritettyä haittavaikutuksetonta tasoa (NOAEL) pienimmällä 15 mg/kg annoksella, joka on noin kolmannes ihmiselle tarkoitetusta 800 mg maksimiannoksesta perustuen kehon pinta-alaan. Hoito johti normaalisti oireettomana olevan malariainfektion pahenemiseen näillä eläimillä.</w:t>
      </w:r>
    </w:p>
    <w:p w14:paraId="586FCA4F" w14:textId="77777777" w:rsidR="00AE3698" w:rsidRPr="00912A5D" w:rsidRDefault="00AE3698">
      <w:pPr>
        <w:widowControl w:val="0"/>
        <w:rPr>
          <w:rFonts w:ascii="Times New Roman" w:hAnsi="Times New Roman"/>
          <w:sz w:val="22"/>
          <w:szCs w:val="22"/>
        </w:rPr>
      </w:pPr>
    </w:p>
    <w:p w14:paraId="586FCA50"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 xml:space="preserve">Imatinibi ei ollut genotoksinen </w:t>
      </w:r>
      <w:r w:rsidRPr="00912A5D">
        <w:rPr>
          <w:rFonts w:ascii="Times New Roman" w:hAnsi="Times New Roman"/>
          <w:i/>
          <w:sz w:val="22"/>
          <w:szCs w:val="22"/>
        </w:rPr>
        <w:t>in vitro</w:t>
      </w:r>
      <w:r w:rsidRPr="00912A5D">
        <w:rPr>
          <w:rFonts w:ascii="Times New Roman" w:hAnsi="Times New Roman"/>
          <w:sz w:val="22"/>
          <w:szCs w:val="22"/>
        </w:rPr>
        <w:t xml:space="preserve"> bakteereilla tehdyssä solutestissä (Ames-testi), </w:t>
      </w:r>
      <w:r w:rsidRPr="00912A5D">
        <w:rPr>
          <w:rFonts w:ascii="Times New Roman" w:hAnsi="Times New Roman"/>
          <w:i/>
          <w:sz w:val="22"/>
          <w:szCs w:val="22"/>
        </w:rPr>
        <w:t>in vitro</w:t>
      </w:r>
      <w:r w:rsidRPr="00912A5D">
        <w:rPr>
          <w:rFonts w:ascii="Times New Roman" w:hAnsi="Times New Roman"/>
          <w:sz w:val="22"/>
          <w:szCs w:val="22"/>
        </w:rPr>
        <w:t xml:space="preserve"> nisäkässolutestissä (hiiren lymfooma) eikä </w:t>
      </w:r>
      <w:r w:rsidRPr="00912A5D">
        <w:rPr>
          <w:rFonts w:ascii="Times New Roman" w:hAnsi="Times New Roman"/>
          <w:i/>
          <w:sz w:val="22"/>
          <w:szCs w:val="22"/>
        </w:rPr>
        <w:t>in vivo</w:t>
      </w:r>
      <w:r w:rsidRPr="00912A5D">
        <w:rPr>
          <w:rFonts w:ascii="Times New Roman" w:hAnsi="Times New Roman"/>
          <w:sz w:val="22"/>
          <w:szCs w:val="22"/>
        </w:rPr>
        <w:t xml:space="preserve"> rotan mikrotumatestissä. Imatinibilla havaittiin genotoksista vaikutusta </w:t>
      </w:r>
      <w:r w:rsidRPr="00912A5D">
        <w:rPr>
          <w:rFonts w:ascii="Times New Roman" w:hAnsi="Times New Roman"/>
          <w:i/>
          <w:sz w:val="22"/>
          <w:szCs w:val="22"/>
        </w:rPr>
        <w:t>in vitro</w:t>
      </w:r>
      <w:r w:rsidRPr="00912A5D">
        <w:rPr>
          <w:rFonts w:ascii="Times New Roman" w:hAnsi="Times New Roman"/>
          <w:sz w:val="22"/>
          <w:szCs w:val="22"/>
        </w:rPr>
        <w:t xml:space="preserve"> nisäkässolutestissä (kiinalaisen hamsterin munasarja) klastogeenisuuden (kromosomien poikkeavuus) esiintyessä metabolisen aktivaation yhteydessä. Kaksi valmistusprosessin välituotetta, jotka esiintyvät myös lopullisessa valmisteessa, ovat mutageenejä Ames-testillä mitattuna. Toinen näistä välituotteista antoi positiivisen tuloksen myös hiiren lymfoomatestissä.</w:t>
      </w:r>
    </w:p>
    <w:p w14:paraId="586FCA51" w14:textId="77777777" w:rsidR="00AE3698" w:rsidRPr="00912A5D" w:rsidRDefault="00AE3698">
      <w:pPr>
        <w:widowControl w:val="0"/>
        <w:rPr>
          <w:rFonts w:ascii="Times New Roman" w:hAnsi="Times New Roman"/>
          <w:sz w:val="22"/>
          <w:szCs w:val="22"/>
        </w:rPr>
      </w:pPr>
    </w:p>
    <w:p w14:paraId="586FCA52"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Urosrotilla suoritetussa hedelmällisyystutkimuksessa 70 päivää ennen parittelua kestäneellä annostuksella, annoksella 60 mg/kg (vastaten noin 800 mg/vrk maksimiannosta ihmiselle perustuen kehon pinta-alaan) havaittiin kivesten ja lisäkivesten painon pienenemistä ja liikkuvan siemennesteen osuuden vähenemistä. Annoksilla ≤ 20 mg/kg ei havaittu vastaavaa. Lievää tai kohtalaista spermatogeneesin vähenemistä havaittiin myös koirilla annettaessa suun kautta ≥ 30 mg/kg annoksia. Kun naarasrotille annettiin ennen parittelua 14 vuorokauden ajan imatinibia ja annostusta jatkettiin 6:nteen gestaatiopäivään asti, ei parittelussa eikä tiineiden naaraiden määrässä havaittu poikkeavuutta. Annoksella 60 mg/kg, naarasrotilla implantaation jälkeinen alkionmenetys oli merkittävä ja elävien sikiöiden määrä väheni. Annoksilla ≤ 20 mg/kg ei havaittu vastaavaa.</w:t>
      </w:r>
    </w:p>
    <w:p w14:paraId="586FCA53" w14:textId="77777777" w:rsidR="00AE3698" w:rsidRPr="00912A5D" w:rsidRDefault="00AE3698">
      <w:pPr>
        <w:widowControl w:val="0"/>
        <w:rPr>
          <w:rFonts w:ascii="Times New Roman" w:hAnsi="Times New Roman"/>
          <w:sz w:val="22"/>
          <w:szCs w:val="22"/>
        </w:rPr>
      </w:pPr>
    </w:p>
    <w:p w14:paraId="586FCA54"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lastRenderedPageBreak/>
        <w:t>Rotilla tehdyssä tutkimuksessa, jossa selvitettiin lääkkeen oraalisen annostelun vaikutuksia pre- ja postnataalikehitykseen, havaittiin punaista emätineritettä tiineyden 14. tai 15. päivänä 45 mg/kg/vrk annosta saaneiden ryhmässä. Samalla annoksella kuolleena syntyneiden poikasten ja synnytyksen jälkeisinä päivinä 0–4 kuolleiden poikasten määrä oli suurentunut. Käytettäessä samaa annosta ensimmäisen polven jälkeläisten keskimääräinen ruumiinpaino oli alentunut syntymästä lopettamiseen saakka. Preputiaalisen separaation vaatimukset saavuttavien poikueiden määrä oli hieman alentunut. Lääke ei vaikuttanut ensimmäisen polven fertiliteettiin, kun taas annoksella 45 mg/kg/vrk havaittiin resorptioiden määrän kasvua ja elinkykyisten sikiöiden määrän laskua. Ei havaittavia vaikutuksia aiheuttava annos (NOEL) sekä naarasrotilla että ensimmäisen polven jälkeläisillä oli 15 mg/kg/vrk (noin neljäsosa ihmisen maksimiannoksesta, 800 mg).</w:t>
      </w:r>
    </w:p>
    <w:p w14:paraId="586FCA55" w14:textId="77777777" w:rsidR="00AE3698" w:rsidRPr="00912A5D" w:rsidRDefault="00AE3698">
      <w:pPr>
        <w:widowControl w:val="0"/>
        <w:rPr>
          <w:rFonts w:ascii="Times New Roman" w:hAnsi="Times New Roman"/>
          <w:sz w:val="22"/>
          <w:szCs w:val="22"/>
        </w:rPr>
      </w:pPr>
    </w:p>
    <w:p w14:paraId="586FCA56"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Rotilla imatinibi oli teratogeeninen, kun sitä annettiin organogeneesin aikana ≥ 100 mg/kg annoksilla, vastaten noin 800 mg/vrk maksimiannosta ihmiselle perustuen kehon pinta-alaan. Teratogeenisiä vaikutuksia olivat eksenkefalia tai enkefaloseele, puuttuvat/pienentyneet otsaluut ja puuttuvat päälakiluut. Annoksilla ≤ 30 mg/kg ei havaittu vastaavaa.</w:t>
      </w:r>
    </w:p>
    <w:p w14:paraId="586FCA57" w14:textId="77777777" w:rsidR="00D1112C" w:rsidRDefault="00D1112C">
      <w:pPr>
        <w:widowControl w:val="0"/>
        <w:rPr>
          <w:rFonts w:ascii="Times New Roman" w:hAnsi="Times New Roman"/>
          <w:sz w:val="22"/>
          <w:szCs w:val="22"/>
        </w:rPr>
      </w:pPr>
    </w:p>
    <w:p w14:paraId="586FCA58" w14:textId="77777777" w:rsidR="00AE3698" w:rsidRDefault="00D1112C">
      <w:pPr>
        <w:widowControl w:val="0"/>
        <w:rPr>
          <w:rFonts w:ascii="Times New Roman" w:hAnsi="Times New Roman"/>
          <w:sz w:val="22"/>
          <w:szCs w:val="22"/>
        </w:rPr>
      </w:pPr>
      <w:r>
        <w:rPr>
          <w:rFonts w:ascii="Times New Roman" w:hAnsi="Times New Roman"/>
          <w:sz w:val="22"/>
          <w:szCs w:val="22"/>
        </w:rPr>
        <w:t>Nuorilla rotilla (päivät 10 - 70 syntymän jälkeen) suoritetussa kehitystoksisuutta koskevassa tutkimuksessa ei todettu uusia kohde-elimiä niiden tunnettujen kohde-elinten lisäksi, jotka on todettu aikuisilla rotilla. Nuorilla eläimillä suoritetussa toksisuustutkimuksessa todettiin vaikutuksia eläinten kasvuun sekä hidastunutta emättimen avautumista ja esinahan eriytymistä annoksilla, jotka tuottivat noin 0,3 - 2 kertaa suuremman altistuksen kuin mitä suurin suositeltu annos, 340 mg/m</w:t>
      </w:r>
      <w:r w:rsidRPr="00DB008D">
        <w:rPr>
          <w:rFonts w:ascii="Times New Roman" w:hAnsi="Times New Roman"/>
          <w:sz w:val="22"/>
          <w:szCs w:val="22"/>
          <w:vertAlign w:val="superscript"/>
        </w:rPr>
        <w:t>2</w:t>
      </w:r>
      <w:r>
        <w:rPr>
          <w:rFonts w:ascii="Times New Roman" w:hAnsi="Times New Roman"/>
          <w:sz w:val="22"/>
          <w:szCs w:val="22"/>
        </w:rPr>
        <w:t>, keskimäärin aikaansaa pediatrisilla potilailla. Lisäksi kuolleisuutta todettiin nuorilla eläimillä (vieroitusvaiheen aikoihin) noin 2 kertaa suuremmalla altistuksella kuin mitä suurin suositeltu annos, 340 mg/m</w:t>
      </w:r>
      <w:r w:rsidRPr="00DB008D">
        <w:rPr>
          <w:rFonts w:ascii="Times New Roman" w:hAnsi="Times New Roman"/>
          <w:sz w:val="22"/>
          <w:szCs w:val="22"/>
          <w:vertAlign w:val="superscript"/>
        </w:rPr>
        <w:t>2</w:t>
      </w:r>
      <w:r>
        <w:rPr>
          <w:rFonts w:ascii="Times New Roman" w:hAnsi="Times New Roman"/>
          <w:sz w:val="22"/>
          <w:szCs w:val="22"/>
        </w:rPr>
        <w:t>, keskimäärin aikaansaa pediatrisilla potilailla.</w:t>
      </w:r>
    </w:p>
    <w:p w14:paraId="586FCA59" w14:textId="77777777" w:rsidR="00D1112C" w:rsidRPr="00912A5D" w:rsidRDefault="00D1112C">
      <w:pPr>
        <w:widowControl w:val="0"/>
        <w:rPr>
          <w:rFonts w:ascii="Times New Roman" w:hAnsi="Times New Roman"/>
          <w:sz w:val="22"/>
          <w:szCs w:val="22"/>
        </w:rPr>
      </w:pPr>
    </w:p>
    <w:p w14:paraId="586FCA5A" w14:textId="77777777" w:rsidR="00AE3698" w:rsidRPr="00912A5D" w:rsidRDefault="00AE3698">
      <w:pPr>
        <w:autoSpaceDE w:val="0"/>
        <w:autoSpaceDN w:val="0"/>
        <w:adjustRightInd w:val="0"/>
        <w:spacing w:line="240" w:lineRule="atLeast"/>
        <w:rPr>
          <w:rFonts w:ascii="Times New Roman" w:hAnsi="Times New Roman"/>
          <w:sz w:val="22"/>
          <w:szCs w:val="22"/>
        </w:rPr>
      </w:pPr>
      <w:r w:rsidRPr="00912A5D">
        <w:rPr>
          <w:rFonts w:ascii="Times New Roman" w:hAnsi="Times New Roman"/>
          <w:sz w:val="22"/>
          <w:szCs w:val="22"/>
        </w:rPr>
        <w:t>Kaksi vuotta kestäneessä annoksilla 15, 30 ja 60 mg/kg/vrk suoritetussa karsinogeenisuustutkimuksessa pitkäikäisyys lyheni tilastollisesti merkitsevästi uroksilla annoksella 60 mg/kg/vrk ja naarailla annoksilla ≥ 30 mg/kg/vrk. Kuolleiden eläinten histopatologisissa tutkimuksissa havaittiin pääasiallisina kuolinsyinä tai lopettamisen syinä sydänlihassairaus (molemmat sukupuolet), krooninen etenevä munuaissairaus (naaraat) ja esinahkarauhasten papillooma. Kasvainmuutosten kohde-elimet olivat munuaiset, virtsarakko, virtsaputki, esinahka- ja häpykielirauhaset, ohutsuoli, lisäkilpirauhaset, lisämunuaiset ja rauhasista vapaa osa mahalaukusta.</w:t>
      </w:r>
    </w:p>
    <w:p w14:paraId="586FCA5B" w14:textId="77777777" w:rsidR="00AE3698" w:rsidRPr="00912A5D" w:rsidRDefault="00AE3698">
      <w:pPr>
        <w:autoSpaceDE w:val="0"/>
        <w:autoSpaceDN w:val="0"/>
        <w:adjustRightInd w:val="0"/>
        <w:spacing w:line="240" w:lineRule="atLeast"/>
        <w:rPr>
          <w:rFonts w:ascii="Times New Roman" w:hAnsi="Times New Roman"/>
          <w:sz w:val="22"/>
          <w:szCs w:val="22"/>
        </w:rPr>
      </w:pPr>
    </w:p>
    <w:p w14:paraId="586FCA5C" w14:textId="77777777" w:rsidR="00AE3698" w:rsidRPr="00912A5D" w:rsidRDefault="00AE3698">
      <w:pPr>
        <w:autoSpaceDE w:val="0"/>
        <w:autoSpaceDN w:val="0"/>
        <w:adjustRightInd w:val="0"/>
        <w:spacing w:line="240" w:lineRule="atLeast"/>
        <w:rPr>
          <w:rFonts w:ascii="Times New Roman" w:hAnsi="Times New Roman"/>
          <w:sz w:val="22"/>
          <w:szCs w:val="22"/>
        </w:rPr>
      </w:pPr>
      <w:r w:rsidRPr="00912A5D">
        <w:rPr>
          <w:rFonts w:ascii="Times New Roman" w:hAnsi="Times New Roman"/>
          <w:sz w:val="22"/>
          <w:szCs w:val="22"/>
        </w:rPr>
        <w:t>Esinahka- ja häpykielialueilla havaittiin papillooma/karsinooma annoksilla 30 mg/kg/vrk tai yli, mikä vastaa ihmisellä noin 0,5 tai 0,3 kertaista altistusta (perustuen AUC:hen) 400 mg:n ja 800 mg:n vuorokausiannoksella. Lapsilla tämä vastaa 0,4-kertaista altistusta (perustuen AUC:hen) vuorokausiannoksella 340 mg/m</w:t>
      </w:r>
      <w:r w:rsidRPr="00912A5D">
        <w:rPr>
          <w:rFonts w:ascii="Times New Roman" w:hAnsi="Times New Roman"/>
          <w:sz w:val="22"/>
          <w:szCs w:val="22"/>
          <w:vertAlign w:val="superscript"/>
        </w:rPr>
        <w:t>2</w:t>
      </w:r>
      <w:r w:rsidRPr="00912A5D">
        <w:rPr>
          <w:rFonts w:ascii="Times New Roman" w:hAnsi="Times New Roman"/>
          <w:sz w:val="22"/>
          <w:szCs w:val="22"/>
        </w:rPr>
        <w:t>/vrk. Korkein altistumistaso, jolla haitallista vaikutusta ei voitu havaita (NOEL), oli 15 mg/kg/vrk. Munuaisten adenooma/karsinooma, virtsarakon ja virtsaputken papilloomat, ohutsuolen adenokarsinoomat, lisäkilpirauhasten adenoomat, hyvän- ja pahanlaatuiset lisämunuaisytimen kasvaimet, mahalaukun rauhasista vapaan osan papilloomat/karsinoomat havaittiin annoksella 60 mg/kg/vrk, joka vastaa noin 1,7- tai 1-kertaista ihmisen päivittäistä altistumista (AUC:n perusteella) annostasolla 400 mg/vrk tai 800 mg/vrk ja 1,2-kertaista päivittäistä altistumista lapsilla (AUC:n perusteella) annostasolla 340 mg/m</w:t>
      </w:r>
      <w:r w:rsidRPr="00912A5D">
        <w:rPr>
          <w:rFonts w:ascii="Times New Roman" w:hAnsi="Times New Roman"/>
          <w:sz w:val="22"/>
          <w:szCs w:val="22"/>
          <w:vertAlign w:val="superscript"/>
        </w:rPr>
        <w:t>2</w:t>
      </w:r>
      <w:r w:rsidRPr="00912A5D">
        <w:rPr>
          <w:rFonts w:ascii="Times New Roman" w:hAnsi="Times New Roman"/>
          <w:sz w:val="22"/>
          <w:szCs w:val="22"/>
        </w:rPr>
        <w:t>/vrk. Korkein altistumistaso, jolla haitallista vaikutusta ei voitu havaita (NOEL), oli 30 mg/kg/vrk.</w:t>
      </w:r>
    </w:p>
    <w:p w14:paraId="586FCA5D" w14:textId="77777777" w:rsidR="00AE3698" w:rsidRPr="00912A5D" w:rsidRDefault="00AE3698">
      <w:pPr>
        <w:autoSpaceDE w:val="0"/>
        <w:autoSpaceDN w:val="0"/>
        <w:adjustRightInd w:val="0"/>
        <w:spacing w:line="240" w:lineRule="atLeast"/>
        <w:rPr>
          <w:rFonts w:ascii="Times New Roman" w:hAnsi="Times New Roman"/>
          <w:sz w:val="22"/>
          <w:szCs w:val="22"/>
        </w:rPr>
      </w:pPr>
    </w:p>
    <w:p w14:paraId="586FCA5E" w14:textId="77777777" w:rsidR="00AE3698" w:rsidRPr="00912A5D" w:rsidRDefault="00AE3698">
      <w:pPr>
        <w:rPr>
          <w:rFonts w:ascii="Times New Roman" w:hAnsi="Times New Roman"/>
          <w:sz w:val="22"/>
          <w:szCs w:val="22"/>
        </w:rPr>
      </w:pPr>
      <w:r w:rsidRPr="00912A5D">
        <w:rPr>
          <w:rFonts w:ascii="Times New Roman" w:hAnsi="Times New Roman"/>
          <w:sz w:val="22"/>
          <w:szCs w:val="22"/>
        </w:rPr>
        <w:t>Rottien karsinogeenisuustutkimusten löydösten mekanismia ja merkitystä ihmiselle ei ole vielä selvitetty.</w:t>
      </w:r>
    </w:p>
    <w:p w14:paraId="586FCA5F" w14:textId="77777777" w:rsidR="00AE3698" w:rsidRPr="00912A5D" w:rsidRDefault="00AE3698">
      <w:pPr>
        <w:rPr>
          <w:rFonts w:ascii="Times New Roman" w:hAnsi="Times New Roman"/>
          <w:sz w:val="22"/>
          <w:szCs w:val="22"/>
        </w:rPr>
      </w:pPr>
    </w:p>
    <w:p w14:paraId="586FCA60" w14:textId="77777777" w:rsidR="00AE3698" w:rsidRPr="00912A5D" w:rsidRDefault="00AE3698">
      <w:pPr>
        <w:rPr>
          <w:rFonts w:ascii="Times New Roman" w:hAnsi="Times New Roman"/>
          <w:sz w:val="22"/>
          <w:szCs w:val="22"/>
        </w:rPr>
      </w:pPr>
      <w:r w:rsidRPr="00912A5D">
        <w:rPr>
          <w:rFonts w:ascii="Times New Roman" w:hAnsi="Times New Roman"/>
          <w:sz w:val="22"/>
          <w:szCs w:val="22"/>
        </w:rPr>
        <w:t>Aiemmissa prekliinisissä tutkimuksissa ei kartoitettu ei-neoplastisia vaurioita kardiovaskulaarisessa järjestelmässä, haimassa, endokriinisissä elimissä eikä hampaissa. Tärkeimpiä muutoksia olivat sydänlihaksen liikakasvu ja sydämen laajentuma, jotka johtivat sydämen vajaatoimintaoireisiin joillakin eläimillä.</w:t>
      </w:r>
    </w:p>
    <w:p w14:paraId="586FCA61" w14:textId="77777777" w:rsidR="00291A4D" w:rsidRDefault="00291A4D" w:rsidP="00291A4D">
      <w:pPr>
        <w:widowControl w:val="0"/>
        <w:rPr>
          <w:rFonts w:ascii="Times New Roman" w:hAnsi="Times New Roman"/>
          <w:sz w:val="22"/>
          <w:szCs w:val="22"/>
        </w:rPr>
      </w:pPr>
    </w:p>
    <w:p w14:paraId="586FCA62" w14:textId="77777777" w:rsidR="00291A4D" w:rsidRDefault="00291A4D" w:rsidP="00291A4D">
      <w:pPr>
        <w:widowControl w:val="0"/>
        <w:rPr>
          <w:rFonts w:ascii="Times New Roman" w:hAnsi="Times New Roman"/>
          <w:sz w:val="22"/>
          <w:szCs w:val="22"/>
        </w:rPr>
      </w:pPr>
      <w:r>
        <w:rPr>
          <w:rFonts w:ascii="Times New Roman" w:hAnsi="Times New Roman"/>
          <w:sz w:val="22"/>
          <w:szCs w:val="22"/>
        </w:rPr>
        <w:t>Vaikuttava aine, imatinibi, on ympäristöriski pohjaeläimistölle.</w:t>
      </w:r>
    </w:p>
    <w:p w14:paraId="586FCA63" w14:textId="77777777" w:rsidR="00AE3698" w:rsidRPr="00912A5D" w:rsidRDefault="00AE3698">
      <w:pPr>
        <w:widowControl w:val="0"/>
        <w:rPr>
          <w:rFonts w:ascii="Times New Roman" w:hAnsi="Times New Roman"/>
          <w:sz w:val="22"/>
          <w:szCs w:val="22"/>
        </w:rPr>
      </w:pPr>
    </w:p>
    <w:p w14:paraId="586FCA64" w14:textId="77777777" w:rsidR="00AE3698" w:rsidRPr="00912A5D" w:rsidRDefault="00AE3698">
      <w:pPr>
        <w:pStyle w:val="EndnoteText"/>
        <w:widowControl w:val="0"/>
        <w:tabs>
          <w:tab w:val="clear" w:pos="567"/>
        </w:tabs>
        <w:rPr>
          <w:color w:val="000000"/>
          <w:szCs w:val="22"/>
          <w:lang w:val="fi-FI"/>
        </w:rPr>
      </w:pPr>
    </w:p>
    <w:p w14:paraId="586FCA65" w14:textId="77777777" w:rsidR="00AE3698" w:rsidRPr="00912A5D" w:rsidRDefault="00AE3698" w:rsidP="00CE1795">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lastRenderedPageBreak/>
        <w:t>6.</w:t>
      </w:r>
      <w:r w:rsidRPr="00912A5D">
        <w:rPr>
          <w:rFonts w:ascii="Times New Roman" w:hAnsi="Times New Roman"/>
          <w:b/>
          <w:sz w:val="22"/>
          <w:szCs w:val="22"/>
        </w:rPr>
        <w:tab/>
        <w:t>FARMASEUTTISET TIEDOT</w:t>
      </w:r>
    </w:p>
    <w:p w14:paraId="586FCA66" w14:textId="77777777" w:rsidR="00AE3698" w:rsidRPr="00912A5D" w:rsidRDefault="00AE3698" w:rsidP="00CE1795">
      <w:pPr>
        <w:keepNext/>
        <w:widowControl w:val="0"/>
        <w:suppressAutoHyphens/>
        <w:rPr>
          <w:rFonts w:ascii="Times New Roman" w:hAnsi="Times New Roman"/>
          <w:sz w:val="22"/>
          <w:szCs w:val="22"/>
        </w:rPr>
      </w:pPr>
    </w:p>
    <w:p w14:paraId="586FCA67" w14:textId="77777777" w:rsidR="00AE3698" w:rsidRPr="00912A5D" w:rsidRDefault="00AE3698" w:rsidP="00CE1795">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6.1</w:t>
      </w:r>
      <w:r w:rsidRPr="00912A5D">
        <w:rPr>
          <w:rFonts w:ascii="Times New Roman" w:hAnsi="Times New Roman"/>
          <w:b/>
          <w:sz w:val="22"/>
          <w:szCs w:val="22"/>
        </w:rPr>
        <w:tab/>
        <w:t>Apuaineet</w:t>
      </w:r>
    </w:p>
    <w:p w14:paraId="586FCA68" w14:textId="77777777" w:rsidR="00AE3698" w:rsidRPr="00912A5D" w:rsidRDefault="00AE3698" w:rsidP="00CE1795">
      <w:pPr>
        <w:keepNext/>
        <w:widowControl w:val="0"/>
        <w:rPr>
          <w:rFonts w:ascii="Times New Roman" w:hAnsi="Times New Roman"/>
          <w:sz w:val="22"/>
          <w:szCs w:val="22"/>
        </w:rPr>
      </w:pPr>
    </w:p>
    <w:p w14:paraId="586FCA69"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Tabletin ydin:</w:t>
      </w:r>
    </w:p>
    <w:p w14:paraId="586FCA6A"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Mikrokiteinen selluloosa</w:t>
      </w:r>
    </w:p>
    <w:p w14:paraId="586FCA6B"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Krospovidoni</w:t>
      </w:r>
    </w:p>
    <w:p w14:paraId="586FCA6C"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Hypromelloosi</w:t>
      </w:r>
    </w:p>
    <w:p w14:paraId="586FCA6D"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Magnesiumstearaatti</w:t>
      </w:r>
    </w:p>
    <w:p w14:paraId="586FCA6E"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Vedetön kolloidinen piidioksidi</w:t>
      </w:r>
    </w:p>
    <w:p w14:paraId="586FCA6F" w14:textId="77777777" w:rsidR="00AE3698" w:rsidRPr="00912A5D" w:rsidRDefault="00AE3698">
      <w:pPr>
        <w:widowControl w:val="0"/>
        <w:tabs>
          <w:tab w:val="left" w:pos="1771"/>
          <w:tab w:val="left" w:pos="9210"/>
        </w:tabs>
        <w:rPr>
          <w:rFonts w:ascii="Times New Roman" w:hAnsi="Times New Roman"/>
          <w:sz w:val="22"/>
          <w:szCs w:val="22"/>
        </w:rPr>
      </w:pPr>
    </w:p>
    <w:p w14:paraId="586FCA70"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Tabletin päällyste:</w:t>
      </w:r>
    </w:p>
    <w:p w14:paraId="586FCA71"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Punainen rautaoksidi (E172)</w:t>
      </w:r>
    </w:p>
    <w:p w14:paraId="586FCA72"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Keltainen rautaoksidi (E172)</w:t>
      </w:r>
    </w:p>
    <w:p w14:paraId="586FCA73"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Makrogoli</w:t>
      </w:r>
    </w:p>
    <w:p w14:paraId="586FCA74" w14:textId="77777777" w:rsidR="00AE3698" w:rsidRPr="00912A5D" w:rsidRDefault="00AE3698" w:rsidP="00CE1795">
      <w:pPr>
        <w:keepNext/>
        <w:widowControl w:val="0"/>
        <w:rPr>
          <w:rFonts w:ascii="Times New Roman" w:hAnsi="Times New Roman"/>
          <w:sz w:val="22"/>
          <w:szCs w:val="22"/>
        </w:rPr>
      </w:pPr>
      <w:r w:rsidRPr="00912A5D">
        <w:rPr>
          <w:rFonts w:ascii="Times New Roman" w:hAnsi="Times New Roman"/>
          <w:sz w:val="22"/>
          <w:szCs w:val="22"/>
        </w:rPr>
        <w:t>Talkki</w:t>
      </w:r>
    </w:p>
    <w:p w14:paraId="586FCA75"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Hypromelloosi</w:t>
      </w:r>
    </w:p>
    <w:p w14:paraId="586FCA76" w14:textId="77777777" w:rsidR="00AE3698" w:rsidRPr="00912A5D" w:rsidRDefault="00AE3698">
      <w:pPr>
        <w:widowControl w:val="0"/>
        <w:rPr>
          <w:rFonts w:ascii="Times New Roman" w:hAnsi="Times New Roman"/>
          <w:sz w:val="22"/>
          <w:szCs w:val="22"/>
        </w:rPr>
      </w:pPr>
    </w:p>
    <w:p w14:paraId="586FCA77" w14:textId="77777777" w:rsidR="00AE3698" w:rsidRPr="00912A5D" w:rsidRDefault="00AE3698" w:rsidP="00CE1795">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6.2</w:t>
      </w:r>
      <w:r w:rsidRPr="00912A5D">
        <w:rPr>
          <w:rFonts w:ascii="Times New Roman" w:hAnsi="Times New Roman"/>
          <w:b/>
          <w:sz w:val="22"/>
          <w:szCs w:val="22"/>
        </w:rPr>
        <w:tab/>
        <w:t>Yhteensopimattomuudet</w:t>
      </w:r>
    </w:p>
    <w:p w14:paraId="586FCA78" w14:textId="77777777" w:rsidR="00AE3698" w:rsidRPr="00912A5D" w:rsidRDefault="00AE3698" w:rsidP="00CE1795">
      <w:pPr>
        <w:keepNext/>
        <w:widowControl w:val="0"/>
        <w:rPr>
          <w:rFonts w:ascii="Times New Roman" w:hAnsi="Times New Roman"/>
          <w:sz w:val="22"/>
          <w:szCs w:val="22"/>
        </w:rPr>
      </w:pPr>
    </w:p>
    <w:p w14:paraId="586FCA79"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Ei oleellinen.</w:t>
      </w:r>
    </w:p>
    <w:p w14:paraId="586FCA7A" w14:textId="77777777" w:rsidR="00AE3698" w:rsidRPr="00912A5D" w:rsidRDefault="00AE3698">
      <w:pPr>
        <w:pStyle w:val="EndnoteText"/>
        <w:widowControl w:val="0"/>
        <w:tabs>
          <w:tab w:val="clear" w:pos="567"/>
        </w:tabs>
        <w:rPr>
          <w:color w:val="000000"/>
          <w:szCs w:val="22"/>
          <w:lang w:val="fi-FI"/>
        </w:rPr>
      </w:pPr>
    </w:p>
    <w:p w14:paraId="586FCA7B" w14:textId="77777777" w:rsidR="00AE3698" w:rsidRPr="00912A5D" w:rsidRDefault="00AE3698" w:rsidP="00CE1795">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6.3</w:t>
      </w:r>
      <w:r w:rsidRPr="00912A5D">
        <w:rPr>
          <w:rFonts w:ascii="Times New Roman" w:hAnsi="Times New Roman"/>
          <w:b/>
          <w:sz w:val="22"/>
          <w:szCs w:val="22"/>
        </w:rPr>
        <w:tab/>
        <w:t>Kestoaika</w:t>
      </w:r>
    </w:p>
    <w:p w14:paraId="586FCA7C" w14:textId="77777777" w:rsidR="00AE3698" w:rsidRPr="00912A5D" w:rsidRDefault="00AE3698" w:rsidP="00CE1795">
      <w:pPr>
        <w:keepNext/>
        <w:widowControl w:val="0"/>
        <w:rPr>
          <w:rFonts w:ascii="Times New Roman" w:hAnsi="Times New Roman"/>
          <w:sz w:val="22"/>
          <w:szCs w:val="22"/>
        </w:rPr>
      </w:pPr>
    </w:p>
    <w:p w14:paraId="586FCA7D"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3 vuotta</w:t>
      </w:r>
    </w:p>
    <w:p w14:paraId="586FCA7E" w14:textId="77777777" w:rsidR="00AE3698" w:rsidRPr="00912A5D" w:rsidRDefault="00AE3698">
      <w:pPr>
        <w:pStyle w:val="EndnoteText"/>
        <w:widowControl w:val="0"/>
        <w:tabs>
          <w:tab w:val="clear" w:pos="567"/>
        </w:tabs>
        <w:rPr>
          <w:color w:val="000000"/>
          <w:szCs w:val="22"/>
          <w:lang w:val="fi-FI"/>
        </w:rPr>
      </w:pPr>
    </w:p>
    <w:p w14:paraId="586FCA7F" w14:textId="77777777" w:rsidR="00AE3698" w:rsidRPr="00912A5D" w:rsidRDefault="00AE3698" w:rsidP="00CE1795">
      <w:pPr>
        <w:keepNext/>
        <w:widowControl w:val="0"/>
        <w:suppressAutoHyphens/>
        <w:ind w:left="567" w:hanging="567"/>
        <w:rPr>
          <w:rFonts w:ascii="Times New Roman" w:hAnsi="Times New Roman"/>
          <w:b/>
          <w:sz w:val="22"/>
          <w:szCs w:val="22"/>
        </w:rPr>
      </w:pPr>
      <w:r w:rsidRPr="00912A5D">
        <w:rPr>
          <w:rFonts w:ascii="Times New Roman" w:hAnsi="Times New Roman"/>
          <w:b/>
          <w:sz w:val="22"/>
          <w:szCs w:val="22"/>
        </w:rPr>
        <w:t>6.4</w:t>
      </w:r>
      <w:r w:rsidRPr="00912A5D">
        <w:rPr>
          <w:rFonts w:ascii="Times New Roman" w:hAnsi="Times New Roman"/>
          <w:b/>
          <w:sz w:val="22"/>
          <w:szCs w:val="22"/>
        </w:rPr>
        <w:tab/>
        <w:t>Säilytys</w:t>
      </w:r>
    </w:p>
    <w:p w14:paraId="586FCA80" w14:textId="77777777" w:rsidR="00AE3698" w:rsidRPr="00912A5D" w:rsidRDefault="00AE3698" w:rsidP="00CE1795">
      <w:pPr>
        <w:keepNext/>
        <w:widowControl w:val="0"/>
        <w:rPr>
          <w:rFonts w:ascii="Times New Roman" w:hAnsi="Times New Roman"/>
          <w:sz w:val="22"/>
          <w:szCs w:val="22"/>
        </w:rPr>
      </w:pPr>
    </w:p>
    <w:p w14:paraId="586FCA81"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Säilytä alle 30</w:t>
      </w:r>
      <w:r w:rsidRPr="00912A5D">
        <w:rPr>
          <w:rFonts w:ascii="Times New Roman" w:hAnsi="Times New Roman"/>
          <w:sz w:val="22"/>
          <w:szCs w:val="22"/>
        </w:rPr>
        <w:sym w:font="Symbol" w:char="F0B0"/>
      </w:r>
      <w:r w:rsidRPr="00912A5D">
        <w:rPr>
          <w:rFonts w:ascii="Times New Roman" w:hAnsi="Times New Roman"/>
          <w:sz w:val="22"/>
          <w:szCs w:val="22"/>
        </w:rPr>
        <w:t>C.</w:t>
      </w:r>
    </w:p>
    <w:p w14:paraId="586FCA82" w14:textId="77777777" w:rsidR="00AE3698" w:rsidRPr="00912A5D" w:rsidRDefault="00AE3698">
      <w:pPr>
        <w:widowControl w:val="0"/>
        <w:rPr>
          <w:rFonts w:ascii="Times New Roman" w:hAnsi="Times New Roman"/>
          <w:sz w:val="22"/>
          <w:szCs w:val="22"/>
        </w:rPr>
      </w:pPr>
    </w:p>
    <w:p w14:paraId="586FCA83" w14:textId="77777777" w:rsidR="00AE3698" w:rsidRPr="00912A5D" w:rsidRDefault="00AE3698">
      <w:pPr>
        <w:widowControl w:val="0"/>
        <w:rPr>
          <w:rFonts w:ascii="Times New Roman" w:hAnsi="Times New Roman"/>
          <w:sz w:val="22"/>
          <w:szCs w:val="22"/>
        </w:rPr>
      </w:pPr>
      <w:r w:rsidRPr="00912A5D">
        <w:rPr>
          <w:rFonts w:ascii="Times New Roman" w:hAnsi="Times New Roman"/>
          <w:sz w:val="22"/>
          <w:szCs w:val="22"/>
        </w:rPr>
        <w:t>Säilytä alkuperäispakkauksessa. Herkkä kosteudelle.</w:t>
      </w:r>
    </w:p>
    <w:p w14:paraId="586FCA84" w14:textId="77777777" w:rsidR="00AE3698" w:rsidRPr="00912A5D" w:rsidRDefault="00AE3698">
      <w:pPr>
        <w:widowControl w:val="0"/>
        <w:rPr>
          <w:rFonts w:ascii="Times New Roman" w:hAnsi="Times New Roman"/>
          <w:sz w:val="22"/>
          <w:szCs w:val="22"/>
        </w:rPr>
      </w:pPr>
    </w:p>
    <w:p w14:paraId="586FCA85" w14:textId="77777777" w:rsidR="00AE3698" w:rsidRPr="00912A5D" w:rsidRDefault="00AE3698" w:rsidP="00CE1795">
      <w:pPr>
        <w:keepNext/>
        <w:widowControl w:val="0"/>
        <w:suppressAutoHyphens/>
        <w:ind w:left="570" w:hanging="570"/>
        <w:rPr>
          <w:rFonts w:ascii="Times New Roman" w:hAnsi="Times New Roman"/>
          <w:b/>
          <w:sz w:val="22"/>
          <w:szCs w:val="22"/>
        </w:rPr>
      </w:pPr>
      <w:r w:rsidRPr="00912A5D">
        <w:rPr>
          <w:rFonts w:ascii="Times New Roman" w:hAnsi="Times New Roman"/>
          <w:b/>
          <w:sz w:val="22"/>
          <w:szCs w:val="22"/>
        </w:rPr>
        <w:t>6.5</w:t>
      </w:r>
      <w:r w:rsidRPr="00912A5D">
        <w:rPr>
          <w:rFonts w:ascii="Times New Roman" w:hAnsi="Times New Roman"/>
          <w:b/>
          <w:sz w:val="22"/>
          <w:szCs w:val="22"/>
        </w:rPr>
        <w:tab/>
        <w:t>Pakkaustyyppi ja pakkauskoot</w:t>
      </w:r>
    </w:p>
    <w:p w14:paraId="586FCA86" w14:textId="77777777" w:rsidR="00AE3698" w:rsidRPr="00912A5D" w:rsidRDefault="00AE3698" w:rsidP="00CE1795">
      <w:pPr>
        <w:pStyle w:val="EndnoteText"/>
        <w:keepNext/>
        <w:widowControl w:val="0"/>
        <w:tabs>
          <w:tab w:val="clear" w:pos="567"/>
        </w:tabs>
        <w:rPr>
          <w:color w:val="000000"/>
          <w:szCs w:val="22"/>
          <w:lang w:val="fi-FI"/>
        </w:rPr>
      </w:pPr>
    </w:p>
    <w:p w14:paraId="586FCA87" w14:textId="77777777" w:rsidR="006C14E0" w:rsidRPr="008A5B9A" w:rsidRDefault="006C14E0" w:rsidP="00CE1795">
      <w:pPr>
        <w:pStyle w:val="EndnoteText"/>
        <w:keepNext/>
        <w:widowControl w:val="0"/>
        <w:tabs>
          <w:tab w:val="clear" w:pos="567"/>
        </w:tabs>
        <w:rPr>
          <w:color w:val="000000"/>
          <w:szCs w:val="22"/>
          <w:u w:val="single"/>
          <w:lang w:val="fi-FI"/>
        </w:rPr>
      </w:pPr>
      <w:r w:rsidRPr="008A5B9A">
        <w:rPr>
          <w:color w:val="000000"/>
          <w:szCs w:val="22"/>
          <w:u w:val="single"/>
          <w:lang w:val="fi-FI"/>
        </w:rPr>
        <w:t>Glivec 100 mg kalvopäällysteiset tabletit</w:t>
      </w:r>
    </w:p>
    <w:p w14:paraId="586FCA88" w14:textId="77777777" w:rsidR="00AE3698" w:rsidRPr="003369BC" w:rsidRDefault="00AE3698" w:rsidP="008A5B9A">
      <w:pPr>
        <w:widowControl w:val="0"/>
        <w:rPr>
          <w:rFonts w:ascii="Times New Roman" w:hAnsi="Times New Roman"/>
          <w:sz w:val="22"/>
          <w:szCs w:val="22"/>
        </w:rPr>
      </w:pPr>
      <w:r w:rsidRPr="003369BC">
        <w:rPr>
          <w:rFonts w:ascii="Times New Roman" w:hAnsi="Times New Roman"/>
          <w:sz w:val="22"/>
          <w:szCs w:val="22"/>
        </w:rPr>
        <w:t>PVC/alumiini-läpipainopakkaukset</w:t>
      </w:r>
    </w:p>
    <w:p w14:paraId="586FCA89" w14:textId="77777777" w:rsidR="00AE3698" w:rsidRPr="00912A5D" w:rsidRDefault="00AE3698">
      <w:pPr>
        <w:pStyle w:val="EndnoteText"/>
        <w:widowControl w:val="0"/>
        <w:tabs>
          <w:tab w:val="clear" w:pos="567"/>
        </w:tabs>
        <w:rPr>
          <w:color w:val="000000"/>
          <w:szCs w:val="22"/>
          <w:lang w:val="fi-FI"/>
        </w:rPr>
      </w:pPr>
      <w:r w:rsidRPr="00912A5D">
        <w:rPr>
          <w:color w:val="000000"/>
          <w:szCs w:val="22"/>
          <w:lang w:val="fi-FI"/>
        </w:rPr>
        <w:t>20, 60, 120 tai 180 kalvopäällysteistä tablettia sisältävät pakkaukset.</w:t>
      </w:r>
    </w:p>
    <w:p w14:paraId="586FCA8A" w14:textId="77777777" w:rsidR="003369BC" w:rsidRDefault="003369BC" w:rsidP="003369BC">
      <w:pPr>
        <w:pStyle w:val="EndnoteText"/>
        <w:widowControl w:val="0"/>
        <w:tabs>
          <w:tab w:val="clear" w:pos="567"/>
        </w:tabs>
        <w:rPr>
          <w:color w:val="000000"/>
          <w:szCs w:val="22"/>
          <w:lang w:val="fi-FI"/>
        </w:rPr>
      </w:pPr>
    </w:p>
    <w:p w14:paraId="586FCA8B" w14:textId="77777777" w:rsidR="003369BC" w:rsidRPr="008A5B9A" w:rsidRDefault="003369BC" w:rsidP="003369BC">
      <w:pPr>
        <w:pStyle w:val="EndnoteText"/>
        <w:widowControl w:val="0"/>
        <w:tabs>
          <w:tab w:val="clear" w:pos="567"/>
        </w:tabs>
        <w:rPr>
          <w:szCs w:val="22"/>
          <w:lang w:val="fi-FI"/>
        </w:rPr>
      </w:pPr>
      <w:r w:rsidRPr="00912A5D">
        <w:rPr>
          <w:color w:val="000000"/>
          <w:szCs w:val="22"/>
          <w:lang w:val="fi-FI"/>
        </w:rPr>
        <w:t>PV</w:t>
      </w:r>
      <w:r>
        <w:rPr>
          <w:color w:val="000000"/>
          <w:szCs w:val="22"/>
          <w:lang w:val="fi-FI"/>
        </w:rPr>
        <w:t>D</w:t>
      </w:r>
      <w:r w:rsidRPr="00912A5D">
        <w:rPr>
          <w:color w:val="000000"/>
          <w:szCs w:val="22"/>
          <w:lang w:val="fi-FI"/>
        </w:rPr>
        <w:t>C/alumiini-läpipainopakkaukset</w:t>
      </w:r>
    </w:p>
    <w:p w14:paraId="586FCA8C" w14:textId="77777777" w:rsidR="003369BC" w:rsidRPr="00912A5D" w:rsidRDefault="00324DEB" w:rsidP="003369BC">
      <w:pPr>
        <w:pStyle w:val="EndnoteText"/>
        <w:widowControl w:val="0"/>
        <w:tabs>
          <w:tab w:val="clear" w:pos="567"/>
        </w:tabs>
        <w:rPr>
          <w:color w:val="000000"/>
          <w:szCs w:val="22"/>
          <w:lang w:val="fi-FI"/>
        </w:rPr>
      </w:pPr>
      <w:r>
        <w:rPr>
          <w:color w:val="000000"/>
          <w:szCs w:val="22"/>
          <w:lang w:val="fi-FI"/>
        </w:rPr>
        <w:t>6</w:t>
      </w:r>
      <w:r w:rsidR="003369BC" w:rsidRPr="00912A5D">
        <w:rPr>
          <w:color w:val="000000"/>
          <w:szCs w:val="22"/>
          <w:lang w:val="fi-FI"/>
        </w:rPr>
        <w:t xml:space="preserve">0, </w:t>
      </w:r>
      <w:r w:rsidR="003369BC">
        <w:rPr>
          <w:color w:val="000000"/>
          <w:szCs w:val="22"/>
          <w:lang w:val="fi-FI"/>
        </w:rPr>
        <w:t>120</w:t>
      </w:r>
      <w:r w:rsidR="003369BC" w:rsidRPr="00912A5D">
        <w:rPr>
          <w:color w:val="000000"/>
          <w:szCs w:val="22"/>
          <w:lang w:val="fi-FI"/>
        </w:rPr>
        <w:t xml:space="preserve"> tai </w:t>
      </w:r>
      <w:r w:rsidR="003369BC">
        <w:rPr>
          <w:color w:val="000000"/>
          <w:szCs w:val="22"/>
          <w:lang w:val="fi-FI"/>
        </w:rPr>
        <w:t>180</w:t>
      </w:r>
      <w:r w:rsidR="003369BC" w:rsidRPr="00912A5D">
        <w:rPr>
          <w:color w:val="000000"/>
          <w:szCs w:val="22"/>
          <w:lang w:val="fi-FI"/>
        </w:rPr>
        <w:t> kalvopäällysteistä tablettia sisältävät pakkaukset.</w:t>
      </w:r>
    </w:p>
    <w:p w14:paraId="586FCA8D" w14:textId="77777777" w:rsidR="00AE3698" w:rsidRDefault="00AE3698">
      <w:pPr>
        <w:pStyle w:val="EndnoteText"/>
        <w:widowControl w:val="0"/>
        <w:tabs>
          <w:tab w:val="clear" w:pos="567"/>
        </w:tabs>
        <w:rPr>
          <w:color w:val="000000"/>
          <w:szCs w:val="22"/>
          <w:lang w:val="fi-FI"/>
        </w:rPr>
      </w:pPr>
    </w:p>
    <w:p w14:paraId="586FCA8E" w14:textId="77777777" w:rsidR="006C14E0" w:rsidRPr="006C14E0" w:rsidRDefault="006C14E0" w:rsidP="00CE1795">
      <w:pPr>
        <w:pStyle w:val="EndnoteText"/>
        <w:keepNext/>
        <w:widowControl w:val="0"/>
        <w:tabs>
          <w:tab w:val="clear" w:pos="567"/>
        </w:tabs>
        <w:rPr>
          <w:color w:val="000000"/>
          <w:szCs w:val="22"/>
          <w:u w:val="single"/>
          <w:lang w:val="fi-FI"/>
        </w:rPr>
      </w:pPr>
      <w:r w:rsidRPr="006C14E0">
        <w:rPr>
          <w:color w:val="000000"/>
          <w:szCs w:val="22"/>
          <w:u w:val="single"/>
          <w:lang w:val="fi-FI"/>
        </w:rPr>
        <w:t xml:space="preserve">Glivec </w:t>
      </w:r>
      <w:r>
        <w:rPr>
          <w:color w:val="000000"/>
          <w:szCs w:val="22"/>
          <w:u w:val="single"/>
          <w:lang w:val="fi-FI"/>
        </w:rPr>
        <w:t>4</w:t>
      </w:r>
      <w:r w:rsidRPr="006C14E0">
        <w:rPr>
          <w:color w:val="000000"/>
          <w:szCs w:val="22"/>
          <w:u w:val="single"/>
          <w:lang w:val="fi-FI"/>
        </w:rPr>
        <w:t>00 mg kalvopäällysteiset tabletit</w:t>
      </w:r>
    </w:p>
    <w:p w14:paraId="586FCA8F" w14:textId="77777777" w:rsidR="006C14E0" w:rsidRPr="008A5B9A" w:rsidRDefault="006C14E0" w:rsidP="006C14E0">
      <w:pPr>
        <w:pStyle w:val="EndnoteText"/>
        <w:widowControl w:val="0"/>
        <w:tabs>
          <w:tab w:val="clear" w:pos="567"/>
        </w:tabs>
        <w:rPr>
          <w:szCs w:val="22"/>
          <w:lang w:val="fi-FI"/>
        </w:rPr>
      </w:pPr>
      <w:r w:rsidRPr="00912A5D">
        <w:rPr>
          <w:color w:val="000000"/>
          <w:szCs w:val="22"/>
          <w:lang w:val="fi-FI"/>
        </w:rPr>
        <w:t>PV</w:t>
      </w:r>
      <w:r w:rsidR="00B777E1">
        <w:rPr>
          <w:color w:val="000000"/>
          <w:szCs w:val="22"/>
          <w:lang w:val="fi-FI"/>
        </w:rPr>
        <w:t>D</w:t>
      </w:r>
      <w:r w:rsidRPr="00912A5D">
        <w:rPr>
          <w:color w:val="000000"/>
          <w:szCs w:val="22"/>
          <w:lang w:val="fi-FI"/>
        </w:rPr>
        <w:t>C/alumiini-läpipainopakkaukset</w:t>
      </w:r>
    </w:p>
    <w:p w14:paraId="586FCA90" w14:textId="77777777" w:rsidR="006C14E0" w:rsidRPr="00912A5D" w:rsidRDefault="006C14E0" w:rsidP="006C14E0">
      <w:pPr>
        <w:pStyle w:val="EndnoteText"/>
        <w:widowControl w:val="0"/>
        <w:tabs>
          <w:tab w:val="clear" w:pos="567"/>
        </w:tabs>
        <w:rPr>
          <w:color w:val="000000"/>
          <w:szCs w:val="22"/>
          <w:lang w:val="fi-FI"/>
        </w:rPr>
      </w:pPr>
      <w:r>
        <w:rPr>
          <w:color w:val="000000"/>
          <w:szCs w:val="22"/>
          <w:lang w:val="fi-FI"/>
        </w:rPr>
        <w:t>1</w:t>
      </w:r>
      <w:r w:rsidRPr="00912A5D">
        <w:rPr>
          <w:color w:val="000000"/>
          <w:szCs w:val="22"/>
          <w:lang w:val="fi-FI"/>
        </w:rPr>
        <w:t xml:space="preserve">0, </w:t>
      </w:r>
      <w:r>
        <w:rPr>
          <w:color w:val="000000"/>
          <w:szCs w:val="22"/>
          <w:lang w:val="fi-FI"/>
        </w:rPr>
        <w:t>3</w:t>
      </w:r>
      <w:r w:rsidRPr="00912A5D">
        <w:rPr>
          <w:color w:val="000000"/>
          <w:szCs w:val="22"/>
          <w:lang w:val="fi-FI"/>
        </w:rPr>
        <w:t xml:space="preserve">0 tai </w:t>
      </w:r>
      <w:r>
        <w:rPr>
          <w:color w:val="000000"/>
          <w:szCs w:val="22"/>
          <w:lang w:val="fi-FI"/>
        </w:rPr>
        <w:t>9</w:t>
      </w:r>
      <w:r w:rsidRPr="00912A5D">
        <w:rPr>
          <w:color w:val="000000"/>
          <w:szCs w:val="22"/>
          <w:lang w:val="fi-FI"/>
        </w:rPr>
        <w:t>0 kalvopäällysteistä tablettia sisältävät pakkaukset.</w:t>
      </w:r>
    </w:p>
    <w:p w14:paraId="586FCA91" w14:textId="77777777" w:rsidR="006C14E0" w:rsidRPr="00912A5D" w:rsidRDefault="006C14E0">
      <w:pPr>
        <w:pStyle w:val="EndnoteText"/>
        <w:widowControl w:val="0"/>
        <w:tabs>
          <w:tab w:val="clear" w:pos="567"/>
        </w:tabs>
        <w:rPr>
          <w:color w:val="000000"/>
          <w:szCs w:val="22"/>
          <w:lang w:val="fi-FI"/>
        </w:rPr>
      </w:pPr>
    </w:p>
    <w:p w14:paraId="586FCA92" w14:textId="77777777" w:rsidR="006231B9" w:rsidRPr="00912A5D" w:rsidRDefault="006231B9" w:rsidP="006231B9">
      <w:pPr>
        <w:pStyle w:val="EndnoteText"/>
        <w:widowControl w:val="0"/>
        <w:tabs>
          <w:tab w:val="clear" w:pos="567"/>
        </w:tabs>
        <w:rPr>
          <w:color w:val="000000"/>
          <w:szCs w:val="22"/>
          <w:lang w:val="fi-FI"/>
        </w:rPr>
      </w:pPr>
      <w:r w:rsidRPr="00912A5D">
        <w:rPr>
          <w:color w:val="000000"/>
          <w:szCs w:val="22"/>
          <w:lang w:val="fi-FI"/>
        </w:rPr>
        <w:t>Kaikkia pakkauskokoja ei välttämättä ole myynnissä.</w:t>
      </w:r>
    </w:p>
    <w:p w14:paraId="586FCA93" w14:textId="77777777" w:rsidR="00AE3698" w:rsidRPr="00912A5D" w:rsidRDefault="00AE3698">
      <w:pPr>
        <w:pStyle w:val="EndnoteText"/>
        <w:widowControl w:val="0"/>
        <w:tabs>
          <w:tab w:val="clear" w:pos="567"/>
        </w:tabs>
        <w:rPr>
          <w:color w:val="000000"/>
          <w:szCs w:val="22"/>
          <w:lang w:val="fi-FI"/>
        </w:rPr>
      </w:pPr>
    </w:p>
    <w:p w14:paraId="586FCA94" w14:textId="77777777" w:rsidR="00AE3698" w:rsidRPr="00912A5D" w:rsidRDefault="00AE3698" w:rsidP="00CE1795">
      <w:pPr>
        <w:keepNext/>
        <w:suppressAutoHyphens/>
        <w:ind w:left="567" w:hanging="567"/>
        <w:rPr>
          <w:rFonts w:ascii="Times New Roman" w:hAnsi="Times New Roman"/>
          <w:b/>
          <w:noProof/>
          <w:sz w:val="22"/>
          <w:szCs w:val="22"/>
        </w:rPr>
      </w:pPr>
      <w:r w:rsidRPr="00912A5D">
        <w:rPr>
          <w:rFonts w:ascii="Times New Roman" w:hAnsi="Times New Roman"/>
          <w:b/>
          <w:noProof/>
          <w:sz w:val="22"/>
          <w:szCs w:val="22"/>
        </w:rPr>
        <w:t>6.6</w:t>
      </w:r>
      <w:r w:rsidRPr="00912A5D">
        <w:rPr>
          <w:rFonts w:ascii="Times New Roman" w:hAnsi="Times New Roman"/>
          <w:b/>
          <w:noProof/>
          <w:sz w:val="22"/>
          <w:szCs w:val="22"/>
        </w:rPr>
        <w:tab/>
        <w:t>Erityiset varotoimet hävittämiselle</w:t>
      </w:r>
    </w:p>
    <w:p w14:paraId="586FCA95" w14:textId="77777777" w:rsidR="00AE3698" w:rsidRPr="00912A5D" w:rsidRDefault="00AE3698" w:rsidP="00CE1795">
      <w:pPr>
        <w:pStyle w:val="EndnoteText"/>
        <w:keepNext/>
        <w:widowControl w:val="0"/>
        <w:tabs>
          <w:tab w:val="clear" w:pos="567"/>
        </w:tabs>
        <w:rPr>
          <w:color w:val="000000"/>
          <w:szCs w:val="22"/>
          <w:lang w:val="fi-FI"/>
        </w:rPr>
      </w:pPr>
    </w:p>
    <w:p w14:paraId="586FCA96" w14:textId="77777777" w:rsidR="00AE3698" w:rsidRPr="00912A5D" w:rsidRDefault="00291A4D">
      <w:pPr>
        <w:pStyle w:val="EndnoteText"/>
        <w:widowControl w:val="0"/>
        <w:tabs>
          <w:tab w:val="clear" w:pos="567"/>
        </w:tabs>
        <w:rPr>
          <w:color w:val="000000"/>
          <w:szCs w:val="22"/>
          <w:lang w:val="fi-FI"/>
        </w:rPr>
      </w:pPr>
      <w:r w:rsidRPr="00373055">
        <w:rPr>
          <w:noProof/>
          <w:snapToGrid w:val="0"/>
          <w:szCs w:val="24"/>
          <w:lang w:val="fi-FI"/>
        </w:rPr>
        <w:t>Käyttämätön lääkevalmiste tai jäte on hävitettävä paikallisten vaatimusten mukaisesti.</w:t>
      </w:r>
    </w:p>
    <w:p w14:paraId="586FCA97" w14:textId="77777777" w:rsidR="00AE3698" w:rsidRDefault="00AE3698">
      <w:pPr>
        <w:pStyle w:val="EndnoteText"/>
        <w:widowControl w:val="0"/>
        <w:tabs>
          <w:tab w:val="clear" w:pos="567"/>
        </w:tabs>
        <w:rPr>
          <w:color w:val="000000"/>
          <w:szCs w:val="22"/>
          <w:lang w:val="fi-FI"/>
        </w:rPr>
      </w:pPr>
    </w:p>
    <w:p w14:paraId="586FCA98" w14:textId="77777777" w:rsidR="003B7063" w:rsidRPr="00912A5D" w:rsidRDefault="003B7063">
      <w:pPr>
        <w:pStyle w:val="EndnoteText"/>
        <w:widowControl w:val="0"/>
        <w:tabs>
          <w:tab w:val="clear" w:pos="567"/>
        </w:tabs>
        <w:rPr>
          <w:color w:val="000000"/>
          <w:szCs w:val="22"/>
          <w:lang w:val="fi-FI"/>
        </w:rPr>
      </w:pPr>
    </w:p>
    <w:p w14:paraId="586FCA99" w14:textId="77777777" w:rsidR="00AE3698" w:rsidRPr="00112B38" w:rsidRDefault="00AE3698" w:rsidP="00CE1795">
      <w:pPr>
        <w:keepNext/>
        <w:widowControl w:val="0"/>
        <w:suppressAutoHyphens/>
        <w:ind w:left="567" w:hanging="567"/>
        <w:rPr>
          <w:rFonts w:ascii="Times New Roman" w:hAnsi="Times New Roman"/>
          <w:sz w:val="22"/>
          <w:szCs w:val="22"/>
          <w:lang w:val="en-US"/>
        </w:rPr>
      </w:pPr>
      <w:r w:rsidRPr="00112B38">
        <w:rPr>
          <w:rFonts w:ascii="Times New Roman" w:hAnsi="Times New Roman"/>
          <w:b/>
          <w:sz w:val="22"/>
          <w:szCs w:val="22"/>
          <w:lang w:val="en-US"/>
        </w:rPr>
        <w:lastRenderedPageBreak/>
        <w:t>7.</w:t>
      </w:r>
      <w:r w:rsidRPr="00112B38">
        <w:rPr>
          <w:rFonts w:ascii="Times New Roman" w:hAnsi="Times New Roman"/>
          <w:b/>
          <w:sz w:val="22"/>
          <w:szCs w:val="22"/>
          <w:lang w:val="en-US"/>
        </w:rPr>
        <w:tab/>
        <w:t>MYYNTILUVAN HALTIJA</w:t>
      </w:r>
    </w:p>
    <w:p w14:paraId="586FCA9A" w14:textId="77777777" w:rsidR="00AE3698" w:rsidRPr="00112B38" w:rsidRDefault="00AE3698" w:rsidP="00CE1795">
      <w:pPr>
        <w:pStyle w:val="EndnoteText"/>
        <w:keepNext/>
        <w:widowControl w:val="0"/>
        <w:tabs>
          <w:tab w:val="clear" w:pos="567"/>
        </w:tabs>
        <w:rPr>
          <w:color w:val="000000"/>
          <w:szCs w:val="22"/>
          <w:lang w:val="en-US"/>
        </w:rPr>
      </w:pPr>
    </w:p>
    <w:p w14:paraId="586FCA9B" w14:textId="77777777" w:rsidR="00AE3698" w:rsidRPr="00112B38" w:rsidRDefault="00AE3698" w:rsidP="00CE1795">
      <w:pPr>
        <w:keepNext/>
        <w:widowControl w:val="0"/>
        <w:rPr>
          <w:rFonts w:ascii="Times New Roman" w:hAnsi="Times New Roman"/>
          <w:sz w:val="22"/>
          <w:szCs w:val="22"/>
          <w:lang w:val="en-US"/>
        </w:rPr>
      </w:pPr>
      <w:r w:rsidRPr="00112B38">
        <w:rPr>
          <w:rFonts w:ascii="Times New Roman" w:hAnsi="Times New Roman"/>
          <w:sz w:val="22"/>
          <w:szCs w:val="22"/>
          <w:lang w:val="en-US"/>
        </w:rPr>
        <w:t>Novartis Europharm Limited</w:t>
      </w:r>
    </w:p>
    <w:p w14:paraId="586FCA9C"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Vista Building</w:t>
      </w:r>
    </w:p>
    <w:p w14:paraId="586FCA9D"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Elm Park, Merrion Road</w:t>
      </w:r>
    </w:p>
    <w:p w14:paraId="586FCA9E" w14:textId="77777777" w:rsidR="00A331BE" w:rsidRPr="00A331BE" w:rsidRDefault="00A331BE" w:rsidP="00A331BE">
      <w:pPr>
        <w:keepNext/>
        <w:widowControl w:val="0"/>
        <w:rPr>
          <w:rFonts w:ascii="Times New Roman" w:hAnsi="Times New Roman"/>
          <w:sz w:val="22"/>
          <w:szCs w:val="22"/>
        </w:rPr>
      </w:pPr>
      <w:r w:rsidRPr="00A331BE">
        <w:rPr>
          <w:rFonts w:ascii="Times New Roman" w:hAnsi="Times New Roman"/>
          <w:sz w:val="22"/>
          <w:szCs w:val="22"/>
        </w:rPr>
        <w:t>Dublin 4</w:t>
      </w:r>
    </w:p>
    <w:p w14:paraId="586FCA9F" w14:textId="77777777" w:rsidR="00A331BE" w:rsidRPr="00A331BE" w:rsidRDefault="00A331BE" w:rsidP="00A331BE">
      <w:pPr>
        <w:rPr>
          <w:rFonts w:ascii="Times New Roman" w:hAnsi="Times New Roman"/>
          <w:sz w:val="22"/>
          <w:szCs w:val="22"/>
        </w:rPr>
      </w:pPr>
      <w:r w:rsidRPr="00A331BE">
        <w:rPr>
          <w:rFonts w:ascii="Times New Roman" w:hAnsi="Times New Roman"/>
          <w:sz w:val="22"/>
          <w:szCs w:val="22"/>
        </w:rPr>
        <w:t>Irlanti</w:t>
      </w:r>
    </w:p>
    <w:p w14:paraId="586FCAA0" w14:textId="77777777" w:rsidR="00AE3698" w:rsidRPr="00912A5D" w:rsidRDefault="00AE3698">
      <w:pPr>
        <w:widowControl w:val="0"/>
        <w:rPr>
          <w:rFonts w:ascii="Times New Roman" w:hAnsi="Times New Roman"/>
          <w:sz w:val="22"/>
          <w:szCs w:val="22"/>
        </w:rPr>
      </w:pPr>
    </w:p>
    <w:p w14:paraId="586FCAA1" w14:textId="77777777" w:rsidR="00AE3698" w:rsidRPr="00912A5D" w:rsidRDefault="00AE3698">
      <w:pPr>
        <w:pStyle w:val="EndnoteText"/>
        <w:widowControl w:val="0"/>
        <w:tabs>
          <w:tab w:val="clear" w:pos="567"/>
        </w:tabs>
        <w:rPr>
          <w:color w:val="000000"/>
          <w:szCs w:val="22"/>
          <w:lang w:val="fi-FI"/>
        </w:rPr>
      </w:pPr>
    </w:p>
    <w:p w14:paraId="586FCAA2" w14:textId="77777777" w:rsidR="00AE3698" w:rsidRPr="00912A5D" w:rsidRDefault="00AE3698" w:rsidP="003369BC">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8.</w:t>
      </w:r>
      <w:r w:rsidRPr="00912A5D">
        <w:rPr>
          <w:rFonts w:ascii="Times New Roman" w:hAnsi="Times New Roman"/>
          <w:b/>
          <w:sz w:val="22"/>
          <w:szCs w:val="22"/>
        </w:rPr>
        <w:tab/>
        <w:t>MYYNTILUVAN NUMERO(T)</w:t>
      </w:r>
    </w:p>
    <w:p w14:paraId="586FCAA3" w14:textId="77777777" w:rsidR="00AE3698" w:rsidRPr="00912A5D" w:rsidRDefault="00AE3698" w:rsidP="003369BC">
      <w:pPr>
        <w:pStyle w:val="EndnoteText"/>
        <w:keepNext/>
        <w:widowControl w:val="0"/>
        <w:tabs>
          <w:tab w:val="clear" w:pos="567"/>
        </w:tabs>
        <w:rPr>
          <w:color w:val="000000"/>
          <w:szCs w:val="22"/>
          <w:lang w:val="fi-FI"/>
        </w:rPr>
      </w:pPr>
    </w:p>
    <w:p w14:paraId="586FCAA4" w14:textId="77777777" w:rsidR="004B7D4D" w:rsidRPr="00804D62" w:rsidRDefault="004B7D4D" w:rsidP="003369BC">
      <w:pPr>
        <w:pStyle w:val="EndnoteText"/>
        <w:keepNext/>
        <w:widowControl w:val="0"/>
        <w:tabs>
          <w:tab w:val="clear" w:pos="567"/>
        </w:tabs>
        <w:rPr>
          <w:color w:val="000000"/>
          <w:szCs w:val="22"/>
          <w:u w:val="single"/>
          <w:lang w:val="fi-FI"/>
        </w:rPr>
      </w:pPr>
      <w:r w:rsidRPr="00804D62">
        <w:rPr>
          <w:color w:val="000000"/>
          <w:szCs w:val="22"/>
          <w:u w:val="single"/>
          <w:lang w:val="fi-FI"/>
        </w:rPr>
        <w:t>Glivec 100 mg kalvopäällysteiset tabletit</w:t>
      </w:r>
    </w:p>
    <w:p w14:paraId="586FCAA5" w14:textId="77777777" w:rsidR="00AE3698" w:rsidRPr="00912A5D" w:rsidRDefault="00AE3698" w:rsidP="003369BC">
      <w:pPr>
        <w:pStyle w:val="EndnoteText"/>
        <w:keepNext/>
        <w:widowControl w:val="0"/>
        <w:tabs>
          <w:tab w:val="clear" w:pos="567"/>
        </w:tabs>
        <w:rPr>
          <w:color w:val="000000"/>
          <w:szCs w:val="22"/>
          <w:lang w:val="fi-FI"/>
        </w:rPr>
      </w:pPr>
      <w:r w:rsidRPr="00912A5D">
        <w:rPr>
          <w:color w:val="000000"/>
          <w:szCs w:val="22"/>
          <w:lang w:val="fi-FI"/>
        </w:rPr>
        <w:t>EU/1/01/198/007</w:t>
      </w:r>
    </w:p>
    <w:p w14:paraId="586FCAA6" w14:textId="77777777" w:rsidR="00AE3698" w:rsidRPr="00804D62" w:rsidRDefault="00AE3698" w:rsidP="003369BC">
      <w:pPr>
        <w:pStyle w:val="EndnoteText"/>
        <w:keepNext/>
        <w:widowControl w:val="0"/>
        <w:tabs>
          <w:tab w:val="clear" w:pos="567"/>
        </w:tabs>
        <w:rPr>
          <w:color w:val="000000"/>
          <w:szCs w:val="22"/>
          <w:lang w:val="fr-FR"/>
        </w:rPr>
      </w:pPr>
      <w:r w:rsidRPr="00804D62">
        <w:rPr>
          <w:color w:val="000000"/>
          <w:szCs w:val="22"/>
          <w:lang w:val="fr-FR"/>
        </w:rPr>
        <w:t>EU/1/01/198/008</w:t>
      </w:r>
    </w:p>
    <w:p w14:paraId="586FCAA7" w14:textId="77777777" w:rsidR="00AE3698" w:rsidRPr="00804D62" w:rsidRDefault="00AE3698" w:rsidP="003369BC">
      <w:pPr>
        <w:pStyle w:val="EndnoteText"/>
        <w:keepNext/>
        <w:widowControl w:val="0"/>
        <w:tabs>
          <w:tab w:val="clear" w:pos="567"/>
        </w:tabs>
        <w:rPr>
          <w:color w:val="000000"/>
          <w:szCs w:val="22"/>
          <w:lang w:val="fr-FR"/>
        </w:rPr>
      </w:pPr>
      <w:r w:rsidRPr="00804D62">
        <w:rPr>
          <w:color w:val="000000"/>
          <w:szCs w:val="22"/>
          <w:lang w:val="fr-FR"/>
        </w:rPr>
        <w:t>EU/1/01/198/011</w:t>
      </w:r>
    </w:p>
    <w:p w14:paraId="586FCAA8" w14:textId="77777777" w:rsidR="00AE3698" w:rsidRPr="00804D62" w:rsidRDefault="00AE3698" w:rsidP="003369BC">
      <w:pPr>
        <w:pStyle w:val="EndnoteText"/>
        <w:keepNext/>
        <w:widowControl w:val="0"/>
        <w:tabs>
          <w:tab w:val="clear" w:pos="567"/>
        </w:tabs>
        <w:rPr>
          <w:color w:val="000000"/>
          <w:szCs w:val="22"/>
          <w:lang w:val="fr-FR"/>
        </w:rPr>
      </w:pPr>
      <w:r w:rsidRPr="00804D62">
        <w:rPr>
          <w:color w:val="000000"/>
          <w:szCs w:val="22"/>
          <w:lang w:val="fr-FR"/>
        </w:rPr>
        <w:t>EU/1/01/198/012</w:t>
      </w:r>
    </w:p>
    <w:p w14:paraId="586FCAA9" w14:textId="77777777" w:rsidR="003369BC" w:rsidRPr="00112B38" w:rsidRDefault="003369BC" w:rsidP="003369BC">
      <w:pPr>
        <w:pStyle w:val="EndnoteText"/>
        <w:keepNext/>
        <w:widowControl w:val="0"/>
        <w:tabs>
          <w:tab w:val="clear" w:pos="567"/>
        </w:tabs>
        <w:rPr>
          <w:color w:val="000000"/>
          <w:szCs w:val="22"/>
          <w:lang w:val="fi-FI"/>
        </w:rPr>
      </w:pPr>
      <w:r w:rsidRPr="00112B38">
        <w:rPr>
          <w:color w:val="000000"/>
          <w:szCs w:val="22"/>
          <w:lang w:val="fi-FI"/>
        </w:rPr>
        <w:t>EU/1/01/198/01</w:t>
      </w:r>
      <w:r w:rsidR="00AC27A6" w:rsidRPr="00112B38">
        <w:rPr>
          <w:color w:val="000000"/>
          <w:szCs w:val="22"/>
          <w:lang w:val="fi-FI"/>
        </w:rPr>
        <w:t>4</w:t>
      </w:r>
    </w:p>
    <w:p w14:paraId="586FCAAA" w14:textId="77777777" w:rsidR="003369BC" w:rsidRPr="00112B38" w:rsidRDefault="003369BC" w:rsidP="00324DEB">
      <w:pPr>
        <w:pStyle w:val="EndnoteText"/>
        <w:keepNext/>
        <w:widowControl w:val="0"/>
        <w:tabs>
          <w:tab w:val="clear" w:pos="567"/>
        </w:tabs>
        <w:rPr>
          <w:color w:val="000000"/>
          <w:szCs w:val="22"/>
          <w:lang w:val="fi-FI"/>
        </w:rPr>
      </w:pPr>
      <w:r w:rsidRPr="00112B38">
        <w:rPr>
          <w:color w:val="000000"/>
          <w:szCs w:val="22"/>
          <w:lang w:val="fi-FI"/>
        </w:rPr>
        <w:t>EU/1/01/198/01</w:t>
      </w:r>
      <w:r w:rsidR="00AC27A6" w:rsidRPr="00112B38">
        <w:rPr>
          <w:color w:val="000000"/>
          <w:szCs w:val="22"/>
          <w:lang w:val="fi-FI"/>
        </w:rPr>
        <w:t>5</w:t>
      </w:r>
    </w:p>
    <w:p w14:paraId="586FCAAB" w14:textId="77777777" w:rsidR="00324DEB" w:rsidRPr="00112B38" w:rsidRDefault="00324DEB" w:rsidP="00324DEB">
      <w:pPr>
        <w:pStyle w:val="EndnoteText"/>
        <w:widowControl w:val="0"/>
        <w:tabs>
          <w:tab w:val="clear" w:pos="567"/>
        </w:tabs>
        <w:rPr>
          <w:color w:val="000000"/>
          <w:szCs w:val="22"/>
          <w:lang w:val="fi-FI"/>
        </w:rPr>
      </w:pPr>
      <w:r w:rsidRPr="00112B38">
        <w:rPr>
          <w:color w:val="000000"/>
          <w:szCs w:val="22"/>
          <w:lang w:val="fi-FI"/>
        </w:rPr>
        <w:t>EU/1/01/198/01</w:t>
      </w:r>
      <w:r w:rsidR="00AC27A6" w:rsidRPr="00112B38">
        <w:rPr>
          <w:color w:val="000000"/>
          <w:szCs w:val="22"/>
          <w:lang w:val="fi-FI"/>
        </w:rPr>
        <w:t>6</w:t>
      </w:r>
    </w:p>
    <w:p w14:paraId="586FCAAC" w14:textId="77777777" w:rsidR="00AE3698" w:rsidRPr="00744D9D" w:rsidRDefault="00AE3698">
      <w:pPr>
        <w:pStyle w:val="EndnoteText"/>
        <w:widowControl w:val="0"/>
        <w:tabs>
          <w:tab w:val="clear" w:pos="567"/>
        </w:tabs>
        <w:rPr>
          <w:color w:val="000000"/>
          <w:szCs w:val="22"/>
          <w:lang w:val="fi-FI"/>
        </w:rPr>
      </w:pPr>
    </w:p>
    <w:p w14:paraId="586FCAAD" w14:textId="77777777" w:rsidR="004B7D4D" w:rsidRPr="00744D9D" w:rsidRDefault="004B7D4D" w:rsidP="00CE1795">
      <w:pPr>
        <w:pStyle w:val="EndnoteText"/>
        <w:keepNext/>
        <w:widowControl w:val="0"/>
        <w:rPr>
          <w:color w:val="000000"/>
          <w:szCs w:val="22"/>
          <w:u w:val="single"/>
          <w:lang w:val="fi-FI"/>
        </w:rPr>
      </w:pPr>
      <w:r w:rsidRPr="00744D9D">
        <w:rPr>
          <w:color w:val="000000"/>
          <w:szCs w:val="22"/>
          <w:u w:val="single"/>
          <w:lang w:val="fi-FI"/>
        </w:rPr>
        <w:t>Glivec 400 mg kalvopäällysteiset tabletit</w:t>
      </w:r>
    </w:p>
    <w:p w14:paraId="586FCAAE" w14:textId="77777777" w:rsidR="004B7D4D" w:rsidRPr="00744D9D" w:rsidRDefault="004B7D4D" w:rsidP="00CE1795">
      <w:pPr>
        <w:pStyle w:val="EndnoteText"/>
        <w:keepNext/>
        <w:widowControl w:val="0"/>
        <w:rPr>
          <w:color w:val="000000"/>
          <w:szCs w:val="22"/>
          <w:lang w:val="fi-FI"/>
        </w:rPr>
      </w:pPr>
      <w:r w:rsidRPr="00744D9D">
        <w:rPr>
          <w:color w:val="000000"/>
          <w:szCs w:val="22"/>
          <w:lang w:val="fi-FI"/>
        </w:rPr>
        <w:t>EU/1/01/198/009</w:t>
      </w:r>
    </w:p>
    <w:p w14:paraId="586FCAAF" w14:textId="77777777" w:rsidR="004B7D4D" w:rsidRPr="004B7D4D" w:rsidRDefault="004B7D4D" w:rsidP="00CE1795">
      <w:pPr>
        <w:pStyle w:val="EndnoteText"/>
        <w:keepNext/>
        <w:widowControl w:val="0"/>
        <w:rPr>
          <w:color w:val="000000"/>
          <w:szCs w:val="22"/>
          <w:lang w:val="fi-FI"/>
        </w:rPr>
      </w:pPr>
      <w:r w:rsidRPr="004B7D4D">
        <w:rPr>
          <w:color w:val="000000"/>
          <w:szCs w:val="22"/>
          <w:lang w:val="fi-FI"/>
        </w:rPr>
        <w:t>EU/1/01/198/010</w:t>
      </w:r>
    </w:p>
    <w:p w14:paraId="586FCAB0" w14:textId="77777777" w:rsidR="004B7D4D" w:rsidRDefault="004B7D4D" w:rsidP="004B7D4D">
      <w:pPr>
        <w:pStyle w:val="EndnoteText"/>
        <w:widowControl w:val="0"/>
        <w:tabs>
          <w:tab w:val="clear" w:pos="567"/>
        </w:tabs>
        <w:rPr>
          <w:color w:val="000000"/>
          <w:szCs w:val="22"/>
          <w:lang w:val="fi-FI"/>
        </w:rPr>
      </w:pPr>
      <w:r w:rsidRPr="004B7D4D">
        <w:rPr>
          <w:color w:val="000000"/>
          <w:szCs w:val="22"/>
          <w:lang w:val="fi-FI"/>
        </w:rPr>
        <w:t>EU/1/01/198/013</w:t>
      </w:r>
    </w:p>
    <w:p w14:paraId="586FCAB1" w14:textId="77777777" w:rsidR="004B7D4D" w:rsidRPr="00912A5D" w:rsidRDefault="004B7D4D" w:rsidP="004B7D4D">
      <w:pPr>
        <w:pStyle w:val="EndnoteText"/>
        <w:widowControl w:val="0"/>
        <w:tabs>
          <w:tab w:val="clear" w:pos="567"/>
        </w:tabs>
        <w:rPr>
          <w:color w:val="000000"/>
          <w:szCs w:val="22"/>
          <w:lang w:val="fi-FI"/>
        </w:rPr>
      </w:pPr>
    </w:p>
    <w:p w14:paraId="586FCAB2" w14:textId="77777777" w:rsidR="00AE3698" w:rsidRPr="00912A5D" w:rsidRDefault="00AE3698">
      <w:pPr>
        <w:widowControl w:val="0"/>
        <w:rPr>
          <w:rFonts w:ascii="Times New Roman" w:hAnsi="Times New Roman"/>
          <w:sz w:val="22"/>
          <w:szCs w:val="22"/>
        </w:rPr>
      </w:pPr>
    </w:p>
    <w:p w14:paraId="586FCAB3" w14:textId="77777777" w:rsidR="00AE3698" w:rsidRPr="00912A5D" w:rsidRDefault="00AE3698" w:rsidP="00CE1795">
      <w:pPr>
        <w:keepNext/>
        <w:widowControl w:val="0"/>
        <w:suppressAutoHyphens/>
        <w:ind w:left="567" w:hanging="567"/>
        <w:rPr>
          <w:rFonts w:ascii="Times New Roman" w:hAnsi="Times New Roman"/>
          <w:sz w:val="22"/>
          <w:szCs w:val="22"/>
        </w:rPr>
      </w:pPr>
      <w:r w:rsidRPr="00912A5D">
        <w:rPr>
          <w:rFonts w:ascii="Times New Roman" w:hAnsi="Times New Roman"/>
          <w:b/>
          <w:sz w:val="22"/>
          <w:szCs w:val="22"/>
        </w:rPr>
        <w:t>9.</w:t>
      </w:r>
      <w:r w:rsidRPr="00912A5D">
        <w:rPr>
          <w:rFonts w:ascii="Times New Roman" w:hAnsi="Times New Roman"/>
          <w:b/>
          <w:sz w:val="22"/>
          <w:szCs w:val="22"/>
        </w:rPr>
        <w:tab/>
        <w:t>MYYNTILUVAN MYÖNTÄMISPÄIVÄMÄÄRÄ/UUDISTAMISPÄIVÄMÄÄRÄ</w:t>
      </w:r>
    </w:p>
    <w:p w14:paraId="586FCAB4" w14:textId="77777777" w:rsidR="00AE3698" w:rsidRPr="00912A5D" w:rsidRDefault="00AE3698" w:rsidP="00CE1795">
      <w:pPr>
        <w:keepNext/>
        <w:widowControl w:val="0"/>
        <w:rPr>
          <w:rFonts w:ascii="Times New Roman" w:hAnsi="Times New Roman"/>
          <w:sz w:val="22"/>
          <w:szCs w:val="22"/>
        </w:rPr>
      </w:pPr>
    </w:p>
    <w:p w14:paraId="586FCAB5" w14:textId="77777777" w:rsidR="00AE3698" w:rsidRPr="00912A5D" w:rsidRDefault="00AE3698" w:rsidP="00CE1795">
      <w:pPr>
        <w:keepNext/>
        <w:widowControl w:val="0"/>
        <w:rPr>
          <w:rFonts w:ascii="Times New Roman" w:hAnsi="Times New Roman"/>
          <w:sz w:val="22"/>
          <w:szCs w:val="22"/>
          <w:lang w:val="da-DK"/>
        </w:rPr>
      </w:pPr>
      <w:r w:rsidRPr="00912A5D">
        <w:rPr>
          <w:rFonts w:ascii="Times New Roman" w:hAnsi="Times New Roman"/>
          <w:sz w:val="22"/>
          <w:szCs w:val="22"/>
        </w:rPr>
        <w:t>Myyntiluvan myöntämis</w:t>
      </w:r>
      <w:r w:rsidR="00B77D32">
        <w:rPr>
          <w:rFonts w:ascii="Times New Roman" w:hAnsi="Times New Roman"/>
          <w:sz w:val="22"/>
          <w:szCs w:val="22"/>
        </w:rPr>
        <w:t xml:space="preserve">en </w:t>
      </w:r>
      <w:r w:rsidRPr="00912A5D">
        <w:rPr>
          <w:rFonts w:ascii="Times New Roman" w:hAnsi="Times New Roman"/>
          <w:sz w:val="22"/>
          <w:szCs w:val="22"/>
        </w:rPr>
        <w:t>päivämäärä:</w:t>
      </w:r>
      <w:r w:rsidRPr="00912A5D">
        <w:rPr>
          <w:sz w:val="22"/>
          <w:szCs w:val="22"/>
        </w:rPr>
        <w:t xml:space="preserve"> </w:t>
      </w:r>
      <w:r w:rsidR="004011E4">
        <w:rPr>
          <w:rFonts w:ascii="Times New Roman" w:hAnsi="Times New Roman"/>
          <w:sz w:val="22"/>
          <w:szCs w:val="22"/>
        </w:rPr>
        <w:t>07</w:t>
      </w:r>
      <w:r w:rsidRPr="00912A5D">
        <w:rPr>
          <w:rFonts w:ascii="Times New Roman" w:hAnsi="Times New Roman"/>
          <w:sz w:val="22"/>
          <w:szCs w:val="22"/>
        </w:rPr>
        <w:t>.</w:t>
      </w:r>
      <w:r w:rsidR="00B77D32">
        <w:rPr>
          <w:rFonts w:ascii="Times New Roman" w:hAnsi="Times New Roman"/>
          <w:sz w:val="22"/>
          <w:szCs w:val="22"/>
        </w:rPr>
        <w:t xml:space="preserve"> marraskuuta </w:t>
      </w:r>
      <w:r w:rsidRPr="00912A5D">
        <w:rPr>
          <w:rFonts w:ascii="Times New Roman" w:hAnsi="Times New Roman"/>
          <w:sz w:val="22"/>
          <w:szCs w:val="22"/>
        </w:rPr>
        <w:t>200</w:t>
      </w:r>
      <w:r w:rsidR="004011E4">
        <w:rPr>
          <w:rFonts w:ascii="Times New Roman" w:hAnsi="Times New Roman"/>
          <w:sz w:val="22"/>
          <w:szCs w:val="22"/>
        </w:rPr>
        <w:t>1</w:t>
      </w:r>
    </w:p>
    <w:p w14:paraId="586FCAB6" w14:textId="77777777" w:rsidR="00AE3698" w:rsidRPr="00912A5D" w:rsidRDefault="00B77D32">
      <w:pPr>
        <w:widowControl w:val="0"/>
        <w:suppressAutoHyphens/>
        <w:rPr>
          <w:rFonts w:ascii="Times New Roman" w:hAnsi="Times New Roman"/>
          <w:sz w:val="22"/>
          <w:szCs w:val="22"/>
        </w:rPr>
      </w:pPr>
      <w:r>
        <w:rPr>
          <w:rFonts w:ascii="Times New Roman" w:hAnsi="Times New Roman"/>
          <w:sz w:val="22"/>
          <w:szCs w:val="22"/>
        </w:rPr>
        <w:t>Viimeisimmän</w:t>
      </w:r>
      <w:r w:rsidRPr="00912A5D">
        <w:rPr>
          <w:rFonts w:ascii="Times New Roman" w:hAnsi="Times New Roman"/>
          <w:sz w:val="22"/>
          <w:szCs w:val="22"/>
        </w:rPr>
        <w:t xml:space="preserve"> </w:t>
      </w:r>
      <w:r w:rsidR="00AE3698" w:rsidRPr="00912A5D">
        <w:rPr>
          <w:rFonts w:ascii="Times New Roman" w:hAnsi="Times New Roman"/>
          <w:sz w:val="22"/>
          <w:szCs w:val="22"/>
        </w:rPr>
        <w:t>uudistamis</w:t>
      </w:r>
      <w:r>
        <w:rPr>
          <w:rFonts w:ascii="Times New Roman" w:hAnsi="Times New Roman"/>
          <w:sz w:val="22"/>
          <w:szCs w:val="22"/>
        </w:rPr>
        <w:t xml:space="preserve">en </w:t>
      </w:r>
      <w:r w:rsidR="00AE3698" w:rsidRPr="00912A5D">
        <w:rPr>
          <w:rFonts w:ascii="Times New Roman" w:hAnsi="Times New Roman"/>
          <w:sz w:val="22"/>
          <w:szCs w:val="22"/>
        </w:rPr>
        <w:t>päivämäärä: 07.</w:t>
      </w:r>
      <w:r>
        <w:rPr>
          <w:rFonts w:ascii="Times New Roman" w:hAnsi="Times New Roman"/>
          <w:sz w:val="22"/>
          <w:szCs w:val="22"/>
        </w:rPr>
        <w:t xml:space="preserve"> marraskuuta </w:t>
      </w:r>
      <w:r w:rsidR="00AE3698" w:rsidRPr="00912A5D">
        <w:rPr>
          <w:rFonts w:ascii="Times New Roman" w:hAnsi="Times New Roman"/>
          <w:sz w:val="22"/>
          <w:szCs w:val="22"/>
        </w:rPr>
        <w:t>2006</w:t>
      </w:r>
    </w:p>
    <w:p w14:paraId="586FCAB7" w14:textId="77777777" w:rsidR="00AE3698" w:rsidRPr="00912A5D" w:rsidRDefault="00AE3698">
      <w:pPr>
        <w:widowControl w:val="0"/>
        <w:suppressAutoHyphens/>
        <w:rPr>
          <w:rFonts w:ascii="Times New Roman" w:hAnsi="Times New Roman"/>
          <w:sz w:val="22"/>
          <w:szCs w:val="22"/>
        </w:rPr>
      </w:pPr>
    </w:p>
    <w:p w14:paraId="586FCAB8" w14:textId="77777777" w:rsidR="00AE3698" w:rsidRPr="00912A5D" w:rsidRDefault="00AE3698">
      <w:pPr>
        <w:widowControl w:val="0"/>
        <w:suppressAutoHyphens/>
        <w:rPr>
          <w:rFonts w:ascii="Times New Roman" w:hAnsi="Times New Roman"/>
          <w:sz w:val="22"/>
          <w:szCs w:val="22"/>
        </w:rPr>
      </w:pPr>
    </w:p>
    <w:p w14:paraId="586FCAB9" w14:textId="77777777" w:rsidR="00AE3698" w:rsidRPr="00912A5D" w:rsidRDefault="00EA55A4" w:rsidP="00EA55A4">
      <w:pPr>
        <w:widowControl w:val="0"/>
        <w:suppressAutoHyphens/>
        <w:ind w:left="567" w:hanging="567"/>
        <w:rPr>
          <w:rFonts w:ascii="Times New Roman" w:hAnsi="Times New Roman"/>
          <w:b/>
          <w:sz w:val="22"/>
          <w:szCs w:val="22"/>
        </w:rPr>
      </w:pPr>
      <w:r>
        <w:rPr>
          <w:rFonts w:ascii="Times New Roman" w:hAnsi="Times New Roman"/>
          <w:b/>
          <w:sz w:val="22"/>
          <w:szCs w:val="22"/>
        </w:rPr>
        <w:t>10.</w:t>
      </w:r>
      <w:r>
        <w:rPr>
          <w:rFonts w:ascii="Times New Roman" w:hAnsi="Times New Roman"/>
          <w:b/>
          <w:sz w:val="22"/>
          <w:szCs w:val="22"/>
        </w:rPr>
        <w:tab/>
      </w:r>
      <w:r w:rsidR="00AE3698" w:rsidRPr="00912A5D">
        <w:rPr>
          <w:rFonts w:ascii="Times New Roman" w:hAnsi="Times New Roman"/>
          <w:b/>
          <w:sz w:val="22"/>
          <w:szCs w:val="22"/>
        </w:rPr>
        <w:t>TEKSTIN MUUTTAMISPÄIVÄMÄÄRÄ</w:t>
      </w:r>
    </w:p>
    <w:p w14:paraId="586FCABA" w14:textId="77777777" w:rsidR="00AE3698" w:rsidRDefault="00AE3698">
      <w:pPr>
        <w:widowControl w:val="0"/>
        <w:suppressAutoHyphens/>
        <w:rPr>
          <w:rFonts w:ascii="Times New Roman" w:hAnsi="Times New Roman"/>
          <w:sz w:val="22"/>
          <w:szCs w:val="22"/>
        </w:rPr>
      </w:pPr>
    </w:p>
    <w:p w14:paraId="586FCABB" w14:textId="77777777" w:rsidR="003A77B2" w:rsidRPr="00912A5D" w:rsidRDefault="003A77B2">
      <w:pPr>
        <w:widowControl w:val="0"/>
        <w:suppressAutoHyphens/>
        <w:rPr>
          <w:rFonts w:ascii="Times New Roman" w:hAnsi="Times New Roman"/>
          <w:sz w:val="22"/>
          <w:szCs w:val="22"/>
        </w:rPr>
      </w:pPr>
    </w:p>
    <w:p w14:paraId="586FCABC" w14:textId="77777777" w:rsidR="003A77B2" w:rsidRPr="00A74A4B" w:rsidRDefault="003A77B2" w:rsidP="003A77B2">
      <w:pPr>
        <w:suppressAutoHyphens/>
        <w:rPr>
          <w:rFonts w:ascii="Times New Roman" w:hAnsi="Times New Roman"/>
          <w:noProof/>
          <w:sz w:val="22"/>
          <w:szCs w:val="22"/>
        </w:rPr>
      </w:pPr>
      <w:r w:rsidRPr="00B056C2">
        <w:rPr>
          <w:rFonts w:ascii="Times New Roman" w:hAnsi="Times New Roman"/>
          <w:noProof/>
          <w:sz w:val="22"/>
          <w:szCs w:val="22"/>
        </w:rPr>
        <w:t xml:space="preserve">Lisätietoa tästä lääkevalmisteesta on Euroopan lääkeviraston </w:t>
      </w:r>
      <w:r w:rsidR="00B77D32">
        <w:rPr>
          <w:rFonts w:ascii="Times New Roman" w:hAnsi="Times New Roman"/>
          <w:noProof/>
          <w:sz w:val="22"/>
          <w:szCs w:val="22"/>
        </w:rPr>
        <w:t>verkkosivulla</w:t>
      </w:r>
      <w:r w:rsidR="00B77D32" w:rsidRPr="00B056C2">
        <w:rPr>
          <w:rFonts w:ascii="Times New Roman" w:hAnsi="Times New Roman"/>
          <w:noProof/>
          <w:sz w:val="22"/>
          <w:szCs w:val="22"/>
        </w:rPr>
        <w:t xml:space="preserve"> </w:t>
      </w:r>
      <w:r w:rsidRPr="00A74A4B">
        <w:rPr>
          <w:rFonts w:ascii="Times New Roman" w:hAnsi="Times New Roman"/>
          <w:noProof/>
          <w:sz w:val="22"/>
          <w:szCs w:val="22"/>
        </w:rPr>
        <w:t>http://www.ema.europa.eu</w:t>
      </w:r>
    </w:p>
    <w:p w14:paraId="586FCABD" w14:textId="77777777" w:rsidR="00311DC5" w:rsidRDefault="00311DC5" w:rsidP="00A8612B">
      <w:pPr>
        <w:widowControl w:val="0"/>
        <w:suppressAutoHyphens/>
        <w:rPr>
          <w:rFonts w:ascii="Times New Roman" w:eastAsia="MS Mincho" w:hAnsi="Times New Roman"/>
          <w:iCs/>
          <w:sz w:val="22"/>
          <w:szCs w:val="22"/>
        </w:rPr>
      </w:pPr>
    </w:p>
    <w:p w14:paraId="586FCABE" w14:textId="77777777" w:rsidR="00DF608D" w:rsidRPr="00A74A4B" w:rsidRDefault="00DF608D" w:rsidP="00DF608D">
      <w:pPr>
        <w:suppressAutoHyphens/>
        <w:rPr>
          <w:rFonts w:ascii="Times New Roman" w:hAnsi="Times New Roman"/>
          <w:noProof/>
          <w:sz w:val="22"/>
          <w:szCs w:val="22"/>
        </w:rPr>
      </w:pPr>
    </w:p>
    <w:p w14:paraId="586FCABF" w14:textId="77777777" w:rsidR="00AE3698" w:rsidRPr="00912A5D" w:rsidRDefault="00AE3698">
      <w:pPr>
        <w:ind w:right="1416"/>
        <w:outlineLvl w:val="0"/>
        <w:rPr>
          <w:rFonts w:ascii="Times New Roman" w:hAnsi="Times New Roman"/>
          <w:sz w:val="22"/>
          <w:szCs w:val="22"/>
        </w:rPr>
      </w:pPr>
      <w:r w:rsidRPr="00912A5D">
        <w:rPr>
          <w:rFonts w:ascii="Times New Roman" w:hAnsi="Times New Roman"/>
          <w:b/>
          <w:sz w:val="22"/>
          <w:szCs w:val="22"/>
        </w:rPr>
        <w:br w:type="page"/>
      </w:r>
    </w:p>
    <w:p w14:paraId="586FCAC0" w14:textId="77777777" w:rsidR="00AE3698" w:rsidRPr="00912A5D" w:rsidRDefault="00AE3698">
      <w:pPr>
        <w:ind w:right="1416"/>
        <w:outlineLvl w:val="0"/>
        <w:rPr>
          <w:rFonts w:ascii="Times New Roman" w:hAnsi="Times New Roman"/>
          <w:sz w:val="22"/>
          <w:szCs w:val="22"/>
        </w:rPr>
      </w:pPr>
    </w:p>
    <w:p w14:paraId="586FCAC1" w14:textId="77777777" w:rsidR="00AE3698" w:rsidRPr="00912A5D" w:rsidRDefault="00AE3698">
      <w:pPr>
        <w:ind w:right="1416"/>
        <w:outlineLvl w:val="0"/>
        <w:rPr>
          <w:rFonts w:ascii="Times New Roman" w:hAnsi="Times New Roman"/>
          <w:sz w:val="22"/>
          <w:szCs w:val="22"/>
        </w:rPr>
      </w:pPr>
    </w:p>
    <w:p w14:paraId="586FCAC2" w14:textId="77777777" w:rsidR="00AE3698" w:rsidRPr="00912A5D" w:rsidRDefault="00AE3698">
      <w:pPr>
        <w:ind w:right="1416"/>
        <w:outlineLvl w:val="0"/>
        <w:rPr>
          <w:rFonts w:ascii="Times New Roman" w:hAnsi="Times New Roman"/>
          <w:sz w:val="22"/>
          <w:szCs w:val="22"/>
        </w:rPr>
      </w:pPr>
    </w:p>
    <w:p w14:paraId="586FCAC3" w14:textId="77777777" w:rsidR="00AE3698" w:rsidRPr="00912A5D" w:rsidRDefault="00AE3698">
      <w:pPr>
        <w:ind w:right="1416"/>
        <w:outlineLvl w:val="0"/>
        <w:rPr>
          <w:rFonts w:ascii="Times New Roman" w:hAnsi="Times New Roman"/>
          <w:sz w:val="22"/>
          <w:szCs w:val="22"/>
        </w:rPr>
      </w:pPr>
    </w:p>
    <w:p w14:paraId="586FCAC4" w14:textId="77777777" w:rsidR="00AE3698" w:rsidRPr="00912A5D" w:rsidRDefault="00AE3698">
      <w:pPr>
        <w:ind w:right="1416"/>
        <w:outlineLvl w:val="0"/>
        <w:rPr>
          <w:rFonts w:ascii="Times New Roman" w:hAnsi="Times New Roman"/>
          <w:sz w:val="22"/>
          <w:szCs w:val="22"/>
        </w:rPr>
      </w:pPr>
    </w:p>
    <w:p w14:paraId="586FCAC5" w14:textId="77777777" w:rsidR="00AE3698" w:rsidRPr="00912A5D" w:rsidRDefault="00AE3698">
      <w:pPr>
        <w:ind w:right="1416"/>
        <w:outlineLvl w:val="0"/>
        <w:rPr>
          <w:rFonts w:ascii="Times New Roman" w:hAnsi="Times New Roman"/>
          <w:sz w:val="22"/>
          <w:szCs w:val="22"/>
        </w:rPr>
      </w:pPr>
    </w:p>
    <w:p w14:paraId="586FCAC6" w14:textId="77777777" w:rsidR="00AE3698" w:rsidRPr="00912A5D" w:rsidRDefault="00AE3698">
      <w:pPr>
        <w:ind w:right="1416"/>
        <w:outlineLvl w:val="0"/>
        <w:rPr>
          <w:rFonts w:ascii="Times New Roman" w:hAnsi="Times New Roman"/>
          <w:sz w:val="22"/>
          <w:szCs w:val="22"/>
        </w:rPr>
      </w:pPr>
    </w:p>
    <w:p w14:paraId="586FCAC7" w14:textId="77777777" w:rsidR="00AE3698" w:rsidRPr="00912A5D" w:rsidRDefault="00AE3698">
      <w:pPr>
        <w:ind w:right="1416"/>
        <w:outlineLvl w:val="0"/>
        <w:rPr>
          <w:rFonts w:ascii="Times New Roman" w:hAnsi="Times New Roman"/>
          <w:sz w:val="22"/>
          <w:szCs w:val="22"/>
        </w:rPr>
      </w:pPr>
    </w:p>
    <w:p w14:paraId="586FCAC8" w14:textId="77777777" w:rsidR="00AE3698" w:rsidRPr="00912A5D" w:rsidRDefault="00AE3698">
      <w:pPr>
        <w:ind w:right="1416"/>
        <w:outlineLvl w:val="0"/>
        <w:rPr>
          <w:rFonts w:ascii="Times New Roman" w:hAnsi="Times New Roman"/>
          <w:sz w:val="22"/>
          <w:szCs w:val="22"/>
        </w:rPr>
      </w:pPr>
    </w:p>
    <w:p w14:paraId="586FCAC9" w14:textId="77777777" w:rsidR="00AE3698" w:rsidRPr="00912A5D" w:rsidRDefault="00AE3698">
      <w:pPr>
        <w:ind w:right="1416"/>
        <w:outlineLvl w:val="0"/>
        <w:rPr>
          <w:rFonts w:ascii="Times New Roman" w:hAnsi="Times New Roman"/>
          <w:sz w:val="22"/>
          <w:szCs w:val="22"/>
        </w:rPr>
      </w:pPr>
    </w:p>
    <w:p w14:paraId="586FCACA" w14:textId="77777777" w:rsidR="00AE3698" w:rsidRPr="00912A5D" w:rsidRDefault="00AE3698">
      <w:pPr>
        <w:ind w:right="1416"/>
        <w:outlineLvl w:val="0"/>
        <w:rPr>
          <w:rFonts w:ascii="Times New Roman" w:hAnsi="Times New Roman"/>
          <w:sz w:val="22"/>
          <w:szCs w:val="22"/>
        </w:rPr>
      </w:pPr>
    </w:p>
    <w:p w14:paraId="586FCACB" w14:textId="77777777" w:rsidR="00AE3698" w:rsidRPr="00912A5D" w:rsidRDefault="00AE3698">
      <w:pPr>
        <w:ind w:right="1416"/>
        <w:outlineLvl w:val="0"/>
        <w:rPr>
          <w:rFonts w:ascii="Times New Roman" w:hAnsi="Times New Roman"/>
          <w:sz w:val="22"/>
          <w:szCs w:val="22"/>
        </w:rPr>
      </w:pPr>
    </w:p>
    <w:p w14:paraId="586FCACC" w14:textId="77777777" w:rsidR="00AE3698" w:rsidRPr="00912A5D" w:rsidRDefault="00AE3698">
      <w:pPr>
        <w:ind w:right="1416"/>
        <w:outlineLvl w:val="0"/>
        <w:rPr>
          <w:rFonts w:ascii="Times New Roman" w:hAnsi="Times New Roman"/>
          <w:sz w:val="22"/>
          <w:szCs w:val="22"/>
        </w:rPr>
      </w:pPr>
    </w:p>
    <w:p w14:paraId="586FCACD" w14:textId="77777777" w:rsidR="00AE3698" w:rsidRPr="00912A5D" w:rsidRDefault="00AE3698">
      <w:pPr>
        <w:ind w:right="1416"/>
        <w:outlineLvl w:val="0"/>
        <w:rPr>
          <w:rFonts w:ascii="Times New Roman" w:hAnsi="Times New Roman"/>
          <w:sz w:val="22"/>
          <w:szCs w:val="22"/>
        </w:rPr>
      </w:pPr>
    </w:p>
    <w:p w14:paraId="586FCACE" w14:textId="77777777" w:rsidR="00AE3698" w:rsidRPr="00912A5D" w:rsidRDefault="00AE3698">
      <w:pPr>
        <w:ind w:right="1416"/>
        <w:outlineLvl w:val="0"/>
        <w:rPr>
          <w:rFonts w:ascii="Times New Roman" w:hAnsi="Times New Roman"/>
          <w:sz w:val="22"/>
          <w:szCs w:val="22"/>
        </w:rPr>
      </w:pPr>
    </w:p>
    <w:p w14:paraId="586FCACF" w14:textId="77777777" w:rsidR="00AE3698" w:rsidRPr="00912A5D" w:rsidRDefault="00AE3698">
      <w:pPr>
        <w:ind w:right="1416"/>
        <w:outlineLvl w:val="0"/>
        <w:rPr>
          <w:rFonts w:ascii="Times New Roman" w:hAnsi="Times New Roman"/>
          <w:sz w:val="22"/>
          <w:szCs w:val="22"/>
        </w:rPr>
      </w:pPr>
    </w:p>
    <w:p w14:paraId="586FCAD0" w14:textId="77777777" w:rsidR="00AE3698" w:rsidRPr="00912A5D" w:rsidRDefault="00AE3698">
      <w:pPr>
        <w:ind w:right="1416"/>
        <w:outlineLvl w:val="0"/>
        <w:rPr>
          <w:rFonts w:ascii="Times New Roman" w:hAnsi="Times New Roman"/>
          <w:sz w:val="22"/>
          <w:szCs w:val="22"/>
        </w:rPr>
      </w:pPr>
    </w:p>
    <w:p w14:paraId="586FCAD1" w14:textId="77777777" w:rsidR="00AE3698" w:rsidRPr="00912A5D" w:rsidRDefault="00AE3698">
      <w:pPr>
        <w:ind w:right="1416"/>
        <w:outlineLvl w:val="0"/>
        <w:rPr>
          <w:rFonts w:ascii="Times New Roman" w:hAnsi="Times New Roman"/>
          <w:sz w:val="22"/>
          <w:szCs w:val="22"/>
        </w:rPr>
      </w:pPr>
    </w:p>
    <w:p w14:paraId="586FCAD2" w14:textId="77777777" w:rsidR="00AE3698" w:rsidRPr="00912A5D" w:rsidRDefault="00AE3698">
      <w:pPr>
        <w:ind w:right="1416"/>
        <w:outlineLvl w:val="0"/>
        <w:rPr>
          <w:rFonts w:ascii="Times New Roman" w:hAnsi="Times New Roman"/>
          <w:sz w:val="22"/>
          <w:szCs w:val="22"/>
        </w:rPr>
      </w:pPr>
    </w:p>
    <w:p w14:paraId="586FCAD3" w14:textId="77777777" w:rsidR="00AE3698" w:rsidRPr="00912A5D" w:rsidRDefault="00AE3698">
      <w:pPr>
        <w:ind w:right="1416"/>
        <w:outlineLvl w:val="0"/>
        <w:rPr>
          <w:rFonts w:ascii="Times New Roman" w:hAnsi="Times New Roman"/>
          <w:sz w:val="22"/>
          <w:szCs w:val="22"/>
        </w:rPr>
      </w:pPr>
    </w:p>
    <w:p w14:paraId="586FCAD4" w14:textId="77777777" w:rsidR="00AE3698" w:rsidRPr="00912A5D" w:rsidRDefault="00AE3698">
      <w:pPr>
        <w:ind w:right="1416"/>
        <w:outlineLvl w:val="0"/>
        <w:rPr>
          <w:rFonts w:ascii="Times New Roman" w:hAnsi="Times New Roman"/>
          <w:sz w:val="22"/>
          <w:szCs w:val="22"/>
        </w:rPr>
      </w:pPr>
    </w:p>
    <w:p w14:paraId="586FCAD5" w14:textId="77777777" w:rsidR="00AE3698" w:rsidRDefault="00AE3698">
      <w:pPr>
        <w:ind w:right="1416"/>
        <w:outlineLvl w:val="0"/>
        <w:rPr>
          <w:rFonts w:ascii="Times New Roman" w:hAnsi="Times New Roman"/>
          <w:sz w:val="22"/>
          <w:szCs w:val="22"/>
        </w:rPr>
      </w:pPr>
    </w:p>
    <w:p w14:paraId="586FCAD6" w14:textId="77777777" w:rsidR="00CE1795" w:rsidRPr="00912A5D" w:rsidRDefault="00CE1795">
      <w:pPr>
        <w:ind w:right="1416"/>
        <w:outlineLvl w:val="0"/>
        <w:rPr>
          <w:rFonts w:ascii="Times New Roman" w:hAnsi="Times New Roman"/>
          <w:sz w:val="22"/>
          <w:szCs w:val="22"/>
        </w:rPr>
      </w:pPr>
    </w:p>
    <w:p w14:paraId="586FCAD7" w14:textId="77777777" w:rsidR="008F2D51" w:rsidRDefault="008F2D51" w:rsidP="008F2D51">
      <w:pPr>
        <w:ind w:right="1416"/>
        <w:jc w:val="center"/>
        <w:outlineLvl w:val="0"/>
        <w:rPr>
          <w:rFonts w:ascii="Times New Roman" w:hAnsi="Times New Roman"/>
          <w:b/>
          <w:sz w:val="22"/>
          <w:szCs w:val="22"/>
        </w:rPr>
      </w:pPr>
      <w:r>
        <w:rPr>
          <w:rFonts w:ascii="Times New Roman" w:hAnsi="Times New Roman"/>
          <w:b/>
          <w:sz w:val="22"/>
          <w:szCs w:val="22"/>
        </w:rPr>
        <w:t>LIITE II</w:t>
      </w:r>
    </w:p>
    <w:p w14:paraId="586FCAD8" w14:textId="77777777" w:rsidR="008F2D51" w:rsidRDefault="008F2D51" w:rsidP="007D6145">
      <w:pPr>
        <w:ind w:right="1416"/>
        <w:rPr>
          <w:rFonts w:ascii="Times New Roman" w:hAnsi="Times New Roman"/>
          <w:sz w:val="22"/>
          <w:szCs w:val="22"/>
        </w:rPr>
      </w:pPr>
    </w:p>
    <w:p w14:paraId="586FCAD9" w14:textId="77777777" w:rsidR="008F2D51" w:rsidRPr="00C9152F" w:rsidRDefault="00C576C7" w:rsidP="00C576C7">
      <w:pPr>
        <w:tabs>
          <w:tab w:val="left" w:pos="-720"/>
          <w:tab w:val="left" w:pos="567"/>
        </w:tabs>
        <w:suppressAutoHyphens/>
        <w:spacing w:line="260" w:lineRule="exact"/>
        <w:ind w:left="1701" w:right="1410" w:hanging="567"/>
        <w:rPr>
          <w:rFonts w:ascii="Times New Roman" w:hAnsi="Times New Roman"/>
          <w:b/>
          <w:sz w:val="22"/>
          <w:szCs w:val="22"/>
        </w:rPr>
      </w:pPr>
      <w:r w:rsidRPr="00C9152F">
        <w:rPr>
          <w:rFonts w:ascii="Times New Roman" w:hAnsi="Times New Roman"/>
          <w:b/>
          <w:sz w:val="22"/>
          <w:szCs w:val="22"/>
        </w:rPr>
        <w:t>A.</w:t>
      </w:r>
      <w:r w:rsidRPr="00C9152F">
        <w:rPr>
          <w:rFonts w:ascii="Times New Roman" w:hAnsi="Times New Roman"/>
          <w:b/>
          <w:sz w:val="22"/>
          <w:szCs w:val="22"/>
        </w:rPr>
        <w:tab/>
      </w:r>
      <w:r w:rsidR="008F2D51" w:rsidRPr="00C9152F">
        <w:rPr>
          <w:rFonts w:ascii="Times New Roman" w:hAnsi="Times New Roman"/>
          <w:b/>
          <w:sz w:val="22"/>
          <w:szCs w:val="22"/>
        </w:rPr>
        <w:t>ERÄN VAPAUTTAMISESTA VASTAAVA VALMISTAJA</w:t>
      </w:r>
    </w:p>
    <w:p w14:paraId="586FCADA" w14:textId="77777777" w:rsidR="008F2D51" w:rsidRDefault="008F2D51" w:rsidP="007D6145">
      <w:pPr>
        <w:tabs>
          <w:tab w:val="num" w:pos="-6804"/>
        </w:tabs>
        <w:ind w:right="1416"/>
        <w:rPr>
          <w:rFonts w:ascii="Times New Roman" w:hAnsi="Times New Roman"/>
          <w:sz w:val="22"/>
          <w:szCs w:val="22"/>
        </w:rPr>
      </w:pPr>
    </w:p>
    <w:p w14:paraId="586FCADB" w14:textId="77777777" w:rsidR="008F2D51" w:rsidRDefault="00C576C7" w:rsidP="00C576C7">
      <w:pPr>
        <w:ind w:left="1701" w:right="1416" w:hanging="567"/>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rPr>
        <w:tab/>
      </w:r>
      <w:r w:rsidR="008F2D51">
        <w:rPr>
          <w:rFonts w:ascii="Times New Roman" w:hAnsi="Times New Roman"/>
          <w:b/>
          <w:sz w:val="22"/>
          <w:szCs w:val="22"/>
        </w:rPr>
        <w:t>TOIMITTAMISEEN JA KÄYTTÖÖN LIITTYVÄT EHDOT TAI RAJOITUKSET</w:t>
      </w:r>
    </w:p>
    <w:p w14:paraId="586FCADC" w14:textId="77777777" w:rsidR="008F2D51" w:rsidRPr="007C4FC6" w:rsidRDefault="008F2D51" w:rsidP="007D6145">
      <w:pPr>
        <w:tabs>
          <w:tab w:val="left" w:pos="3435"/>
        </w:tabs>
        <w:ind w:right="1418"/>
        <w:rPr>
          <w:rFonts w:ascii="Times New Roman" w:hAnsi="Times New Roman"/>
          <w:sz w:val="22"/>
          <w:szCs w:val="22"/>
        </w:rPr>
      </w:pPr>
    </w:p>
    <w:p w14:paraId="586FCADD" w14:textId="77777777" w:rsidR="008F2D51" w:rsidRDefault="00C576C7" w:rsidP="00C576C7">
      <w:pPr>
        <w:ind w:left="1701" w:right="1416" w:hanging="567"/>
        <w:rPr>
          <w:rFonts w:ascii="Times New Roman" w:hAnsi="Times New Roman"/>
          <w:b/>
          <w:sz w:val="22"/>
          <w:szCs w:val="22"/>
        </w:rPr>
      </w:pPr>
      <w:r>
        <w:rPr>
          <w:rFonts w:ascii="Times New Roman" w:hAnsi="Times New Roman"/>
          <w:b/>
          <w:sz w:val="22"/>
          <w:szCs w:val="22"/>
        </w:rPr>
        <w:t>C.</w:t>
      </w:r>
      <w:r>
        <w:rPr>
          <w:rFonts w:ascii="Times New Roman" w:hAnsi="Times New Roman"/>
          <w:b/>
          <w:sz w:val="22"/>
          <w:szCs w:val="22"/>
        </w:rPr>
        <w:tab/>
      </w:r>
      <w:r w:rsidR="008F2D51">
        <w:rPr>
          <w:rFonts w:ascii="Times New Roman" w:hAnsi="Times New Roman"/>
          <w:b/>
          <w:sz w:val="22"/>
          <w:szCs w:val="22"/>
        </w:rPr>
        <w:t>MYYNTILUVAN MUUT EHDOT JA EDELLYTYKSET</w:t>
      </w:r>
    </w:p>
    <w:p w14:paraId="586FCADE" w14:textId="77777777" w:rsidR="00170E55" w:rsidRPr="007D6145" w:rsidRDefault="00170E55" w:rsidP="007D6145">
      <w:pPr>
        <w:ind w:right="1416"/>
        <w:rPr>
          <w:rFonts w:ascii="Times New Roman" w:hAnsi="Times New Roman"/>
          <w:sz w:val="22"/>
          <w:szCs w:val="22"/>
        </w:rPr>
      </w:pPr>
    </w:p>
    <w:p w14:paraId="586FCADF" w14:textId="77777777" w:rsidR="00170E55" w:rsidRPr="00170E55" w:rsidRDefault="00170E55" w:rsidP="00170E55">
      <w:pPr>
        <w:ind w:left="1701" w:right="1416" w:hanging="567"/>
        <w:rPr>
          <w:rFonts w:ascii="Times New Roman" w:hAnsi="Times New Roman"/>
          <w:b/>
          <w:sz w:val="22"/>
          <w:szCs w:val="22"/>
        </w:rPr>
      </w:pPr>
      <w:r w:rsidRPr="00170E55">
        <w:rPr>
          <w:rFonts w:ascii="Times New Roman" w:hAnsi="Times New Roman"/>
          <w:b/>
          <w:sz w:val="22"/>
          <w:szCs w:val="22"/>
        </w:rPr>
        <w:t>D.</w:t>
      </w:r>
      <w:r w:rsidRPr="00170E55">
        <w:rPr>
          <w:rFonts w:ascii="Times New Roman" w:hAnsi="Times New Roman"/>
          <w:b/>
          <w:sz w:val="22"/>
          <w:szCs w:val="22"/>
        </w:rPr>
        <w:tab/>
        <w:t>EHDOT TAI RAJOITUKSET, JOTKA KOSKEVAT LÄÄKEVALMISTEEN TURVALLISTA JA TEHOKASTA KÄYTTÖÄ</w:t>
      </w:r>
    </w:p>
    <w:p w14:paraId="586FCAE0" w14:textId="77777777" w:rsidR="00170E55" w:rsidRPr="007D6145" w:rsidRDefault="00170E55" w:rsidP="007D6145">
      <w:pPr>
        <w:ind w:right="1416"/>
        <w:rPr>
          <w:rFonts w:ascii="Times New Roman" w:hAnsi="Times New Roman"/>
          <w:sz w:val="22"/>
          <w:szCs w:val="22"/>
        </w:rPr>
      </w:pPr>
    </w:p>
    <w:p w14:paraId="586FCAE1" w14:textId="77777777" w:rsidR="008F2D51" w:rsidRPr="008C6D61" w:rsidRDefault="008F2D51" w:rsidP="008F2D51">
      <w:pPr>
        <w:ind w:left="567" w:hanging="567"/>
        <w:rPr>
          <w:rFonts w:ascii="Times New Roman" w:hAnsi="Times New Roman"/>
          <w:color w:val="auto"/>
          <w:sz w:val="22"/>
          <w:szCs w:val="22"/>
        </w:rPr>
      </w:pPr>
      <w:r>
        <w:rPr>
          <w:rFonts w:ascii="Times New Roman" w:hAnsi="Times New Roman"/>
          <w:sz w:val="22"/>
          <w:szCs w:val="22"/>
        </w:rPr>
        <w:br w:type="page"/>
      </w:r>
      <w:r w:rsidRPr="008C6D61">
        <w:rPr>
          <w:rFonts w:ascii="Times New Roman" w:hAnsi="Times New Roman"/>
          <w:b/>
          <w:color w:val="auto"/>
          <w:sz w:val="22"/>
          <w:szCs w:val="22"/>
        </w:rPr>
        <w:lastRenderedPageBreak/>
        <w:t>A.</w:t>
      </w:r>
      <w:r w:rsidRPr="008C6D61">
        <w:rPr>
          <w:rFonts w:ascii="Times New Roman" w:hAnsi="Times New Roman"/>
          <w:b/>
          <w:color w:val="auto"/>
          <w:sz w:val="22"/>
          <w:szCs w:val="22"/>
        </w:rPr>
        <w:tab/>
        <w:t>ERÄN VAPAUTTAMISESTA VASTAAVA VALMISTAJA</w:t>
      </w:r>
    </w:p>
    <w:p w14:paraId="586FCAE2" w14:textId="77777777" w:rsidR="008F2D51" w:rsidRPr="008C6D61" w:rsidRDefault="008F2D51" w:rsidP="008F2D51">
      <w:pPr>
        <w:numPr>
          <w:ilvl w:val="12"/>
          <w:numId w:val="0"/>
        </w:numPr>
        <w:ind w:right="1416"/>
        <w:rPr>
          <w:rFonts w:ascii="Times New Roman" w:hAnsi="Times New Roman"/>
          <w:color w:val="auto"/>
          <w:sz w:val="22"/>
          <w:szCs w:val="22"/>
        </w:rPr>
      </w:pPr>
    </w:p>
    <w:p w14:paraId="586FCAE3" w14:textId="77777777" w:rsidR="008F2D51" w:rsidRPr="008C6D61" w:rsidRDefault="008F2D51" w:rsidP="008F2D51">
      <w:pPr>
        <w:numPr>
          <w:ilvl w:val="12"/>
          <w:numId w:val="0"/>
        </w:numPr>
        <w:outlineLvl w:val="0"/>
        <w:rPr>
          <w:rFonts w:ascii="Times New Roman" w:hAnsi="Times New Roman"/>
          <w:color w:val="auto"/>
          <w:sz w:val="22"/>
          <w:szCs w:val="22"/>
          <w:u w:val="single"/>
        </w:rPr>
      </w:pPr>
      <w:r w:rsidRPr="008C6D61">
        <w:rPr>
          <w:rFonts w:ascii="Times New Roman" w:hAnsi="Times New Roman"/>
          <w:color w:val="auto"/>
          <w:sz w:val="22"/>
          <w:szCs w:val="22"/>
          <w:u w:val="single"/>
        </w:rPr>
        <w:t>Erän vapauttamisesta vastaavan valmistajan nimi ja osoite:</w:t>
      </w:r>
    </w:p>
    <w:p w14:paraId="586FCAE4" w14:textId="77777777" w:rsidR="008F2D51" w:rsidRPr="008C6D61" w:rsidRDefault="008F2D51" w:rsidP="008F2D51">
      <w:pPr>
        <w:numPr>
          <w:ilvl w:val="12"/>
          <w:numId w:val="0"/>
        </w:numPr>
        <w:rPr>
          <w:rFonts w:ascii="Times New Roman" w:hAnsi="Times New Roman"/>
          <w:color w:val="auto"/>
          <w:sz w:val="22"/>
          <w:szCs w:val="22"/>
        </w:rPr>
      </w:pPr>
    </w:p>
    <w:p w14:paraId="586FCAE5" w14:textId="77777777" w:rsidR="008C6D61" w:rsidRPr="00143553" w:rsidRDefault="008C6D61" w:rsidP="008C6D61">
      <w:pPr>
        <w:numPr>
          <w:ilvl w:val="12"/>
          <w:numId w:val="0"/>
        </w:numPr>
        <w:rPr>
          <w:rFonts w:ascii="Times New Roman" w:hAnsi="Times New Roman"/>
          <w:color w:val="auto"/>
          <w:sz w:val="22"/>
          <w:szCs w:val="22"/>
          <w:lang w:val="fr-CH"/>
        </w:rPr>
      </w:pPr>
      <w:r w:rsidRPr="00143553">
        <w:rPr>
          <w:rFonts w:ascii="Times New Roman" w:hAnsi="Times New Roman"/>
          <w:color w:val="auto"/>
          <w:sz w:val="22"/>
          <w:szCs w:val="22"/>
          <w:lang w:val="fr-CH"/>
        </w:rPr>
        <w:t>Lek d.d, PE PROIZVODNJA LENDAVA</w:t>
      </w:r>
    </w:p>
    <w:p w14:paraId="586FCAE6" w14:textId="77777777" w:rsidR="008C6D61" w:rsidRPr="008C6D61" w:rsidRDefault="008C6D61" w:rsidP="008C6D61">
      <w:pPr>
        <w:numPr>
          <w:ilvl w:val="12"/>
          <w:numId w:val="0"/>
        </w:numPr>
        <w:rPr>
          <w:rFonts w:ascii="Times New Roman" w:hAnsi="Times New Roman"/>
          <w:color w:val="auto"/>
          <w:sz w:val="22"/>
          <w:szCs w:val="22"/>
          <w:lang w:val="fr-CH"/>
        </w:rPr>
      </w:pPr>
      <w:r w:rsidRPr="008C6D61">
        <w:rPr>
          <w:rFonts w:ascii="Times New Roman" w:hAnsi="Times New Roman"/>
          <w:color w:val="auto"/>
          <w:sz w:val="22"/>
          <w:szCs w:val="22"/>
          <w:lang w:val="fr-CH"/>
        </w:rPr>
        <w:t>Trimlini 2D</w:t>
      </w:r>
    </w:p>
    <w:p w14:paraId="586FCAE7" w14:textId="77777777" w:rsidR="008C6D61" w:rsidRPr="008C6D61" w:rsidRDefault="008C6D61" w:rsidP="008C6D61">
      <w:pPr>
        <w:numPr>
          <w:ilvl w:val="12"/>
          <w:numId w:val="0"/>
        </w:numPr>
        <w:rPr>
          <w:rFonts w:ascii="Times New Roman" w:hAnsi="Times New Roman"/>
          <w:color w:val="auto"/>
          <w:sz w:val="22"/>
          <w:szCs w:val="22"/>
          <w:lang w:val="fr-CH"/>
        </w:rPr>
      </w:pPr>
      <w:r w:rsidRPr="008C6D61">
        <w:rPr>
          <w:rFonts w:ascii="Times New Roman" w:hAnsi="Times New Roman"/>
          <w:color w:val="auto"/>
          <w:sz w:val="22"/>
          <w:szCs w:val="22"/>
          <w:lang w:val="fr-CH"/>
        </w:rPr>
        <w:t>Lendava, 9220</w:t>
      </w:r>
    </w:p>
    <w:p w14:paraId="586FCAE8" w14:textId="77777777" w:rsidR="008C6D61" w:rsidRPr="008C6D61" w:rsidRDefault="008C6D61" w:rsidP="008C6D61">
      <w:pPr>
        <w:numPr>
          <w:ilvl w:val="12"/>
          <w:numId w:val="0"/>
        </w:numPr>
        <w:rPr>
          <w:rFonts w:ascii="Times New Roman" w:hAnsi="Times New Roman"/>
          <w:color w:val="auto"/>
          <w:sz w:val="22"/>
          <w:szCs w:val="22"/>
          <w:lang w:val="pt-BR"/>
        </w:rPr>
      </w:pPr>
      <w:r w:rsidRPr="008C6D61">
        <w:rPr>
          <w:rFonts w:ascii="Times New Roman" w:hAnsi="Times New Roman"/>
          <w:color w:val="auto"/>
          <w:sz w:val="22"/>
          <w:szCs w:val="22"/>
          <w:lang w:val="fr-CH"/>
        </w:rPr>
        <w:t>Slovenia</w:t>
      </w:r>
    </w:p>
    <w:p w14:paraId="586FCAE9" w14:textId="77777777" w:rsidR="008C6D61" w:rsidRPr="008C6D61" w:rsidRDefault="008C6D61" w:rsidP="008C6D61">
      <w:pPr>
        <w:numPr>
          <w:ilvl w:val="12"/>
          <w:numId w:val="0"/>
        </w:numPr>
        <w:rPr>
          <w:rFonts w:ascii="Times New Roman" w:hAnsi="Times New Roman"/>
          <w:color w:val="auto"/>
          <w:sz w:val="22"/>
          <w:szCs w:val="22"/>
          <w:lang w:val="pt-BR"/>
        </w:rPr>
      </w:pPr>
    </w:p>
    <w:p w14:paraId="586FCAEA" w14:textId="77777777" w:rsidR="008F2D51" w:rsidRPr="00143553" w:rsidRDefault="008F2D51" w:rsidP="008F2D51">
      <w:pPr>
        <w:numPr>
          <w:ilvl w:val="12"/>
          <w:numId w:val="0"/>
        </w:numPr>
        <w:rPr>
          <w:rFonts w:ascii="Times New Roman" w:hAnsi="Times New Roman"/>
          <w:color w:val="auto"/>
          <w:sz w:val="22"/>
          <w:szCs w:val="22"/>
          <w:lang w:val="fr-CH"/>
        </w:rPr>
      </w:pPr>
      <w:r w:rsidRPr="00143553">
        <w:rPr>
          <w:rFonts w:ascii="Times New Roman" w:hAnsi="Times New Roman"/>
          <w:color w:val="auto"/>
          <w:sz w:val="22"/>
          <w:szCs w:val="22"/>
          <w:lang w:val="fr-CH"/>
        </w:rPr>
        <w:t>Novartis Pharma GmbH</w:t>
      </w:r>
    </w:p>
    <w:p w14:paraId="586FCAEB" w14:textId="77777777" w:rsidR="008F2D51" w:rsidRPr="00744D9D" w:rsidRDefault="008F2D51" w:rsidP="008F2D51">
      <w:pPr>
        <w:numPr>
          <w:ilvl w:val="12"/>
          <w:numId w:val="0"/>
        </w:numPr>
        <w:rPr>
          <w:rFonts w:ascii="Times New Roman" w:hAnsi="Times New Roman"/>
          <w:color w:val="auto"/>
          <w:sz w:val="22"/>
          <w:szCs w:val="22"/>
          <w:lang w:val="fr-CH"/>
        </w:rPr>
      </w:pPr>
      <w:r w:rsidRPr="00744D9D">
        <w:rPr>
          <w:rFonts w:ascii="Times New Roman" w:hAnsi="Times New Roman"/>
          <w:color w:val="auto"/>
          <w:sz w:val="22"/>
          <w:szCs w:val="22"/>
          <w:lang w:val="fr-CH"/>
        </w:rPr>
        <w:t>Roonstrasse 25</w:t>
      </w:r>
    </w:p>
    <w:p w14:paraId="586FCAEC" w14:textId="77777777" w:rsidR="008F2D51" w:rsidRPr="002A600D" w:rsidRDefault="008F2D51" w:rsidP="008F2D51">
      <w:pPr>
        <w:numPr>
          <w:ilvl w:val="12"/>
          <w:numId w:val="0"/>
        </w:numPr>
        <w:rPr>
          <w:rFonts w:ascii="Times New Roman" w:hAnsi="Times New Roman"/>
          <w:color w:val="auto"/>
          <w:sz w:val="22"/>
          <w:szCs w:val="22"/>
          <w:lang w:val="de-CH"/>
        </w:rPr>
      </w:pPr>
      <w:r w:rsidRPr="002A600D">
        <w:rPr>
          <w:rFonts w:ascii="Times New Roman" w:hAnsi="Times New Roman"/>
          <w:color w:val="auto"/>
          <w:sz w:val="22"/>
          <w:szCs w:val="22"/>
          <w:lang w:val="de-CH"/>
        </w:rPr>
        <w:t>D-90429 Nürnberg</w:t>
      </w:r>
    </w:p>
    <w:p w14:paraId="586FCAED" w14:textId="77777777" w:rsidR="008F2D51" w:rsidRPr="002A600D" w:rsidRDefault="008F2D51" w:rsidP="008F2D51">
      <w:pPr>
        <w:numPr>
          <w:ilvl w:val="12"/>
          <w:numId w:val="0"/>
        </w:numPr>
        <w:rPr>
          <w:rFonts w:ascii="Times New Roman" w:hAnsi="Times New Roman"/>
          <w:color w:val="auto"/>
          <w:sz w:val="22"/>
          <w:szCs w:val="22"/>
          <w:lang w:val="de-CH"/>
        </w:rPr>
      </w:pPr>
      <w:r w:rsidRPr="002A600D">
        <w:rPr>
          <w:rFonts w:ascii="Times New Roman" w:hAnsi="Times New Roman"/>
          <w:color w:val="auto"/>
          <w:sz w:val="22"/>
          <w:szCs w:val="22"/>
          <w:lang w:val="de-CH"/>
        </w:rPr>
        <w:t>Saksa</w:t>
      </w:r>
    </w:p>
    <w:p w14:paraId="586FCAEE" w14:textId="4BAC6026" w:rsidR="008F2D51" w:rsidRPr="002A600D" w:rsidRDefault="008F2D51" w:rsidP="008F2D51">
      <w:pPr>
        <w:numPr>
          <w:ilvl w:val="12"/>
          <w:numId w:val="0"/>
        </w:numPr>
        <w:rPr>
          <w:rFonts w:ascii="Times New Roman" w:hAnsi="Times New Roman"/>
          <w:color w:val="auto"/>
          <w:sz w:val="22"/>
          <w:szCs w:val="22"/>
          <w:lang w:val="de-CH"/>
        </w:rPr>
      </w:pPr>
    </w:p>
    <w:p w14:paraId="07A23165" w14:textId="77777777" w:rsidR="008D10FD" w:rsidRPr="002A600D" w:rsidRDefault="008D10FD" w:rsidP="008D10FD">
      <w:pPr>
        <w:numPr>
          <w:ilvl w:val="12"/>
          <w:numId w:val="0"/>
        </w:numPr>
        <w:rPr>
          <w:rFonts w:ascii="Times New Roman" w:hAnsi="Times New Roman"/>
          <w:color w:val="auto"/>
          <w:sz w:val="22"/>
          <w:szCs w:val="22"/>
          <w:lang w:val="de-CH"/>
        </w:rPr>
      </w:pPr>
      <w:r w:rsidRPr="002A600D">
        <w:rPr>
          <w:rFonts w:ascii="Times New Roman" w:hAnsi="Times New Roman"/>
          <w:color w:val="auto"/>
          <w:sz w:val="22"/>
          <w:szCs w:val="22"/>
          <w:lang w:val="de-CH"/>
        </w:rPr>
        <w:t>Sandoz S.R.L.</w:t>
      </w:r>
    </w:p>
    <w:p w14:paraId="744D984D" w14:textId="77777777" w:rsidR="008D10FD" w:rsidRPr="008F247D" w:rsidRDefault="008D10FD" w:rsidP="008D10FD">
      <w:pPr>
        <w:numPr>
          <w:ilvl w:val="12"/>
          <w:numId w:val="0"/>
        </w:numPr>
        <w:rPr>
          <w:rFonts w:ascii="Times New Roman" w:hAnsi="Times New Roman"/>
          <w:color w:val="auto"/>
          <w:sz w:val="22"/>
          <w:szCs w:val="22"/>
          <w:lang w:val="en-US"/>
        </w:rPr>
      </w:pPr>
      <w:r w:rsidRPr="008F247D">
        <w:rPr>
          <w:rFonts w:ascii="Times New Roman" w:hAnsi="Times New Roman"/>
          <w:color w:val="auto"/>
          <w:sz w:val="22"/>
          <w:szCs w:val="22"/>
          <w:lang w:val="en-US"/>
        </w:rPr>
        <w:t>Str. Livezeni nr. 7A</w:t>
      </w:r>
    </w:p>
    <w:p w14:paraId="5FD8AD0B" w14:textId="77777777" w:rsidR="008D10FD" w:rsidRPr="008F247D" w:rsidRDefault="008D10FD" w:rsidP="008D10FD">
      <w:pPr>
        <w:numPr>
          <w:ilvl w:val="12"/>
          <w:numId w:val="0"/>
        </w:numPr>
        <w:rPr>
          <w:rFonts w:ascii="Times New Roman" w:hAnsi="Times New Roman"/>
          <w:color w:val="auto"/>
          <w:sz w:val="22"/>
          <w:szCs w:val="22"/>
          <w:lang w:val="en-US"/>
        </w:rPr>
      </w:pPr>
      <w:r w:rsidRPr="008F247D">
        <w:rPr>
          <w:rFonts w:ascii="Times New Roman" w:hAnsi="Times New Roman"/>
          <w:color w:val="auto"/>
          <w:sz w:val="22"/>
          <w:szCs w:val="22"/>
          <w:lang w:val="en-US"/>
        </w:rPr>
        <w:t>540472, Targu Mures</w:t>
      </w:r>
    </w:p>
    <w:p w14:paraId="2EF17204" w14:textId="6F66AD64" w:rsidR="008D10FD" w:rsidRDefault="008D10FD" w:rsidP="008D10FD">
      <w:pPr>
        <w:numPr>
          <w:ilvl w:val="12"/>
          <w:numId w:val="0"/>
        </w:numPr>
        <w:rPr>
          <w:rFonts w:ascii="Times New Roman" w:hAnsi="Times New Roman"/>
          <w:color w:val="auto"/>
          <w:sz w:val="22"/>
          <w:szCs w:val="22"/>
        </w:rPr>
      </w:pPr>
      <w:r w:rsidRPr="008D10FD">
        <w:rPr>
          <w:rFonts w:ascii="Times New Roman" w:hAnsi="Times New Roman"/>
          <w:color w:val="auto"/>
          <w:sz w:val="22"/>
          <w:szCs w:val="22"/>
        </w:rPr>
        <w:t>Romania</w:t>
      </w:r>
    </w:p>
    <w:p w14:paraId="5116C4F8" w14:textId="77777777" w:rsidR="008D10FD" w:rsidRPr="008C6D61" w:rsidRDefault="008D10FD" w:rsidP="008D10FD">
      <w:pPr>
        <w:numPr>
          <w:ilvl w:val="12"/>
          <w:numId w:val="0"/>
        </w:numPr>
        <w:rPr>
          <w:rFonts w:ascii="Times New Roman" w:hAnsi="Times New Roman"/>
          <w:color w:val="auto"/>
          <w:sz w:val="22"/>
          <w:szCs w:val="22"/>
        </w:rPr>
      </w:pPr>
    </w:p>
    <w:p w14:paraId="586FCAEF" w14:textId="77777777" w:rsidR="008F2D51" w:rsidRPr="008C6D61" w:rsidRDefault="008C6D61" w:rsidP="008F2D51">
      <w:pPr>
        <w:numPr>
          <w:ilvl w:val="12"/>
          <w:numId w:val="0"/>
        </w:numPr>
        <w:rPr>
          <w:rFonts w:ascii="Times New Roman" w:hAnsi="Times New Roman"/>
          <w:color w:val="auto"/>
          <w:sz w:val="22"/>
          <w:szCs w:val="22"/>
        </w:rPr>
      </w:pPr>
      <w:r w:rsidRPr="008C6D61">
        <w:rPr>
          <w:rFonts w:ascii="Times New Roman" w:hAnsi="Times New Roman"/>
          <w:color w:val="auto"/>
          <w:sz w:val="22"/>
          <w:szCs w:val="22"/>
        </w:rPr>
        <w:t>Lääkevalmisteen painetussa pakkausselosteessa on ilmoitettava kyseisen erän vapauttamisesta vastaavan valmistusluvan haltijan nimi ja osoite.</w:t>
      </w:r>
    </w:p>
    <w:p w14:paraId="586FCAF0" w14:textId="77777777" w:rsidR="008C6D61" w:rsidRPr="008C6D61" w:rsidRDefault="008C6D61" w:rsidP="008F2D51">
      <w:pPr>
        <w:numPr>
          <w:ilvl w:val="12"/>
          <w:numId w:val="0"/>
        </w:numPr>
        <w:rPr>
          <w:rFonts w:ascii="Times New Roman" w:hAnsi="Times New Roman"/>
          <w:color w:val="auto"/>
          <w:sz w:val="22"/>
          <w:szCs w:val="22"/>
        </w:rPr>
      </w:pPr>
    </w:p>
    <w:p w14:paraId="586FCAF1" w14:textId="77777777" w:rsidR="008C6D61" w:rsidRPr="008C6D61" w:rsidRDefault="008C6D61" w:rsidP="008F2D51">
      <w:pPr>
        <w:numPr>
          <w:ilvl w:val="12"/>
          <w:numId w:val="0"/>
        </w:numPr>
        <w:rPr>
          <w:rFonts w:ascii="Times New Roman" w:hAnsi="Times New Roman"/>
          <w:sz w:val="22"/>
          <w:szCs w:val="22"/>
        </w:rPr>
      </w:pPr>
    </w:p>
    <w:p w14:paraId="586FCAF2" w14:textId="77777777" w:rsidR="008F2D51" w:rsidRDefault="008F2D51" w:rsidP="00CE1795">
      <w:pPr>
        <w:keepNext/>
        <w:ind w:left="567" w:hanging="567"/>
        <w:rPr>
          <w:rFonts w:ascii="Times New Roman" w:hAnsi="Times New Roman"/>
          <w:sz w:val="22"/>
          <w:szCs w:val="22"/>
        </w:rPr>
      </w:pPr>
      <w:r>
        <w:rPr>
          <w:rFonts w:ascii="Times New Roman" w:hAnsi="Times New Roman"/>
          <w:b/>
          <w:sz w:val="22"/>
          <w:szCs w:val="22"/>
        </w:rPr>
        <w:t>B.</w:t>
      </w:r>
      <w:r>
        <w:rPr>
          <w:rFonts w:ascii="Times New Roman" w:hAnsi="Times New Roman"/>
          <w:b/>
          <w:sz w:val="22"/>
          <w:szCs w:val="22"/>
        </w:rPr>
        <w:tab/>
        <w:t>TOIMITTAMISEEN JA KÄYTTÖÖN LIITTYVÄT EHDOT TAI RAJOITUKSET</w:t>
      </w:r>
    </w:p>
    <w:p w14:paraId="586FCAF3" w14:textId="77777777" w:rsidR="008F2D51" w:rsidRDefault="008F2D51" w:rsidP="00CE1795">
      <w:pPr>
        <w:keepNext/>
        <w:rPr>
          <w:rFonts w:ascii="Times New Roman" w:hAnsi="Times New Roman"/>
          <w:sz w:val="22"/>
          <w:szCs w:val="22"/>
        </w:rPr>
      </w:pPr>
    </w:p>
    <w:p w14:paraId="586FCAF4" w14:textId="77777777" w:rsidR="008F2D51" w:rsidRDefault="008F2D51" w:rsidP="008F2D51">
      <w:pPr>
        <w:numPr>
          <w:ilvl w:val="12"/>
          <w:numId w:val="0"/>
        </w:numPr>
        <w:rPr>
          <w:rFonts w:ascii="Times New Roman" w:hAnsi="Times New Roman"/>
          <w:sz w:val="22"/>
          <w:szCs w:val="22"/>
        </w:rPr>
      </w:pPr>
      <w:r>
        <w:rPr>
          <w:rFonts w:ascii="Times New Roman" w:hAnsi="Times New Roman"/>
          <w:sz w:val="22"/>
          <w:szCs w:val="22"/>
        </w:rPr>
        <w:t>Reseptilääke, jonka määräämiseen liittyy rajoitus (ks. liite I: valmisteyhteenvedon kohta 4.2).</w:t>
      </w:r>
    </w:p>
    <w:p w14:paraId="586FCAF5" w14:textId="77777777" w:rsidR="008F2D51" w:rsidRDefault="008F2D51" w:rsidP="008F2D51">
      <w:pPr>
        <w:numPr>
          <w:ilvl w:val="12"/>
          <w:numId w:val="0"/>
        </w:numPr>
        <w:rPr>
          <w:rFonts w:ascii="Times New Roman" w:hAnsi="Times New Roman"/>
          <w:sz w:val="22"/>
          <w:szCs w:val="22"/>
        </w:rPr>
      </w:pPr>
    </w:p>
    <w:p w14:paraId="586FCAF6" w14:textId="77777777" w:rsidR="008F2D51" w:rsidRDefault="008F2D51" w:rsidP="008F2D51">
      <w:pPr>
        <w:numPr>
          <w:ilvl w:val="12"/>
          <w:numId w:val="0"/>
        </w:numPr>
        <w:rPr>
          <w:rFonts w:ascii="Times New Roman" w:hAnsi="Times New Roman"/>
          <w:sz w:val="22"/>
          <w:szCs w:val="22"/>
        </w:rPr>
      </w:pPr>
    </w:p>
    <w:p w14:paraId="586FCAF7" w14:textId="77777777" w:rsidR="008F2D51" w:rsidRPr="00C9152F" w:rsidRDefault="008F2D51" w:rsidP="00CE1795">
      <w:pPr>
        <w:keepNext/>
        <w:ind w:right="567"/>
        <w:rPr>
          <w:rFonts w:ascii="Times New Roman" w:hAnsi="Times New Roman"/>
          <w:b/>
          <w:sz w:val="22"/>
          <w:szCs w:val="22"/>
        </w:rPr>
      </w:pPr>
      <w:r>
        <w:rPr>
          <w:rFonts w:ascii="Times New Roman" w:hAnsi="Times New Roman"/>
          <w:b/>
          <w:sz w:val="22"/>
          <w:szCs w:val="22"/>
        </w:rPr>
        <w:t>C.</w:t>
      </w:r>
      <w:r>
        <w:rPr>
          <w:rFonts w:ascii="Times New Roman" w:hAnsi="Times New Roman"/>
          <w:b/>
          <w:sz w:val="22"/>
          <w:szCs w:val="22"/>
        </w:rPr>
        <w:tab/>
        <w:t xml:space="preserve">MYYNTILUVAN </w:t>
      </w:r>
      <w:r w:rsidRPr="00C9152F">
        <w:rPr>
          <w:rFonts w:ascii="Times New Roman" w:hAnsi="Times New Roman"/>
          <w:b/>
          <w:sz w:val="22"/>
          <w:szCs w:val="22"/>
        </w:rPr>
        <w:t>MUUT EHDOT</w:t>
      </w:r>
      <w:r>
        <w:rPr>
          <w:rFonts w:ascii="Times New Roman" w:hAnsi="Times New Roman"/>
          <w:b/>
          <w:sz w:val="22"/>
          <w:szCs w:val="22"/>
        </w:rPr>
        <w:t xml:space="preserve"> JA EDELLYTYKSET</w:t>
      </w:r>
    </w:p>
    <w:p w14:paraId="586FCAF8" w14:textId="77777777" w:rsidR="008F2D51" w:rsidRDefault="008F2D51" w:rsidP="00CE1795">
      <w:pPr>
        <w:keepNext/>
        <w:widowControl w:val="0"/>
        <w:ind w:right="566"/>
        <w:rPr>
          <w:rFonts w:ascii="Times New Roman" w:hAnsi="Times New Roman"/>
          <w:sz w:val="22"/>
          <w:szCs w:val="22"/>
        </w:rPr>
      </w:pPr>
    </w:p>
    <w:p w14:paraId="586FCAF9" w14:textId="77777777" w:rsidR="00170E55" w:rsidRPr="00170E55" w:rsidRDefault="00170E55" w:rsidP="00CE1795">
      <w:pPr>
        <w:keepNext/>
        <w:numPr>
          <w:ilvl w:val="0"/>
          <w:numId w:val="27"/>
        </w:numPr>
        <w:ind w:left="567" w:right="-1" w:hanging="567"/>
        <w:rPr>
          <w:rFonts w:ascii="Times New Roman" w:hAnsi="Times New Roman"/>
          <w:b/>
          <w:noProof/>
          <w:sz w:val="22"/>
          <w:szCs w:val="22"/>
          <w:lang w:val="en-US"/>
        </w:rPr>
      </w:pPr>
      <w:r w:rsidRPr="00170E55">
        <w:rPr>
          <w:rFonts w:ascii="Times New Roman" w:hAnsi="Times New Roman"/>
          <w:b/>
          <w:noProof/>
          <w:sz w:val="22"/>
          <w:szCs w:val="22"/>
          <w:lang w:val="en-US"/>
        </w:rPr>
        <w:t>Määräaikaiset turvallisuuskatsaukset</w:t>
      </w:r>
    </w:p>
    <w:p w14:paraId="586FCAFA" w14:textId="77777777" w:rsidR="00170E55" w:rsidRPr="00BE36F5" w:rsidRDefault="00532E14" w:rsidP="00170E55">
      <w:pPr>
        <w:widowControl w:val="0"/>
        <w:ind w:right="566"/>
        <w:rPr>
          <w:rFonts w:ascii="Times New Roman" w:hAnsi="Times New Roman"/>
          <w:sz w:val="22"/>
          <w:szCs w:val="22"/>
        </w:rPr>
      </w:pPr>
      <w:r w:rsidRPr="00BE36F5">
        <w:rPr>
          <w:rFonts w:ascii="Times New Roman" w:hAnsi="Times New Roman"/>
          <w:sz w:val="22"/>
          <w:szCs w:val="22"/>
        </w:rPr>
        <w:t>Tämän lääkevalmisteen osalta velvoitteet määräaikaisten turvallisuuskatsausten toimittamisesta on määritelty Euroopan Unionin viitepäivämäärät (EURD) ja toimittamisvaatimukset sisältävässä luettelossa, josta on säädetty Direktiivin 2001/83/EC Artiklassa 107c(7), ja kaikissa luettelon myöhemmissä päivityksissä, jotka on julkaistu Euroopan lääkeviraston verkkosivuilla.</w:t>
      </w:r>
    </w:p>
    <w:p w14:paraId="586FCAFB" w14:textId="77777777" w:rsidR="009F5F69" w:rsidRDefault="009F5F69" w:rsidP="00170E55">
      <w:pPr>
        <w:widowControl w:val="0"/>
        <w:ind w:right="566"/>
        <w:rPr>
          <w:rFonts w:ascii="Times New Roman" w:hAnsi="Times New Roman"/>
          <w:sz w:val="22"/>
          <w:szCs w:val="22"/>
        </w:rPr>
      </w:pPr>
    </w:p>
    <w:p w14:paraId="586FCAFC" w14:textId="77777777" w:rsidR="00BE36F5" w:rsidRPr="00BE36F5" w:rsidRDefault="00BE36F5" w:rsidP="00170E55">
      <w:pPr>
        <w:widowControl w:val="0"/>
        <w:ind w:right="566"/>
        <w:rPr>
          <w:rFonts w:ascii="Times New Roman" w:hAnsi="Times New Roman"/>
          <w:sz w:val="22"/>
          <w:szCs w:val="22"/>
        </w:rPr>
      </w:pPr>
    </w:p>
    <w:p w14:paraId="586FCAFD" w14:textId="77777777" w:rsidR="00170E55" w:rsidRPr="00170E55" w:rsidRDefault="00170E55" w:rsidP="00CE1795">
      <w:pPr>
        <w:keepNext/>
        <w:ind w:left="567" w:right="567" w:hanging="567"/>
        <w:rPr>
          <w:rFonts w:ascii="Times New Roman" w:hAnsi="Times New Roman"/>
          <w:b/>
          <w:sz w:val="22"/>
          <w:szCs w:val="22"/>
        </w:rPr>
      </w:pPr>
      <w:r w:rsidRPr="00170E55">
        <w:rPr>
          <w:rFonts w:ascii="Times New Roman" w:hAnsi="Times New Roman"/>
          <w:b/>
          <w:sz w:val="22"/>
          <w:szCs w:val="22"/>
        </w:rPr>
        <w:t>D.</w:t>
      </w:r>
      <w:r w:rsidRPr="00170E55">
        <w:rPr>
          <w:rFonts w:ascii="Times New Roman" w:hAnsi="Times New Roman"/>
          <w:b/>
          <w:sz w:val="22"/>
          <w:szCs w:val="22"/>
        </w:rPr>
        <w:tab/>
        <w:t>EHDOT TAI RAJOITUKSET, JOTKA KOSKEVAT LÄÄKEVALMISTEEN TURVALLISTA JA TEHOKASTA KÄYTTÖÄ</w:t>
      </w:r>
    </w:p>
    <w:p w14:paraId="586FCAFE" w14:textId="77777777" w:rsidR="00170E55" w:rsidRPr="007D6145" w:rsidRDefault="00170E55" w:rsidP="00CE1795">
      <w:pPr>
        <w:keepNext/>
        <w:ind w:right="567"/>
        <w:rPr>
          <w:rFonts w:ascii="Times New Roman" w:hAnsi="Times New Roman"/>
          <w:sz w:val="22"/>
          <w:szCs w:val="22"/>
        </w:rPr>
      </w:pPr>
    </w:p>
    <w:p w14:paraId="586FCAFF" w14:textId="77777777" w:rsidR="00170E55" w:rsidRPr="00170E55" w:rsidRDefault="00170E55" w:rsidP="00CE1795">
      <w:pPr>
        <w:keepNext/>
        <w:numPr>
          <w:ilvl w:val="0"/>
          <w:numId w:val="27"/>
        </w:numPr>
        <w:ind w:left="567" w:right="-1" w:hanging="567"/>
        <w:rPr>
          <w:rFonts w:ascii="Times New Roman" w:hAnsi="Times New Roman"/>
          <w:b/>
          <w:noProof/>
          <w:sz w:val="22"/>
          <w:szCs w:val="22"/>
          <w:lang w:val="en-US"/>
        </w:rPr>
      </w:pPr>
      <w:r w:rsidRPr="00170E55">
        <w:rPr>
          <w:rFonts w:ascii="Times New Roman" w:hAnsi="Times New Roman"/>
          <w:b/>
          <w:noProof/>
          <w:sz w:val="22"/>
          <w:szCs w:val="22"/>
          <w:lang w:val="en-US"/>
        </w:rPr>
        <w:t>Riskinhallintasuunnitelma (RMP)</w:t>
      </w:r>
    </w:p>
    <w:p w14:paraId="586FCB00" w14:textId="77777777" w:rsidR="00170E55" w:rsidRPr="00170E55" w:rsidRDefault="00170E55" w:rsidP="00170E55">
      <w:pPr>
        <w:widowControl w:val="0"/>
        <w:ind w:right="566"/>
        <w:rPr>
          <w:rFonts w:ascii="Times New Roman" w:hAnsi="Times New Roman"/>
          <w:sz w:val="22"/>
          <w:szCs w:val="22"/>
        </w:rPr>
      </w:pPr>
      <w:r w:rsidRPr="00170E55">
        <w:rPr>
          <w:rFonts w:ascii="Times New Roman" w:hAnsi="Times New Roman"/>
          <w:sz w:val="22"/>
          <w:szCs w:val="22"/>
        </w:rPr>
        <w:t>Myyntiluvan haltijan on suoritettava vaaditut lääketurvatoimet ja interventiot myyntiluvan moduulissa 1.8.2 esitetyn sovit</w:t>
      </w:r>
      <w:r>
        <w:rPr>
          <w:rFonts w:ascii="Times New Roman" w:hAnsi="Times New Roman"/>
          <w:sz w:val="22"/>
          <w:szCs w:val="22"/>
        </w:rPr>
        <w:t xml:space="preserve">un riskinhallintasuunnitelman </w:t>
      </w:r>
      <w:r w:rsidRPr="00170E55">
        <w:rPr>
          <w:rFonts w:ascii="Times New Roman" w:hAnsi="Times New Roman"/>
          <w:sz w:val="22"/>
          <w:szCs w:val="22"/>
        </w:rPr>
        <w:t>sekä mahdollisten sovittujen riskinhallintasuunnitelman myöhempien päivitysten mukaisesti.</w:t>
      </w:r>
    </w:p>
    <w:p w14:paraId="586FCB01" w14:textId="77777777" w:rsidR="00170E55" w:rsidRPr="00170E55" w:rsidRDefault="00170E55" w:rsidP="00170E55">
      <w:pPr>
        <w:widowControl w:val="0"/>
        <w:ind w:right="566"/>
        <w:rPr>
          <w:rFonts w:ascii="Times New Roman" w:hAnsi="Times New Roman"/>
          <w:sz w:val="22"/>
          <w:szCs w:val="22"/>
        </w:rPr>
      </w:pPr>
    </w:p>
    <w:p w14:paraId="586FCB02" w14:textId="77777777" w:rsidR="00170E55" w:rsidRPr="00170E55" w:rsidRDefault="00170E55" w:rsidP="00CE1795">
      <w:pPr>
        <w:keepNext/>
        <w:widowControl w:val="0"/>
        <w:ind w:right="566"/>
        <w:rPr>
          <w:rFonts w:ascii="Times New Roman" w:hAnsi="Times New Roman"/>
          <w:sz w:val="22"/>
          <w:szCs w:val="22"/>
        </w:rPr>
      </w:pPr>
      <w:r w:rsidRPr="00170E55">
        <w:rPr>
          <w:rFonts w:ascii="Times New Roman" w:hAnsi="Times New Roman"/>
          <w:sz w:val="22"/>
          <w:szCs w:val="22"/>
        </w:rPr>
        <w:t>Päivitetty RMP tulee toimittaa</w:t>
      </w:r>
    </w:p>
    <w:p w14:paraId="586FCB03" w14:textId="77777777" w:rsidR="00170E55" w:rsidRPr="00170E55" w:rsidRDefault="00170E55" w:rsidP="00CE1795">
      <w:pPr>
        <w:keepNext/>
        <w:numPr>
          <w:ilvl w:val="0"/>
          <w:numId w:val="27"/>
        </w:numPr>
        <w:ind w:left="567" w:right="-1" w:hanging="567"/>
        <w:rPr>
          <w:rFonts w:ascii="Times New Roman" w:hAnsi="Times New Roman"/>
          <w:noProof/>
          <w:sz w:val="22"/>
          <w:szCs w:val="22"/>
          <w:lang w:val="en-US"/>
        </w:rPr>
      </w:pPr>
      <w:r w:rsidRPr="00170E55">
        <w:rPr>
          <w:rFonts w:ascii="Times New Roman" w:hAnsi="Times New Roman"/>
          <w:noProof/>
          <w:sz w:val="22"/>
          <w:szCs w:val="22"/>
          <w:lang w:val="en-US"/>
        </w:rPr>
        <w:t>Euroopan lääkeviraston pyynnöstä</w:t>
      </w:r>
    </w:p>
    <w:p w14:paraId="586FCB04" w14:textId="77777777" w:rsidR="00170E55" w:rsidRPr="00170E55" w:rsidRDefault="00170E55" w:rsidP="00774A0B">
      <w:pPr>
        <w:keepLines/>
        <w:numPr>
          <w:ilvl w:val="0"/>
          <w:numId w:val="27"/>
        </w:numPr>
        <w:ind w:left="567" w:hanging="567"/>
        <w:rPr>
          <w:rFonts w:ascii="Times New Roman" w:hAnsi="Times New Roman"/>
          <w:noProof/>
          <w:sz w:val="22"/>
          <w:szCs w:val="22"/>
        </w:rPr>
      </w:pPr>
      <w:r w:rsidRPr="00170E55">
        <w:rPr>
          <w:rFonts w:ascii="Times New Roman" w:hAnsi="Times New Roman"/>
          <w:noProof/>
          <w:sz w:val="22"/>
          <w:szCs w:val="22"/>
        </w:rPr>
        <w:t>kun riskinhallintajärjestelmää muutetaan, varsinkin kun saadaan uutta tietoa, joka saattaa johtaa hyöty-riskiprofiilin merkittävään muutokseen, tai kun on saavutettu tärkeä tavoite (lääketurvatoiminnassa tai riskien minimoinnissa).</w:t>
      </w:r>
    </w:p>
    <w:p w14:paraId="586FCB05" w14:textId="77777777" w:rsidR="00170E55" w:rsidRPr="00170E55" w:rsidRDefault="00170E55" w:rsidP="00170E55">
      <w:pPr>
        <w:widowControl w:val="0"/>
        <w:ind w:right="566"/>
        <w:rPr>
          <w:rFonts w:ascii="Times New Roman" w:hAnsi="Times New Roman"/>
          <w:sz w:val="22"/>
          <w:szCs w:val="22"/>
        </w:rPr>
      </w:pPr>
    </w:p>
    <w:p w14:paraId="586FCB06" w14:textId="77777777" w:rsidR="00D0737D" w:rsidRPr="00D0737D" w:rsidRDefault="00D0737D" w:rsidP="00774A0B">
      <w:pPr>
        <w:keepNext/>
        <w:numPr>
          <w:ilvl w:val="0"/>
          <w:numId w:val="28"/>
        </w:numPr>
        <w:suppressLineNumbers/>
        <w:tabs>
          <w:tab w:val="left" w:pos="567"/>
        </w:tabs>
        <w:spacing w:line="260" w:lineRule="exact"/>
        <w:ind w:right="-1" w:hanging="720"/>
        <w:rPr>
          <w:rFonts w:ascii="Times New Roman" w:hAnsi="Times New Roman"/>
          <w:b/>
          <w:color w:val="auto"/>
          <w:sz w:val="22"/>
          <w:szCs w:val="24"/>
        </w:rPr>
      </w:pPr>
      <w:r w:rsidRPr="00D0737D">
        <w:rPr>
          <w:rFonts w:ascii="Times New Roman" w:hAnsi="Times New Roman"/>
          <w:b/>
          <w:noProof/>
          <w:color w:val="auto"/>
          <w:sz w:val="22"/>
          <w:szCs w:val="24"/>
        </w:rPr>
        <w:lastRenderedPageBreak/>
        <w:t>Velvoite toteuttaa myyntiluvan myöntämisen jälkeisiä toimenpiteitä</w:t>
      </w:r>
    </w:p>
    <w:p w14:paraId="586FCB07" w14:textId="77777777" w:rsidR="00D0737D" w:rsidRPr="00D0737D" w:rsidRDefault="00D0737D" w:rsidP="00774A0B">
      <w:pPr>
        <w:keepNext/>
        <w:ind w:right="-1"/>
        <w:rPr>
          <w:rFonts w:ascii="Times New Roman" w:hAnsi="Times New Roman"/>
          <w:color w:val="auto"/>
          <w:sz w:val="22"/>
          <w:szCs w:val="24"/>
        </w:rPr>
      </w:pPr>
    </w:p>
    <w:p w14:paraId="586FCB08" w14:textId="77777777" w:rsidR="00D0737D" w:rsidRPr="000838BF" w:rsidRDefault="00D0737D" w:rsidP="00774A0B">
      <w:pPr>
        <w:keepNext/>
        <w:ind w:right="-1"/>
        <w:rPr>
          <w:rFonts w:ascii="Times New Roman" w:hAnsi="Times New Roman"/>
          <w:color w:val="auto"/>
          <w:sz w:val="22"/>
          <w:szCs w:val="22"/>
        </w:rPr>
      </w:pPr>
      <w:r w:rsidRPr="000838BF">
        <w:rPr>
          <w:rFonts w:ascii="Times New Roman" w:hAnsi="Times New Roman"/>
          <w:noProof/>
          <w:color w:val="auto"/>
          <w:sz w:val="22"/>
          <w:szCs w:val="22"/>
        </w:rPr>
        <w:t>Myyntiluvan haltijan on toteutettava seuraavat toimenpiteet esitetyn aikataulun mukaisesti:</w:t>
      </w:r>
    </w:p>
    <w:p w14:paraId="586FCB09" w14:textId="77777777" w:rsidR="00D0737D" w:rsidRPr="000838BF" w:rsidRDefault="00D0737D" w:rsidP="00774A0B">
      <w:pPr>
        <w:keepNext/>
        <w:rPr>
          <w:rFonts w:ascii="Times New Roman" w:hAnsi="Times New Roman"/>
          <w:snapToGrid w:val="0"/>
          <w:color w:val="auto"/>
          <w:sz w:val="22"/>
          <w:szCs w:val="22"/>
        </w:rPr>
      </w:pPr>
    </w:p>
    <w:tbl>
      <w:tblPr>
        <w:tblW w:w="491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451"/>
        <w:gridCol w:w="1449"/>
      </w:tblGrid>
      <w:tr w:rsidR="00D0737D" w:rsidRPr="000838BF" w14:paraId="586FCB0C" w14:textId="77777777" w:rsidTr="00D1741C">
        <w:trPr>
          <w:tblHeader/>
        </w:trPr>
        <w:tc>
          <w:tcPr>
            <w:tcW w:w="4186" w:type="pct"/>
            <w:tcBorders>
              <w:top w:val="single" w:sz="4" w:space="0" w:color="auto"/>
              <w:bottom w:val="single" w:sz="4" w:space="0" w:color="auto"/>
            </w:tcBorders>
          </w:tcPr>
          <w:p w14:paraId="586FCB0A" w14:textId="77777777" w:rsidR="00D0737D" w:rsidRPr="000838BF" w:rsidRDefault="00D0737D" w:rsidP="00774A0B">
            <w:pPr>
              <w:keepNext/>
              <w:suppressLineNumbers/>
              <w:ind w:right="-1"/>
              <w:rPr>
                <w:rFonts w:ascii="Times New Roman" w:hAnsi="Times New Roman"/>
                <w:b/>
                <w:noProof/>
                <w:color w:val="auto"/>
                <w:sz w:val="22"/>
                <w:szCs w:val="22"/>
                <w:lang w:val="en-US"/>
              </w:rPr>
            </w:pPr>
            <w:r w:rsidRPr="000838BF">
              <w:rPr>
                <w:rFonts w:ascii="Times New Roman" w:hAnsi="Times New Roman"/>
                <w:b/>
                <w:noProof/>
                <w:color w:val="auto"/>
                <w:sz w:val="22"/>
                <w:szCs w:val="22"/>
                <w:lang w:val="en-US"/>
              </w:rPr>
              <w:t>Kuvaus</w:t>
            </w:r>
          </w:p>
        </w:tc>
        <w:tc>
          <w:tcPr>
            <w:tcW w:w="814" w:type="pct"/>
            <w:tcBorders>
              <w:top w:val="single" w:sz="4" w:space="0" w:color="auto"/>
              <w:bottom w:val="single" w:sz="4" w:space="0" w:color="auto"/>
            </w:tcBorders>
          </w:tcPr>
          <w:p w14:paraId="586FCB0B" w14:textId="77777777" w:rsidR="00D0737D" w:rsidRPr="000838BF" w:rsidRDefault="00D0737D" w:rsidP="00774A0B">
            <w:pPr>
              <w:keepNext/>
              <w:suppressLineNumbers/>
              <w:ind w:right="-1"/>
              <w:rPr>
                <w:rFonts w:ascii="Times New Roman" w:hAnsi="Times New Roman"/>
                <w:b/>
                <w:noProof/>
                <w:color w:val="auto"/>
                <w:sz w:val="22"/>
                <w:szCs w:val="22"/>
                <w:lang w:val="en-US"/>
              </w:rPr>
            </w:pPr>
            <w:r w:rsidRPr="000838BF">
              <w:rPr>
                <w:rFonts w:ascii="Times New Roman" w:hAnsi="Times New Roman"/>
                <w:b/>
                <w:noProof/>
                <w:color w:val="auto"/>
                <w:sz w:val="22"/>
                <w:szCs w:val="22"/>
                <w:lang w:val="en-US"/>
              </w:rPr>
              <w:t>Määräaika</w:t>
            </w:r>
          </w:p>
        </w:tc>
      </w:tr>
      <w:tr w:rsidR="00D0737D" w:rsidRPr="00A3493F" w14:paraId="586FCB0F" w14:textId="77777777" w:rsidTr="00D1741C">
        <w:tc>
          <w:tcPr>
            <w:tcW w:w="4186" w:type="pct"/>
          </w:tcPr>
          <w:p w14:paraId="586FCB0D" w14:textId="77777777" w:rsidR="00D0737D" w:rsidRPr="00A3493F" w:rsidRDefault="00A3493F" w:rsidP="00774A0B">
            <w:pPr>
              <w:keepLines/>
              <w:spacing w:line="280" w:lineRule="exact"/>
              <w:rPr>
                <w:rFonts w:ascii="Times New Roman" w:hAnsi="Times New Roman"/>
                <w:snapToGrid w:val="0"/>
                <w:color w:val="auto"/>
                <w:sz w:val="22"/>
                <w:szCs w:val="22"/>
              </w:rPr>
            </w:pPr>
            <w:r>
              <w:rPr>
                <w:rFonts w:ascii="Times New Roman" w:hAnsi="Times New Roman"/>
                <w:snapToGrid w:val="0"/>
                <w:color w:val="auto"/>
                <w:sz w:val="22"/>
                <w:szCs w:val="22"/>
              </w:rPr>
              <w:t>On perustettava tietokanta, johon kerätään teho- ja turvallisuustiedot ä</w:t>
            </w:r>
            <w:r w:rsidR="00F35944" w:rsidRPr="00A3493F">
              <w:rPr>
                <w:rFonts w:ascii="Times New Roman" w:hAnsi="Times New Roman"/>
                <w:snapToGrid w:val="0"/>
                <w:color w:val="auto"/>
                <w:sz w:val="22"/>
                <w:szCs w:val="22"/>
              </w:rPr>
              <w:t>skettäin diagnosoitua Ph</w:t>
            </w:r>
            <w:r>
              <w:rPr>
                <w:rFonts w:ascii="Times New Roman" w:hAnsi="Times New Roman"/>
                <w:snapToGrid w:val="0"/>
                <w:color w:val="auto"/>
                <w:sz w:val="22"/>
                <w:szCs w:val="22"/>
              </w:rPr>
              <w:t>+</w:t>
            </w:r>
            <w:r w:rsidR="00F35944" w:rsidRPr="00A3493F">
              <w:rPr>
                <w:rFonts w:ascii="Times New Roman" w:hAnsi="Times New Roman"/>
                <w:snapToGrid w:val="0"/>
                <w:color w:val="auto"/>
                <w:sz w:val="22"/>
                <w:szCs w:val="22"/>
              </w:rPr>
              <w:t xml:space="preserve"> akuuttia lymfaatti</w:t>
            </w:r>
            <w:r w:rsidR="00822D18">
              <w:rPr>
                <w:rFonts w:ascii="Times New Roman" w:hAnsi="Times New Roman"/>
                <w:snapToGrid w:val="0"/>
                <w:color w:val="auto"/>
                <w:sz w:val="22"/>
                <w:szCs w:val="22"/>
              </w:rPr>
              <w:t>st</w:t>
            </w:r>
            <w:r w:rsidR="00F35944" w:rsidRPr="00A3493F">
              <w:rPr>
                <w:rFonts w:ascii="Times New Roman" w:hAnsi="Times New Roman"/>
                <w:snapToGrid w:val="0"/>
                <w:color w:val="auto"/>
                <w:sz w:val="22"/>
                <w:szCs w:val="22"/>
              </w:rPr>
              <w:t>a leukemiaa (ALL) sairastavi</w:t>
            </w:r>
            <w:r>
              <w:rPr>
                <w:rFonts w:ascii="Times New Roman" w:hAnsi="Times New Roman"/>
                <w:snapToGrid w:val="0"/>
                <w:color w:val="auto"/>
                <w:sz w:val="22"/>
                <w:szCs w:val="22"/>
              </w:rPr>
              <w:t>st</w:t>
            </w:r>
            <w:r w:rsidR="00F35944" w:rsidRPr="00A3493F">
              <w:rPr>
                <w:rFonts w:ascii="Times New Roman" w:hAnsi="Times New Roman"/>
                <w:snapToGrid w:val="0"/>
                <w:color w:val="auto"/>
                <w:sz w:val="22"/>
                <w:szCs w:val="22"/>
              </w:rPr>
              <w:t xml:space="preserve">a </w:t>
            </w:r>
            <w:r w:rsidR="00F35944">
              <w:rPr>
                <w:rFonts w:ascii="Times New Roman" w:hAnsi="Times New Roman"/>
                <w:snapToGrid w:val="0"/>
                <w:color w:val="auto"/>
                <w:sz w:val="22"/>
                <w:szCs w:val="22"/>
              </w:rPr>
              <w:t>lapsi</w:t>
            </w:r>
            <w:r w:rsidR="00F35944" w:rsidRPr="00A3493F">
              <w:rPr>
                <w:rFonts w:ascii="Times New Roman" w:hAnsi="Times New Roman"/>
                <w:snapToGrid w:val="0"/>
                <w:color w:val="auto"/>
                <w:sz w:val="22"/>
                <w:szCs w:val="22"/>
              </w:rPr>
              <w:t>potilai</w:t>
            </w:r>
            <w:r>
              <w:rPr>
                <w:rFonts w:ascii="Times New Roman" w:hAnsi="Times New Roman"/>
                <w:snapToGrid w:val="0"/>
                <w:color w:val="auto"/>
                <w:sz w:val="22"/>
                <w:szCs w:val="22"/>
              </w:rPr>
              <w:t>st</w:t>
            </w:r>
            <w:r w:rsidR="00F35944" w:rsidRPr="00A3493F">
              <w:rPr>
                <w:rFonts w:ascii="Times New Roman" w:hAnsi="Times New Roman"/>
                <w:snapToGrid w:val="0"/>
                <w:color w:val="auto"/>
                <w:sz w:val="22"/>
                <w:szCs w:val="22"/>
              </w:rPr>
              <w:t>a</w:t>
            </w:r>
            <w:r w:rsidR="00822D18">
              <w:rPr>
                <w:rFonts w:ascii="Times New Roman" w:hAnsi="Times New Roman"/>
                <w:snapToGrid w:val="0"/>
                <w:color w:val="auto"/>
                <w:sz w:val="22"/>
                <w:szCs w:val="22"/>
              </w:rPr>
              <w:t xml:space="preserve">, joita hoidetaan kemoterapialla + imatinibilla </w:t>
            </w:r>
            <w:r w:rsidR="00822D18" w:rsidRPr="00A3493F">
              <w:rPr>
                <w:rFonts w:ascii="Times New Roman" w:hAnsi="Times New Roman"/>
                <w:sz w:val="22"/>
                <w:szCs w:val="22"/>
              </w:rPr>
              <w:t xml:space="preserve">± </w:t>
            </w:r>
            <w:r w:rsidR="00BF16BD">
              <w:rPr>
                <w:rFonts w:ascii="Times New Roman" w:hAnsi="Times New Roman"/>
                <w:sz w:val="22"/>
                <w:szCs w:val="22"/>
              </w:rPr>
              <w:t xml:space="preserve">luuytimen </w:t>
            </w:r>
            <w:r w:rsidR="00D10BBE">
              <w:rPr>
                <w:rFonts w:ascii="Times New Roman" w:hAnsi="Times New Roman"/>
                <w:sz w:val="22"/>
                <w:szCs w:val="22"/>
              </w:rPr>
              <w:t>kantasolusiirrolla.</w:t>
            </w:r>
            <w:r>
              <w:rPr>
                <w:rFonts w:ascii="Times New Roman" w:hAnsi="Times New Roman"/>
                <w:snapToGrid w:val="0"/>
                <w:color w:val="auto"/>
                <w:sz w:val="22"/>
                <w:szCs w:val="22"/>
              </w:rPr>
              <w:t xml:space="preserve"> </w:t>
            </w:r>
            <w:r w:rsidR="00822D18">
              <w:rPr>
                <w:rFonts w:ascii="Times New Roman" w:hAnsi="Times New Roman"/>
                <w:snapToGrid w:val="0"/>
                <w:color w:val="auto"/>
                <w:sz w:val="22"/>
                <w:szCs w:val="22"/>
              </w:rPr>
              <w:t>Tutkimuksen loppuraportin toimittaminen.</w:t>
            </w:r>
          </w:p>
        </w:tc>
        <w:tc>
          <w:tcPr>
            <w:tcW w:w="814" w:type="pct"/>
          </w:tcPr>
          <w:p w14:paraId="586FCB0E" w14:textId="147FA7C8" w:rsidR="00D0737D" w:rsidRPr="00A3493F" w:rsidRDefault="00897087" w:rsidP="00897087">
            <w:pPr>
              <w:keepLines/>
              <w:spacing w:line="280" w:lineRule="exact"/>
              <w:rPr>
                <w:rFonts w:ascii="Times New Roman" w:hAnsi="Times New Roman"/>
                <w:snapToGrid w:val="0"/>
                <w:color w:val="auto"/>
                <w:sz w:val="22"/>
                <w:szCs w:val="22"/>
              </w:rPr>
            </w:pPr>
            <w:r>
              <w:rPr>
                <w:rFonts w:ascii="Times New Roman" w:hAnsi="Times New Roman"/>
                <w:snapToGrid w:val="0"/>
                <w:color w:val="auto"/>
                <w:sz w:val="22"/>
                <w:szCs w:val="22"/>
              </w:rPr>
              <w:t>2</w:t>
            </w:r>
            <w:r w:rsidR="00503647" w:rsidRPr="00503647">
              <w:rPr>
                <w:rFonts w:ascii="Times New Roman" w:hAnsi="Times New Roman"/>
                <w:snapToGrid w:val="0"/>
                <w:color w:val="auto"/>
                <w:sz w:val="22"/>
                <w:szCs w:val="22"/>
              </w:rPr>
              <w:t>3/06/202</w:t>
            </w:r>
            <w:r w:rsidR="007D62DA">
              <w:rPr>
                <w:rFonts w:ascii="Times New Roman" w:hAnsi="Times New Roman"/>
                <w:snapToGrid w:val="0"/>
                <w:color w:val="auto"/>
                <w:sz w:val="22"/>
                <w:szCs w:val="22"/>
              </w:rPr>
              <w:t>3</w:t>
            </w:r>
          </w:p>
        </w:tc>
      </w:tr>
    </w:tbl>
    <w:p w14:paraId="586FCB10" w14:textId="77777777" w:rsidR="008F2D51" w:rsidRDefault="008F2D51" w:rsidP="008F2D51">
      <w:pPr>
        <w:widowControl w:val="0"/>
        <w:ind w:right="566"/>
        <w:rPr>
          <w:rFonts w:ascii="Times New Roman" w:hAnsi="Times New Roman"/>
          <w:sz w:val="22"/>
          <w:szCs w:val="22"/>
        </w:rPr>
      </w:pPr>
      <w:r>
        <w:rPr>
          <w:rFonts w:ascii="Times New Roman" w:hAnsi="Times New Roman"/>
          <w:sz w:val="22"/>
          <w:szCs w:val="22"/>
        </w:rPr>
        <w:br w:type="page"/>
      </w:r>
    </w:p>
    <w:p w14:paraId="586FCB11" w14:textId="77777777" w:rsidR="008F2D51" w:rsidRDefault="008F2D51" w:rsidP="008F2D51">
      <w:pPr>
        <w:widowControl w:val="0"/>
        <w:ind w:right="566"/>
        <w:rPr>
          <w:rFonts w:ascii="Times New Roman" w:hAnsi="Times New Roman"/>
          <w:sz w:val="22"/>
          <w:szCs w:val="22"/>
        </w:rPr>
      </w:pPr>
    </w:p>
    <w:p w14:paraId="586FCB12" w14:textId="77777777" w:rsidR="008F2D51" w:rsidRDefault="008F2D51" w:rsidP="008F2D51">
      <w:pPr>
        <w:widowControl w:val="0"/>
        <w:rPr>
          <w:rFonts w:ascii="Times New Roman" w:hAnsi="Times New Roman"/>
          <w:sz w:val="22"/>
          <w:szCs w:val="22"/>
        </w:rPr>
      </w:pPr>
    </w:p>
    <w:p w14:paraId="586FCB13" w14:textId="77777777" w:rsidR="008F2D51" w:rsidRDefault="008F2D51" w:rsidP="008F2D51">
      <w:pPr>
        <w:widowControl w:val="0"/>
        <w:rPr>
          <w:rFonts w:ascii="Times New Roman" w:hAnsi="Times New Roman"/>
          <w:sz w:val="22"/>
          <w:szCs w:val="22"/>
        </w:rPr>
      </w:pPr>
    </w:p>
    <w:p w14:paraId="586FCB14" w14:textId="77777777" w:rsidR="008F2D51" w:rsidRDefault="008F2D51" w:rsidP="008F2D51">
      <w:pPr>
        <w:widowControl w:val="0"/>
        <w:rPr>
          <w:rFonts w:ascii="Times New Roman" w:hAnsi="Times New Roman"/>
          <w:sz w:val="22"/>
          <w:szCs w:val="22"/>
        </w:rPr>
      </w:pPr>
    </w:p>
    <w:p w14:paraId="586FCB15" w14:textId="77777777" w:rsidR="008F2D51" w:rsidRDefault="008F2D51" w:rsidP="008F2D51">
      <w:pPr>
        <w:widowControl w:val="0"/>
        <w:rPr>
          <w:rFonts w:ascii="Times New Roman" w:hAnsi="Times New Roman"/>
          <w:sz w:val="22"/>
          <w:szCs w:val="22"/>
        </w:rPr>
      </w:pPr>
    </w:p>
    <w:p w14:paraId="586FCB16" w14:textId="77777777" w:rsidR="008F2D51" w:rsidRDefault="008F2D51" w:rsidP="008F2D51">
      <w:pPr>
        <w:widowControl w:val="0"/>
        <w:rPr>
          <w:rFonts w:ascii="Times New Roman" w:hAnsi="Times New Roman"/>
          <w:sz w:val="22"/>
          <w:szCs w:val="22"/>
        </w:rPr>
      </w:pPr>
    </w:p>
    <w:p w14:paraId="586FCB17" w14:textId="77777777" w:rsidR="008F2D51" w:rsidRDefault="008F2D51" w:rsidP="008F2D51">
      <w:pPr>
        <w:widowControl w:val="0"/>
        <w:rPr>
          <w:rFonts w:ascii="Times New Roman" w:hAnsi="Times New Roman"/>
          <w:sz w:val="22"/>
          <w:szCs w:val="22"/>
        </w:rPr>
      </w:pPr>
    </w:p>
    <w:p w14:paraId="586FCB18" w14:textId="77777777" w:rsidR="008F2D51" w:rsidRDefault="008F2D51" w:rsidP="008F2D51">
      <w:pPr>
        <w:widowControl w:val="0"/>
        <w:rPr>
          <w:rFonts w:ascii="Times New Roman" w:hAnsi="Times New Roman"/>
          <w:sz w:val="22"/>
          <w:szCs w:val="22"/>
        </w:rPr>
      </w:pPr>
    </w:p>
    <w:p w14:paraId="586FCB19" w14:textId="77777777" w:rsidR="008F2D51" w:rsidRDefault="008F2D51" w:rsidP="008F2D51">
      <w:pPr>
        <w:widowControl w:val="0"/>
        <w:rPr>
          <w:rFonts w:ascii="Times New Roman" w:hAnsi="Times New Roman"/>
          <w:sz w:val="22"/>
          <w:szCs w:val="22"/>
        </w:rPr>
      </w:pPr>
    </w:p>
    <w:p w14:paraId="586FCB1A" w14:textId="77777777" w:rsidR="008F2D51" w:rsidRDefault="008F2D51" w:rsidP="008F2D51">
      <w:pPr>
        <w:widowControl w:val="0"/>
        <w:rPr>
          <w:rFonts w:ascii="Times New Roman" w:hAnsi="Times New Roman"/>
          <w:sz w:val="22"/>
          <w:szCs w:val="22"/>
        </w:rPr>
      </w:pPr>
    </w:p>
    <w:p w14:paraId="586FCB1B" w14:textId="77777777" w:rsidR="008F2D51" w:rsidRDefault="008F2D51" w:rsidP="008F2D51">
      <w:pPr>
        <w:widowControl w:val="0"/>
        <w:rPr>
          <w:rFonts w:ascii="Times New Roman" w:hAnsi="Times New Roman"/>
          <w:sz w:val="22"/>
          <w:szCs w:val="22"/>
        </w:rPr>
      </w:pPr>
    </w:p>
    <w:p w14:paraId="586FCB1C" w14:textId="77777777" w:rsidR="008F2D51" w:rsidRDefault="008F2D51" w:rsidP="008F2D51">
      <w:pPr>
        <w:widowControl w:val="0"/>
        <w:rPr>
          <w:rFonts w:ascii="Times New Roman" w:hAnsi="Times New Roman"/>
          <w:sz w:val="22"/>
          <w:szCs w:val="22"/>
        </w:rPr>
      </w:pPr>
    </w:p>
    <w:p w14:paraId="586FCB1D" w14:textId="77777777" w:rsidR="008F2D51" w:rsidRDefault="008F2D51" w:rsidP="008F2D51">
      <w:pPr>
        <w:widowControl w:val="0"/>
        <w:rPr>
          <w:rFonts w:ascii="Times New Roman" w:hAnsi="Times New Roman"/>
          <w:sz w:val="22"/>
          <w:szCs w:val="22"/>
        </w:rPr>
      </w:pPr>
    </w:p>
    <w:p w14:paraId="586FCB1E" w14:textId="77777777" w:rsidR="008F2D51" w:rsidRDefault="008F2D51" w:rsidP="008F2D51">
      <w:pPr>
        <w:widowControl w:val="0"/>
        <w:rPr>
          <w:rFonts w:ascii="Times New Roman" w:hAnsi="Times New Roman"/>
          <w:sz w:val="22"/>
          <w:szCs w:val="22"/>
        </w:rPr>
      </w:pPr>
    </w:p>
    <w:p w14:paraId="586FCB1F" w14:textId="77777777" w:rsidR="008F2D51" w:rsidRDefault="008F2D51" w:rsidP="008F2D51">
      <w:pPr>
        <w:widowControl w:val="0"/>
        <w:rPr>
          <w:rFonts w:ascii="Times New Roman" w:hAnsi="Times New Roman"/>
          <w:sz w:val="22"/>
          <w:szCs w:val="22"/>
        </w:rPr>
      </w:pPr>
    </w:p>
    <w:p w14:paraId="586FCB20" w14:textId="77777777" w:rsidR="008F2D51" w:rsidRDefault="008F2D51" w:rsidP="008F2D51">
      <w:pPr>
        <w:widowControl w:val="0"/>
        <w:rPr>
          <w:rFonts w:ascii="Times New Roman" w:hAnsi="Times New Roman"/>
          <w:sz w:val="22"/>
          <w:szCs w:val="22"/>
        </w:rPr>
      </w:pPr>
    </w:p>
    <w:p w14:paraId="586FCB21" w14:textId="77777777" w:rsidR="008F2D51" w:rsidRDefault="008F2D51" w:rsidP="008F2D51">
      <w:pPr>
        <w:widowControl w:val="0"/>
        <w:rPr>
          <w:rFonts w:ascii="Times New Roman" w:hAnsi="Times New Roman"/>
          <w:sz w:val="22"/>
          <w:szCs w:val="22"/>
        </w:rPr>
      </w:pPr>
    </w:p>
    <w:p w14:paraId="586FCB22" w14:textId="77777777" w:rsidR="008F2D51" w:rsidRDefault="008F2D51" w:rsidP="008F2D51">
      <w:pPr>
        <w:widowControl w:val="0"/>
        <w:rPr>
          <w:rFonts w:ascii="Times New Roman" w:hAnsi="Times New Roman"/>
          <w:sz w:val="22"/>
          <w:szCs w:val="22"/>
        </w:rPr>
      </w:pPr>
    </w:p>
    <w:p w14:paraId="586FCB23" w14:textId="77777777" w:rsidR="008F2D51" w:rsidRDefault="008F2D51" w:rsidP="008F2D51">
      <w:pPr>
        <w:widowControl w:val="0"/>
        <w:rPr>
          <w:rFonts w:ascii="Times New Roman" w:hAnsi="Times New Roman"/>
          <w:sz w:val="22"/>
          <w:szCs w:val="22"/>
        </w:rPr>
      </w:pPr>
    </w:p>
    <w:p w14:paraId="586FCB24" w14:textId="77777777" w:rsidR="008F2D51" w:rsidRDefault="008F2D51" w:rsidP="008F2D51">
      <w:pPr>
        <w:widowControl w:val="0"/>
        <w:rPr>
          <w:rFonts w:ascii="Times New Roman" w:hAnsi="Times New Roman"/>
          <w:sz w:val="22"/>
          <w:szCs w:val="22"/>
        </w:rPr>
      </w:pPr>
    </w:p>
    <w:p w14:paraId="586FCB25" w14:textId="77777777" w:rsidR="008F2D51" w:rsidRDefault="008F2D51" w:rsidP="008F2D51">
      <w:pPr>
        <w:widowControl w:val="0"/>
        <w:rPr>
          <w:rFonts w:ascii="Times New Roman" w:hAnsi="Times New Roman"/>
          <w:sz w:val="22"/>
          <w:szCs w:val="22"/>
        </w:rPr>
      </w:pPr>
    </w:p>
    <w:p w14:paraId="586FCB26" w14:textId="77777777" w:rsidR="008F2D51" w:rsidRDefault="008F2D51" w:rsidP="008F2D51">
      <w:pPr>
        <w:widowControl w:val="0"/>
        <w:rPr>
          <w:rFonts w:ascii="Times New Roman" w:hAnsi="Times New Roman"/>
          <w:sz w:val="22"/>
          <w:szCs w:val="22"/>
        </w:rPr>
      </w:pPr>
    </w:p>
    <w:p w14:paraId="586FCB27" w14:textId="77777777" w:rsidR="00774A0B" w:rsidRDefault="00774A0B" w:rsidP="008F2D51">
      <w:pPr>
        <w:widowControl w:val="0"/>
        <w:rPr>
          <w:rFonts w:ascii="Times New Roman" w:hAnsi="Times New Roman"/>
          <w:sz w:val="22"/>
          <w:szCs w:val="22"/>
        </w:rPr>
      </w:pPr>
    </w:p>
    <w:p w14:paraId="586FCB28" w14:textId="77777777" w:rsidR="00774A0B" w:rsidRDefault="00774A0B" w:rsidP="008F2D51">
      <w:pPr>
        <w:widowControl w:val="0"/>
        <w:rPr>
          <w:rFonts w:ascii="Times New Roman" w:hAnsi="Times New Roman"/>
          <w:sz w:val="22"/>
          <w:szCs w:val="22"/>
        </w:rPr>
      </w:pPr>
    </w:p>
    <w:p w14:paraId="586FCB29" w14:textId="77777777" w:rsidR="008F2D51" w:rsidRDefault="008F2D51" w:rsidP="008F2D51">
      <w:pPr>
        <w:widowControl w:val="0"/>
        <w:jc w:val="center"/>
        <w:rPr>
          <w:rFonts w:ascii="Times New Roman" w:hAnsi="Times New Roman"/>
          <w:b/>
          <w:sz w:val="22"/>
          <w:szCs w:val="22"/>
        </w:rPr>
      </w:pPr>
      <w:r>
        <w:rPr>
          <w:rFonts w:ascii="Times New Roman" w:hAnsi="Times New Roman"/>
          <w:b/>
          <w:sz w:val="22"/>
          <w:szCs w:val="22"/>
        </w:rPr>
        <w:t>LIITE III</w:t>
      </w:r>
    </w:p>
    <w:p w14:paraId="586FCB2A" w14:textId="77777777" w:rsidR="008F2D51" w:rsidRDefault="008F2D51" w:rsidP="008F2D51">
      <w:pPr>
        <w:widowControl w:val="0"/>
        <w:jc w:val="center"/>
        <w:rPr>
          <w:rFonts w:ascii="Times New Roman" w:hAnsi="Times New Roman"/>
          <w:sz w:val="22"/>
          <w:szCs w:val="22"/>
        </w:rPr>
      </w:pPr>
    </w:p>
    <w:p w14:paraId="586FCB2B" w14:textId="77777777" w:rsidR="008F2D51" w:rsidRDefault="008F2D51" w:rsidP="008F2D51">
      <w:pPr>
        <w:widowControl w:val="0"/>
        <w:jc w:val="center"/>
        <w:rPr>
          <w:rFonts w:ascii="Times New Roman" w:hAnsi="Times New Roman"/>
          <w:b/>
          <w:sz w:val="22"/>
          <w:szCs w:val="22"/>
        </w:rPr>
      </w:pPr>
      <w:r>
        <w:rPr>
          <w:rFonts w:ascii="Times New Roman" w:hAnsi="Times New Roman"/>
          <w:b/>
          <w:sz w:val="22"/>
          <w:szCs w:val="22"/>
        </w:rPr>
        <w:t>MYYNTIPÄÄLLYSMERKINNÄT JA PAKKAUSSELOSTE</w:t>
      </w:r>
    </w:p>
    <w:p w14:paraId="586FCB2C"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br w:type="page"/>
      </w:r>
    </w:p>
    <w:p w14:paraId="586FCB2D" w14:textId="77777777" w:rsidR="008F2D51" w:rsidRDefault="008F2D51" w:rsidP="008F2D51">
      <w:pPr>
        <w:widowControl w:val="0"/>
        <w:suppressAutoHyphens/>
        <w:rPr>
          <w:rFonts w:ascii="Times New Roman" w:hAnsi="Times New Roman"/>
          <w:sz w:val="22"/>
          <w:szCs w:val="22"/>
        </w:rPr>
      </w:pPr>
    </w:p>
    <w:p w14:paraId="586FCB2E" w14:textId="77777777" w:rsidR="008F2D51" w:rsidRDefault="008F2D51" w:rsidP="008F2D51">
      <w:pPr>
        <w:widowControl w:val="0"/>
        <w:suppressAutoHyphens/>
        <w:rPr>
          <w:rFonts w:ascii="Times New Roman" w:hAnsi="Times New Roman"/>
          <w:sz w:val="22"/>
          <w:szCs w:val="22"/>
        </w:rPr>
      </w:pPr>
    </w:p>
    <w:p w14:paraId="586FCB2F" w14:textId="77777777" w:rsidR="008F2D51" w:rsidRDefault="008F2D51" w:rsidP="008F2D51">
      <w:pPr>
        <w:widowControl w:val="0"/>
        <w:suppressAutoHyphens/>
        <w:rPr>
          <w:rFonts w:ascii="Times New Roman" w:hAnsi="Times New Roman"/>
          <w:sz w:val="22"/>
          <w:szCs w:val="22"/>
        </w:rPr>
      </w:pPr>
    </w:p>
    <w:p w14:paraId="586FCB30" w14:textId="77777777" w:rsidR="008F2D51" w:rsidRDefault="008F2D51" w:rsidP="008F2D51">
      <w:pPr>
        <w:widowControl w:val="0"/>
        <w:suppressAutoHyphens/>
        <w:rPr>
          <w:rFonts w:ascii="Times New Roman" w:hAnsi="Times New Roman"/>
          <w:sz w:val="22"/>
          <w:szCs w:val="22"/>
        </w:rPr>
      </w:pPr>
    </w:p>
    <w:p w14:paraId="586FCB31" w14:textId="77777777" w:rsidR="008F2D51" w:rsidRDefault="008F2D51" w:rsidP="008F2D51">
      <w:pPr>
        <w:widowControl w:val="0"/>
        <w:suppressAutoHyphens/>
        <w:rPr>
          <w:rFonts w:ascii="Times New Roman" w:hAnsi="Times New Roman"/>
          <w:sz w:val="22"/>
          <w:szCs w:val="22"/>
        </w:rPr>
      </w:pPr>
    </w:p>
    <w:p w14:paraId="586FCB32" w14:textId="77777777" w:rsidR="008F2D51" w:rsidRDefault="008F2D51" w:rsidP="008F2D51">
      <w:pPr>
        <w:widowControl w:val="0"/>
        <w:suppressAutoHyphens/>
        <w:rPr>
          <w:rFonts w:ascii="Times New Roman" w:hAnsi="Times New Roman"/>
          <w:sz w:val="22"/>
          <w:szCs w:val="22"/>
        </w:rPr>
      </w:pPr>
    </w:p>
    <w:p w14:paraId="586FCB33" w14:textId="77777777" w:rsidR="008F2D51" w:rsidRDefault="008F2D51" w:rsidP="008F2D51">
      <w:pPr>
        <w:widowControl w:val="0"/>
        <w:suppressAutoHyphens/>
        <w:rPr>
          <w:rFonts w:ascii="Times New Roman" w:hAnsi="Times New Roman"/>
          <w:sz w:val="22"/>
          <w:szCs w:val="22"/>
        </w:rPr>
      </w:pPr>
    </w:p>
    <w:p w14:paraId="586FCB34" w14:textId="77777777" w:rsidR="008F2D51" w:rsidRDefault="008F2D51" w:rsidP="008F2D51">
      <w:pPr>
        <w:widowControl w:val="0"/>
        <w:suppressAutoHyphens/>
        <w:rPr>
          <w:rFonts w:ascii="Times New Roman" w:hAnsi="Times New Roman"/>
          <w:sz w:val="22"/>
          <w:szCs w:val="22"/>
        </w:rPr>
      </w:pPr>
    </w:p>
    <w:p w14:paraId="586FCB35" w14:textId="77777777" w:rsidR="008F2D51" w:rsidRDefault="008F2D51" w:rsidP="008F2D51">
      <w:pPr>
        <w:widowControl w:val="0"/>
        <w:suppressAutoHyphens/>
        <w:rPr>
          <w:rFonts w:ascii="Times New Roman" w:hAnsi="Times New Roman"/>
          <w:sz w:val="22"/>
          <w:szCs w:val="22"/>
        </w:rPr>
      </w:pPr>
    </w:p>
    <w:p w14:paraId="586FCB36" w14:textId="77777777" w:rsidR="008F2D51" w:rsidRDefault="008F2D51" w:rsidP="008F2D51">
      <w:pPr>
        <w:widowControl w:val="0"/>
        <w:suppressAutoHyphens/>
        <w:rPr>
          <w:rFonts w:ascii="Times New Roman" w:hAnsi="Times New Roman"/>
          <w:sz w:val="22"/>
          <w:szCs w:val="22"/>
        </w:rPr>
      </w:pPr>
    </w:p>
    <w:p w14:paraId="586FCB37" w14:textId="77777777" w:rsidR="008F2D51" w:rsidRDefault="008F2D51" w:rsidP="008F2D51">
      <w:pPr>
        <w:widowControl w:val="0"/>
        <w:suppressAutoHyphens/>
        <w:rPr>
          <w:rFonts w:ascii="Times New Roman" w:hAnsi="Times New Roman"/>
          <w:sz w:val="22"/>
          <w:szCs w:val="22"/>
        </w:rPr>
      </w:pPr>
    </w:p>
    <w:p w14:paraId="586FCB38" w14:textId="77777777" w:rsidR="008F2D51" w:rsidRDefault="008F2D51" w:rsidP="008F2D51">
      <w:pPr>
        <w:widowControl w:val="0"/>
        <w:suppressAutoHyphens/>
        <w:rPr>
          <w:rFonts w:ascii="Times New Roman" w:hAnsi="Times New Roman"/>
          <w:sz w:val="22"/>
          <w:szCs w:val="22"/>
        </w:rPr>
      </w:pPr>
    </w:p>
    <w:p w14:paraId="586FCB39" w14:textId="77777777" w:rsidR="008F2D51" w:rsidRDefault="008F2D51" w:rsidP="008F2D51">
      <w:pPr>
        <w:widowControl w:val="0"/>
        <w:suppressAutoHyphens/>
        <w:rPr>
          <w:rFonts w:ascii="Times New Roman" w:hAnsi="Times New Roman"/>
          <w:sz w:val="22"/>
          <w:szCs w:val="22"/>
        </w:rPr>
      </w:pPr>
    </w:p>
    <w:p w14:paraId="586FCB3A" w14:textId="77777777" w:rsidR="008F2D51" w:rsidRDefault="008F2D51" w:rsidP="008F2D51">
      <w:pPr>
        <w:widowControl w:val="0"/>
        <w:suppressAutoHyphens/>
        <w:rPr>
          <w:rFonts w:ascii="Times New Roman" w:hAnsi="Times New Roman"/>
          <w:sz w:val="22"/>
          <w:szCs w:val="22"/>
        </w:rPr>
      </w:pPr>
    </w:p>
    <w:p w14:paraId="586FCB3B" w14:textId="77777777" w:rsidR="008F2D51" w:rsidRDefault="008F2D51" w:rsidP="008F2D51">
      <w:pPr>
        <w:widowControl w:val="0"/>
        <w:suppressAutoHyphens/>
        <w:rPr>
          <w:rFonts w:ascii="Times New Roman" w:hAnsi="Times New Roman"/>
          <w:sz w:val="22"/>
          <w:szCs w:val="22"/>
        </w:rPr>
      </w:pPr>
    </w:p>
    <w:p w14:paraId="586FCB3C" w14:textId="77777777" w:rsidR="008F2D51" w:rsidRDefault="008F2D51" w:rsidP="008F2D51">
      <w:pPr>
        <w:widowControl w:val="0"/>
        <w:suppressAutoHyphens/>
        <w:rPr>
          <w:rFonts w:ascii="Times New Roman" w:hAnsi="Times New Roman"/>
          <w:sz w:val="22"/>
          <w:szCs w:val="22"/>
        </w:rPr>
      </w:pPr>
    </w:p>
    <w:p w14:paraId="586FCB3D" w14:textId="77777777" w:rsidR="008F2D51" w:rsidRDefault="008F2D51" w:rsidP="008F2D51">
      <w:pPr>
        <w:widowControl w:val="0"/>
        <w:suppressAutoHyphens/>
        <w:rPr>
          <w:rFonts w:ascii="Times New Roman" w:hAnsi="Times New Roman"/>
          <w:sz w:val="22"/>
          <w:szCs w:val="22"/>
        </w:rPr>
      </w:pPr>
    </w:p>
    <w:p w14:paraId="586FCB3E" w14:textId="77777777" w:rsidR="008F2D51" w:rsidRDefault="008F2D51" w:rsidP="008F2D51">
      <w:pPr>
        <w:widowControl w:val="0"/>
        <w:suppressAutoHyphens/>
        <w:rPr>
          <w:rFonts w:ascii="Times New Roman" w:hAnsi="Times New Roman"/>
          <w:sz w:val="22"/>
          <w:szCs w:val="22"/>
        </w:rPr>
      </w:pPr>
    </w:p>
    <w:p w14:paraId="586FCB3F" w14:textId="77777777" w:rsidR="008F2D51" w:rsidRDefault="008F2D51" w:rsidP="008F2D51">
      <w:pPr>
        <w:widowControl w:val="0"/>
        <w:suppressAutoHyphens/>
        <w:rPr>
          <w:rFonts w:ascii="Times New Roman" w:hAnsi="Times New Roman"/>
          <w:sz w:val="22"/>
          <w:szCs w:val="22"/>
        </w:rPr>
      </w:pPr>
    </w:p>
    <w:p w14:paraId="586FCB40" w14:textId="77777777" w:rsidR="008F2D51" w:rsidRDefault="008F2D51" w:rsidP="008F2D51">
      <w:pPr>
        <w:widowControl w:val="0"/>
        <w:suppressAutoHyphens/>
        <w:rPr>
          <w:rFonts w:ascii="Times New Roman" w:hAnsi="Times New Roman"/>
          <w:sz w:val="22"/>
          <w:szCs w:val="22"/>
        </w:rPr>
      </w:pPr>
    </w:p>
    <w:p w14:paraId="586FCB41" w14:textId="77777777" w:rsidR="008F2D51" w:rsidRDefault="008F2D51" w:rsidP="008F2D51">
      <w:pPr>
        <w:widowControl w:val="0"/>
        <w:suppressAutoHyphens/>
        <w:rPr>
          <w:rFonts w:ascii="Times New Roman" w:hAnsi="Times New Roman"/>
          <w:sz w:val="22"/>
          <w:szCs w:val="22"/>
        </w:rPr>
      </w:pPr>
    </w:p>
    <w:p w14:paraId="586FCB42" w14:textId="77777777" w:rsidR="008F2D51" w:rsidRDefault="008F2D51" w:rsidP="008F2D51">
      <w:pPr>
        <w:widowControl w:val="0"/>
        <w:suppressAutoHyphens/>
        <w:rPr>
          <w:rFonts w:ascii="Times New Roman" w:hAnsi="Times New Roman"/>
          <w:sz w:val="22"/>
          <w:szCs w:val="22"/>
        </w:rPr>
      </w:pPr>
    </w:p>
    <w:p w14:paraId="586FCB43" w14:textId="77777777" w:rsidR="00774A0B" w:rsidRDefault="00774A0B" w:rsidP="008F2D51">
      <w:pPr>
        <w:widowControl w:val="0"/>
        <w:suppressAutoHyphens/>
        <w:rPr>
          <w:rFonts w:ascii="Times New Roman" w:hAnsi="Times New Roman"/>
          <w:sz w:val="22"/>
          <w:szCs w:val="22"/>
        </w:rPr>
      </w:pPr>
    </w:p>
    <w:p w14:paraId="586FCB44" w14:textId="77777777" w:rsidR="00774A0B" w:rsidRDefault="00774A0B" w:rsidP="008F2D51">
      <w:pPr>
        <w:widowControl w:val="0"/>
        <w:suppressAutoHyphens/>
        <w:rPr>
          <w:rFonts w:ascii="Times New Roman" w:hAnsi="Times New Roman"/>
          <w:sz w:val="22"/>
          <w:szCs w:val="22"/>
        </w:rPr>
      </w:pPr>
    </w:p>
    <w:p w14:paraId="586FCB45" w14:textId="77777777" w:rsidR="008F2D51" w:rsidRDefault="008F2D51" w:rsidP="008F2D51">
      <w:pPr>
        <w:widowControl w:val="0"/>
        <w:suppressAutoHyphens/>
        <w:jc w:val="center"/>
        <w:rPr>
          <w:rFonts w:ascii="Times New Roman" w:hAnsi="Times New Roman"/>
          <w:sz w:val="22"/>
          <w:szCs w:val="22"/>
        </w:rPr>
      </w:pPr>
      <w:r>
        <w:rPr>
          <w:rFonts w:ascii="Times New Roman" w:hAnsi="Times New Roman"/>
          <w:b/>
          <w:sz w:val="22"/>
          <w:szCs w:val="22"/>
        </w:rPr>
        <w:t>A. MYYNTIPÄÄLLYSMERKINNÄT</w:t>
      </w:r>
    </w:p>
    <w:p w14:paraId="586FCB46" w14:textId="77777777" w:rsidR="008F2D51" w:rsidRDefault="008F2D51" w:rsidP="008F2D51">
      <w:pPr>
        <w:shd w:val="clear" w:color="auto" w:fill="FFFFFF"/>
        <w:suppressAutoHyphens/>
        <w:rPr>
          <w:rFonts w:ascii="Times New Roman" w:hAnsi="Times New Roman"/>
          <w:sz w:val="22"/>
          <w:szCs w:val="22"/>
        </w:rPr>
      </w:pPr>
      <w:r>
        <w:rPr>
          <w:rFonts w:ascii="Times New Roman" w:hAnsi="Times New Roman"/>
          <w:sz w:val="22"/>
          <w:szCs w:val="22"/>
        </w:rPr>
        <w:br w:type="page"/>
      </w:r>
    </w:p>
    <w:p w14:paraId="586FCBC4" w14:textId="77777777" w:rsidR="00774A0B" w:rsidRPr="00774A0B" w:rsidRDefault="00774A0B" w:rsidP="00774A0B">
      <w:pPr>
        <w:pStyle w:val="BodyText3"/>
        <w:rPr>
          <w:b w:val="0"/>
          <w:szCs w:val="22"/>
        </w:rPr>
      </w:pPr>
    </w:p>
    <w:p w14:paraId="586FCBC5" w14:textId="77777777" w:rsidR="008F2D51" w:rsidRDefault="008F2D51" w:rsidP="008F2D51">
      <w:pPr>
        <w:pStyle w:val="BodyText3"/>
        <w:pBdr>
          <w:top w:val="single" w:sz="4" w:space="1" w:color="auto"/>
          <w:left w:val="single" w:sz="4" w:space="4" w:color="auto"/>
          <w:bottom w:val="single" w:sz="4" w:space="1" w:color="auto"/>
          <w:right w:val="single" w:sz="4" w:space="4" w:color="auto"/>
        </w:pBdr>
        <w:rPr>
          <w:szCs w:val="22"/>
        </w:rPr>
      </w:pPr>
      <w:r>
        <w:rPr>
          <w:szCs w:val="22"/>
        </w:rPr>
        <w:t>ULKOPAKKAUKSESSA ON OLTAVA SEURAAVAT MERKINNÄT</w:t>
      </w:r>
    </w:p>
    <w:p w14:paraId="586FCBC6"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p>
    <w:p w14:paraId="586FCBC7"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r>
        <w:rPr>
          <w:rFonts w:ascii="Times New Roman" w:hAnsi="Times New Roman"/>
          <w:b/>
          <w:sz w:val="22"/>
          <w:szCs w:val="22"/>
        </w:rPr>
        <w:t>PAHVIKOTELO</w:t>
      </w:r>
    </w:p>
    <w:p w14:paraId="586FCBC8" w14:textId="77777777" w:rsidR="008F2D51" w:rsidRDefault="008F2D51" w:rsidP="008F2D51">
      <w:pPr>
        <w:suppressAutoHyphens/>
        <w:rPr>
          <w:rFonts w:ascii="Times New Roman" w:hAnsi="Times New Roman"/>
          <w:sz w:val="22"/>
          <w:szCs w:val="22"/>
        </w:rPr>
      </w:pPr>
    </w:p>
    <w:p w14:paraId="586FCBC9" w14:textId="77777777" w:rsidR="008F2D51" w:rsidRDefault="008F2D51" w:rsidP="008F2D51">
      <w:pPr>
        <w:suppressAutoHyphens/>
        <w:rPr>
          <w:rFonts w:ascii="Times New Roman" w:hAnsi="Times New Roman"/>
          <w:sz w:val="22"/>
          <w:szCs w:val="22"/>
        </w:rPr>
      </w:pPr>
    </w:p>
    <w:p w14:paraId="586FCBCA"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w:t>
      </w:r>
      <w:r>
        <w:rPr>
          <w:rFonts w:ascii="Times New Roman" w:hAnsi="Times New Roman"/>
          <w:b/>
          <w:sz w:val="22"/>
          <w:szCs w:val="22"/>
        </w:rPr>
        <w:tab/>
        <w:t>LÄÄKEVALMISTEEN NIMI</w:t>
      </w:r>
    </w:p>
    <w:p w14:paraId="586FCBCB" w14:textId="77777777" w:rsidR="008F2D51" w:rsidRDefault="008F2D51" w:rsidP="008F2D51">
      <w:pPr>
        <w:suppressAutoHyphens/>
        <w:rPr>
          <w:rFonts w:ascii="Times New Roman" w:hAnsi="Times New Roman"/>
          <w:sz w:val="22"/>
          <w:szCs w:val="22"/>
        </w:rPr>
      </w:pPr>
    </w:p>
    <w:p w14:paraId="586FCBCC"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Glivec 100 mg kovat kapselit</w:t>
      </w:r>
    </w:p>
    <w:p w14:paraId="586FCBCD" w14:textId="77777777" w:rsidR="008F2D51" w:rsidRDefault="004053ED" w:rsidP="008F2D51">
      <w:pPr>
        <w:widowControl w:val="0"/>
        <w:suppressAutoHyphens/>
        <w:rPr>
          <w:rFonts w:ascii="Times New Roman" w:hAnsi="Times New Roman"/>
          <w:sz w:val="22"/>
          <w:szCs w:val="22"/>
        </w:rPr>
      </w:pPr>
      <w:r>
        <w:rPr>
          <w:rFonts w:ascii="Times New Roman" w:hAnsi="Times New Roman"/>
          <w:sz w:val="22"/>
          <w:szCs w:val="22"/>
        </w:rPr>
        <w:t>i</w:t>
      </w:r>
      <w:r w:rsidR="008F2D51">
        <w:rPr>
          <w:rFonts w:ascii="Times New Roman" w:hAnsi="Times New Roman"/>
          <w:sz w:val="22"/>
          <w:szCs w:val="22"/>
        </w:rPr>
        <w:t>matinibi</w:t>
      </w:r>
    </w:p>
    <w:p w14:paraId="586FCBCE" w14:textId="77777777" w:rsidR="008F2D51" w:rsidRDefault="008F2D51" w:rsidP="008F2D51">
      <w:pPr>
        <w:suppressAutoHyphens/>
        <w:rPr>
          <w:rFonts w:ascii="Times New Roman" w:hAnsi="Times New Roman"/>
          <w:sz w:val="22"/>
          <w:szCs w:val="22"/>
        </w:rPr>
      </w:pPr>
    </w:p>
    <w:p w14:paraId="586FCBCF" w14:textId="77777777" w:rsidR="008F2D51" w:rsidRDefault="008F2D51" w:rsidP="008F2D51">
      <w:pPr>
        <w:suppressAutoHyphens/>
        <w:rPr>
          <w:rFonts w:ascii="Times New Roman" w:hAnsi="Times New Roman"/>
          <w:sz w:val="22"/>
          <w:szCs w:val="22"/>
        </w:rPr>
      </w:pPr>
    </w:p>
    <w:p w14:paraId="586FCBD0"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2.</w:t>
      </w:r>
      <w:r>
        <w:rPr>
          <w:rFonts w:ascii="Times New Roman" w:hAnsi="Times New Roman"/>
          <w:b/>
          <w:sz w:val="22"/>
          <w:szCs w:val="22"/>
        </w:rPr>
        <w:tab/>
        <w:t>VAIKUTTAVA(T) AINE(ET)</w:t>
      </w:r>
    </w:p>
    <w:p w14:paraId="586FCBD1" w14:textId="77777777" w:rsidR="008F2D51" w:rsidRDefault="008F2D51" w:rsidP="008F2D51">
      <w:pPr>
        <w:suppressAutoHyphens/>
        <w:rPr>
          <w:rFonts w:ascii="Times New Roman" w:hAnsi="Times New Roman"/>
          <w:sz w:val="22"/>
          <w:szCs w:val="22"/>
        </w:rPr>
      </w:pPr>
    </w:p>
    <w:p w14:paraId="586FCBD2" w14:textId="77777777" w:rsidR="008F2D51" w:rsidRDefault="008F2D51" w:rsidP="008F2D51">
      <w:pPr>
        <w:widowControl w:val="0"/>
        <w:rPr>
          <w:rFonts w:ascii="Times New Roman" w:hAnsi="Times New Roman"/>
          <w:sz w:val="22"/>
          <w:szCs w:val="22"/>
        </w:rPr>
      </w:pPr>
      <w:r>
        <w:rPr>
          <w:rFonts w:ascii="Times New Roman" w:hAnsi="Times New Roman"/>
          <w:sz w:val="22"/>
          <w:szCs w:val="22"/>
        </w:rPr>
        <w:t>Yksi kapseli sisältää 100 mg imatinibia (mesilaattina).</w:t>
      </w:r>
    </w:p>
    <w:p w14:paraId="586FCBD3" w14:textId="77777777" w:rsidR="008F2D51" w:rsidRDefault="008F2D51" w:rsidP="008F2D51">
      <w:pPr>
        <w:suppressAutoHyphens/>
        <w:rPr>
          <w:rFonts w:ascii="Times New Roman" w:hAnsi="Times New Roman"/>
          <w:sz w:val="22"/>
          <w:szCs w:val="22"/>
        </w:rPr>
      </w:pPr>
    </w:p>
    <w:p w14:paraId="586FCBD4" w14:textId="77777777" w:rsidR="008F2D51" w:rsidRDefault="008F2D51" w:rsidP="008F2D51">
      <w:pPr>
        <w:suppressAutoHyphens/>
        <w:rPr>
          <w:rFonts w:ascii="Times New Roman" w:hAnsi="Times New Roman"/>
          <w:sz w:val="22"/>
          <w:szCs w:val="22"/>
        </w:rPr>
      </w:pPr>
    </w:p>
    <w:p w14:paraId="586FCBD5"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3.</w:t>
      </w:r>
      <w:r>
        <w:rPr>
          <w:rFonts w:ascii="Times New Roman" w:hAnsi="Times New Roman"/>
          <w:b/>
          <w:sz w:val="22"/>
          <w:szCs w:val="22"/>
        </w:rPr>
        <w:tab/>
        <w:t>LUETTELO APUAINEISTA</w:t>
      </w:r>
    </w:p>
    <w:p w14:paraId="586FCBD6" w14:textId="77777777" w:rsidR="008F2D51" w:rsidRDefault="008F2D51" w:rsidP="008F2D51">
      <w:pPr>
        <w:pStyle w:val="Header"/>
        <w:tabs>
          <w:tab w:val="clear" w:pos="567"/>
        </w:tabs>
        <w:suppressAutoHyphens/>
        <w:rPr>
          <w:rFonts w:ascii="Times New Roman" w:hAnsi="Times New Roman"/>
          <w:color w:val="000000"/>
          <w:sz w:val="22"/>
          <w:szCs w:val="22"/>
          <w:lang w:val="fi-FI"/>
        </w:rPr>
      </w:pPr>
    </w:p>
    <w:p w14:paraId="586FCBD7" w14:textId="77777777" w:rsidR="008F2D51" w:rsidRDefault="008F2D51" w:rsidP="008F2D51">
      <w:pPr>
        <w:suppressAutoHyphens/>
        <w:rPr>
          <w:rFonts w:ascii="Times New Roman" w:hAnsi="Times New Roman"/>
          <w:sz w:val="22"/>
          <w:szCs w:val="22"/>
        </w:rPr>
      </w:pPr>
    </w:p>
    <w:p w14:paraId="586FCBD8"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4.</w:t>
      </w:r>
      <w:r>
        <w:rPr>
          <w:rFonts w:ascii="Times New Roman" w:hAnsi="Times New Roman"/>
          <w:b/>
          <w:sz w:val="22"/>
          <w:szCs w:val="22"/>
        </w:rPr>
        <w:tab/>
        <w:t>LÄÄKEMUOTO JA SISÄLLÖN MÄÄRÄ</w:t>
      </w:r>
    </w:p>
    <w:p w14:paraId="586FCBD9" w14:textId="77777777" w:rsidR="008F2D51" w:rsidRDefault="008F2D51" w:rsidP="008F2D51">
      <w:pPr>
        <w:suppressAutoHyphens/>
        <w:rPr>
          <w:rFonts w:ascii="Times New Roman" w:hAnsi="Times New Roman"/>
          <w:sz w:val="22"/>
          <w:szCs w:val="22"/>
        </w:rPr>
      </w:pPr>
    </w:p>
    <w:p w14:paraId="586FCBDA"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24 kovaa kapselia</w:t>
      </w:r>
    </w:p>
    <w:p w14:paraId="586FCBDB"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48 kovaa kapselia</w:t>
      </w:r>
    </w:p>
    <w:p w14:paraId="586FCBDC"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96 kovaa kapselia</w:t>
      </w:r>
    </w:p>
    <w:p w14:paraId="586FCBDD"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120 kovaa kapselia</w:t>
      </w:r>
    </w:p>
    <w:p w14:paraId="586FCBDE"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180 kovaa kapselia</w:t>
      </w:r>
    </w:p>
    <w:p w14:paraId="586FCBDF" w14:textId="77777777" w:rsidR="008F2D51" w:rsidRDefault="008F2D51" w:rsidP="008F2D51">
      <w:pPr>
        <w:suppressAutoHyphens/>
        <w:rPr>
          <w:rFonts w:ascii="Times New Roman" w:hAnsi="Times New Roman"/>
          <w:sz w:val="22"/>
          <w:szCs w:val="22"/>
        </w:rPr>
      </w:pPr>
    </w:p>
    <w:p w14:paraId="586FCBE0" w14:textId="77777777" w:rsidR="008F2D51" w:rsidRDefault="008F2D51" w:rsidP="008F2D51">
      <w:pPr>
        <w:suppressAutoHyphens/>
        <w:rPr>
          <w:rFonts w:ascii="Times New Roman" w:hAnsi="Times New Roman"/>
          <w:sz w:val="22"/>
          <w:szCs w:val="22"/>
        </w:rPr>
      </w:pPr>
    </w:p>
    <w:p w14:paraId="586FCBE1"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5.</w:t>
      </w:r>
      <w:r>
        <w:rPr>
          <w:rFonts w:ascii="Times New Roman" w:hAnsi="Times New Roman"/>
          <w:b/>
          <w:sz w:val="22"/>
          <w:szCs w:val="22"/>
        </w:rPr>
        <w:tab/>
        <w:t>ANTOTAPA JA TARVITTAESSA ANTOREITTI (ANTOREITIT)</w:t>
      </w:r>
    </w:p>
    <w:p w14:paraId="586FCBE2" w14:textId="77777777" w:rsidR="008F2D51" w:rsidRDefault="008F2D51" w:rsidP="008F2D51">
      <w:pPr>
        <w:suppressAutoHyphens/>
        <w:rPr>
          <w:rFonts w:ascii="Times New Roman" w:hAnsi="Times New Roman"/>
          <w:sz w:val="22"/>
          <w:szCs w:val="22"/>
        </w:rPr>
      </w:pPr>
    </w:p>
    <w:p w14:paraId="586FCBE3" w14:textId="77777777" w:rsidR="008F2D51" w:rsidRDefault="008F2D51" w:rsidP="008F2D51">
      <w:pPr>
        <w:widowControl w:val="0"/>
        <w:suppressAutoHyphens/>
        <w:ind w:left="567" w:hanging="567"/>
        <w:rPr>
          <w:rFonts w:ascii="Times New Roman" w:hAnsi="Times New Roman"/>
          <w:sz w:val="22"/>
          <w:szCs w:val="22"/>
        </w:rPr>
      </w:pPr>
      <w:r>
        <w:rPr>
          <w:rFonts w:ascii="Times New Roman" w:hAnsi="Times New Roman"/>
          <w:sz w:val="22"/>
          <w:szCs w:val="22"/>
        </w:rPr>
        <w:t>Suun kautta. Lue pakkausseloste ennen käyttöä.</w:t>
      </w:r>
    </w:p>
    <w:p w14:paraId="586FCBE4" w14:textId="77777777" w:rsidR="008F2D51" w:rsidRDefault="008F2D51" w:rsidP="008F2D51">
      <w:pPr>
        <w:suppressAutoHyphens/>
        <w:rPr>
          <w:rFonts w:ascii="Times New Roman" w:hAnsi="Times New Roman"/>
          <w:sz w:val="22"/>
          <w:szCs w:val="22"/>
        </w:rPr>
      </w:pPr>
    </w:p>
    <w:p w14:paraId="586FCBE5" w14:textId="77777777" w:rsidR="008F2D51" w:rsidRDefault="008F2D51" w:rsidP="008F2D51">
      <w:pPr>
        <w:suppressAutoHyphens/>
        <w:rPr>
          <w:rFonts w:ascii="Times New Roman" w:hAnsi="Times New Roman"/>
          <w:sz w:val="22"/>
          <w:szCs w:val="22"/>
        </w:rPr>
      </w:pPr>
    </w:p>
    <w:p w14:paraId="586FCBE6"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6.</w:t>
      </w:r>
      <w:r>
        <w:rPr>
          <w:rFonts w:ascii="Times New Roman" w:hAnsi="Times New Roman"/>
          <w:b/>
          <w:sz w:val="22"/>
          <w:szCs w:val="22"/>
        </w:rPr>
        <w:tab/>
        <w:t>ERITYISVAROITUS VALMISTEEN SÄILYTTÄMISESTÄ POIS</w:t>
      </w:r>
      <w:r w:rsidR="004053ED">
        <w:rPr>
          <w:rFonts w:ascii="Times New Roman" w:hAnsi="Times New Roman"/>
          <w:b/>
          <w:sz w:val="22"/>
          <w:szCs w:val="22"/>
        </w:rPr>
        <w:t>SA</w:t>
      </w:r>
      <w:r>
        <w:rPr>
          <w:rFonts w:ascii="Times New Roman" w:hAnsi="Times New Roman"/>
          <w:b/>
          <w:sz w:val="22"/>
          <w:szCs w:val="22"/>
        </w:rPr>
        <w:t xml:space="preserve"> LASTEN ULOTTUVILTA</w:t>
      </w:r>
      <w:r w:rsidR="004053ED">
        <w:rPr>
          <w:rFonts w:ascii="Times New Roman" w:hAnsi="Times New Roman"/>
          <w:b/>
          <w:sz w:val="22"/>
          <w:szCs w:val="22"/>
        </w:rPr>
        <w:t xml:space="preserve"> JA NÄKYVILTÄ</w:t>
      </w:r>
    </w:p>
    <w:p w14:paraId="586FCBE7" w14:textId="77777777" w:rsidR="008F2D51" w:rsidRDefault="008F2D51" w:rsidP="008F2D51">
      <w:pPr>
        <w:pStyle w:val="Header"/>
        <w:tabs>
          <w:tab w:val="clear" w:pos="567"/>
        </w:tabs>
        <w:suppressAutoHyphens/>
        <w:rPr>
          <w:rFonts w:ascii="Times New Roman" w:hAnsi="Times New Roman"/>
          <w:color w:val="000000"/>
          <w:sz w:val="22"/>
          <w:szCs w:val="22"/>
          <w:lang w:val="fi-FI"/>
        </w:rPr>
      </w:pPr>
    </w:p>
    <w:p w14:paraId="586FCBE8" w14:textId="77777777" w:rsidR="008F2D51" w:rsidRDefault="008F2D51" w:rsidP="008F2D51">
      <w:pPr>
        <w:widowControl w:val="0"/>
        <w:suppressAutoHyphens/>
        <w:ind w:left="720" w:hanging="720"/>
        <w:rPr>
          <w:rFonts w:ascii="Times New Roman" w:hAnsi="Times New Roman"/>
          <w:sz w:val="22"/>
          <w:szCs w:val="22"/>
        </w:rPr>
      </w:pPr>
      <w:r>
        <w:rPr>
          <w:rFonts w:ascii="Times New Roman" w:hAnsi="Times New Roman"/>
          <w:sz w:val="22"/>
          <w:szCs w:val="22"/>
        </w:rPr>
        <w:t>Ei lasten ulottuville eikä näkyville.</w:t>
      </w:r>
    </w:p>
    <w:p w14:paraId="586FCBE9" w14:textId="77777777" w:rsidR="008F2D51" w:rsidRDefault="008F2D51" w:rsidP="008F2D51">
      <w:pPr>
        <w:rPr>
          <w:rFonts w:ascii="Times New Roman" w:hAnsi="Times New Roman"/>
          <w:sz w:val="22"/>
          <w:szCs w:val="22"/>
        </w:rPr>
      </w:pPr>
    </w:p>
    <w:p w14:paraId="586FCBEA" w14:textId="77777777" w:rsidR="008F2D51" w:rsidRDefault="008F2D51" w:rsidP="008F2D51">
      <w:pPr>
        <w:rPr>
          <w:rFonts w:ascii="Times New Roman" w:hAnsi="Times New Roman"/>
          <w:sz w:val="22"/>
          <w:szCs w:val="22"/>
        </w:rPr>
      </w:pPr>
    </w:p>
    <w:p w14:paraId="586FCBEB"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7.</w:t>
      </w:r>
      <w:r>
        <w:rPr>
          <w:rFonts w:ascii="Times New Roman" w:hAnsi="Times New Roman"/>
          <w:b/>
          <w:sz w:val="22"/>
          <w:szCs w:val="22"/>
        </w:rPr>
        <w:tab/>
        <w:t>MUU ERITYISVAROITUS (MUUT ERITYISVAROITUKSET), JOS TARPEEN</w:t>
      </w:r>
    </w:p>
    <w:p w14:paraId="586FCBEC" w14:textId="77777777" w:rsidR="008F2D51" w:rsidRDefault="008F2D51" w:rsidP="008F2D51">
      <w:pPr>
        <w:rPr>
          <w:rFonts w:ascii="Times New Roman" w:hAnsi="Times New Roman"/>
          <w:sz w:val="22"/>
          <w:szCs w:val="22"/>
        </w:rPr>
      </w:pPr>
    </w:p>
    <w:p w14:paraId="586FCBED" w14:textId="77777777" w:rsidR="008F2D51" w:rsidRDefault="008F2D51" w:rsidP="008F2D51">
      <w:pPr>
        <w:widowControl w:val="0"/>
        <w:rPr>
          <w:rFonts w:ascii="Times New Roman" w:hAnsi="Times New Roman"/>
          <w:sz w:val="22"/>
          <w:szCs w:val="22"/>
        </w:rPr>
      </w:pPr>
      <w:r>
        <w:rPr>
          <w:rFonts w:ascii="Times New Roman" w:hAnsi="Times New Roman"/>
          <w:sz w:val="22"/>
          <w:szCs w:val="22"/>
        </w:rPr>
        <w:t>Käytä vain lääkärin ohjeen mukaan.</w:t>
      </w:r>
    </w:p>
    <w:p w14:paraId="586FCBEE" w14:textId="77777777" w:rsidR="008F2D51" w:rsidRDefault="008F2D51" w:rsidP="008F2D51">
      <w:pPr>
        <w:rPr>
          <w:rFonts w:ascii="Times New Roman" w:hAnsi="Times New Roman"/>
          <w:sz w:val="22"/>
          <w:szCs w:val="22"/>
        </w:rPr>
      </w:pPr>
    </w:p>
    <w:p w14:paraId="586FCBEF" w14:textId="77777777" w:rsidR="008F2D51" w:rsidRDefault="008F2D51" w:rsidP="008F2D51">
      <w:pPr>
        <w:rPr>
          <w:rFonts w:ascii="Times New Roman" w:hAnsi="Times New Roman"/>
          <w:sz w:val="22"/>
          <w:szCs w:val="22"/>
        </w:rPr>
      </w:pPr>
    </w:p>
    <w:p w14:paraId="586FCBF0"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8.</w:t>
      </w:r>
      <w:r>
        <w:rPr>
          <w:rFonts w:ascii="Times New Roman" w:hAnsi="Times New Roman"/>
          <w:b/>
          <w:sz w:val="22"/>
          <w:szCs w:val="22"/>
        </w:rPr>
        <w:tab/>
        <w:t>VIIMEINEN KÄYTTÖPÄIVÄMÄÄRÄ</w:t>
      </w:r>
    </w:p>
    <w:p w14:paraId="586FCBF1" w14:textId="77777777" w:rsidR="008F2D51" w:rsidRDefault="008F2D51" w:rsidP="008F2D51">
      <w:pPr>
        <w:rPr>
          <w:rFonts w:ascii="Times New Roman" w:hAnsi="Times New Roman"/>
          <w:sz w:val="22"/>
          <w:szCs w:val="22"/>
        </w:rPr>
      </w:pPr>
    </w:p>
    <w:p w14:paraId="586FCBF2" w14:textId="77777777" w:rsidR="008F2D51" w:rsidRDefault="008F2D51" w:rsidP="008F2D51">
      <w:pPr>
        <w:widowControl w:val="0"/>
        <w:suppressAutoHyphens/>
        <w:ind w:left="720" w:hanging="720"/>
        <w:rPr>
          <w:rFonts w:ascii="Times New Roman" w:hAnsi="Times New Roman"/>
          <w:sz w:val="22"/>
          <w:szCs w:val="22"/>
        </w:rPr>
      </w:pPr>
      <w:r>
        <w:rPr>
          <w:rFonts w:ascii="Times New Roman" w:hAnsi="Times New Roman"/>
          <w:sz w:val="22"/>
          <w:szCs w:val="22"/>
        </w:rPr>
        <w:t>Käyt. viim.</w:t>
      </w:r>
    </w:p>
    <w:p w14:paraId="586FCBF3" w14:textId="77777777" w:rsidR="008F2D51" w:rsidRDefault="008F2D51" w:rsidP="008F2D51">
      <w:pPr>
        <w:rPr>
          <w:rFonts w:ascii="Times New Roman" w:hAnsi="Times New Roman"/>
          <w:sz w:val="22"/>
          <w:szCs w:val="22"/>
        </w:rPr>
      </w:pPr>
    </w:p>
    <w:p w14:paraId="586FCBF4" w14:textId="77777777" w:rsidR="008F2D51" w:rsidRDefault="008F2D51" w:rsidP="008F2D51">
      <w:pPr>
        <w:rPr>
          <w:rFonts w:ascii="Times New Roman" w:hAnsi="Times New Roman"/>
          <w:sz w:val="22"/>
          <w:szCs w:val="22"/>
        </w:rPr>
      </w:pPr>
    </w:p>
    <w:p w14:paraId="586FCBF5"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9.</w:t>
      </w:r>
      <w:r>
        <w:rPr>
          <w:rFonts w:ascii="Times New Roman" w:hAnsi="Times New Roman"/>
          <w:b/>
          <w:sz w:val="22"/>
          <w:szCs w:val="22"/>
        </w:rPr>
        <w:tab/>
        <w:t>ERITYISET SÄILYTYSOLOSUHTEET</w:t>
      </w:r>
    </w:p>
    <w:p w14:paraId="586FCBF6" w14:textId="77777777" w:rsidR="008F2D51" w:rsidRDefault="008F2D51" w:rsidP="008F2D51">
      <w:pPr>
        <w:suppressAutoHyphens/>
        <w:ind w:left="567" w:hanging="567"/>
        <w:rPr>
          <w:rFonts w:ascii="Times New Roman" w:hAnsi="Times New Roman"/>
          <w:sz w:val="22"/>
          <w:szCs w:val="22"/>
        </w:rPr>
      </w:pPr>
    </w:p>
    <w:p w14:paraId="586FCBF7" w14:textId="77777777" w:rsidR="008F2D51" w:rsidRDefault="008F2D51" w:rsidP="008F2D51">
      <w:pPr>
        <w:widowControl w:val="0"/>
        <w:rPr>
          <w:rFonts w:ascii="Times New Roman" w:hAnsi="Times New Roman"/>
          <w:sz w:val="22"/>
          <w:szCs w:val="22"/>
        </w:rPr>
      </w:pPr>
      <w:r>
        <w:rPr>
          <w:rFonts w:ascii="Times New Roman" w:hAnsi="Times New Roman"/>
          <w:sz w:val="22"/>
          <w:szCs w:val="22"/>
        </w:rPr>
        <w:t>Säilytä alle 30</w:t>
      </w:r>
      <w:r>
        <w:rPr>
          <w:rFonts w:ascii="Times New Roman" w:hAnsi="Times New Roman"/>
          <w:sz w:val="22"/>
          <w:szCs w:val="22"/>
        </w:rPr>
        <w:sym w:font="Symbol" w:char="F0B0"/>
      </w:r>
      <w:r>
        <w:rPr>
          <w:rFonts w:ascii="Times New Roman" w:hAnsi="Times New Roman"/>
          <w:sz w:val="22"/>
          <w:szCs w:val="22"/>
        </w:rPr>
        <w:t>C. Säilytä alkuperäispakkauksessa. Herkkä kosteudelle.</w:t>
      </w:r>
    </w:p>
    <w:p w14:paraId="586FCBF8" w14:textId="77777777" w:rsidR="008F2D51" w:rsidRDefault="008F2D51" w:rsidP="008F2D51">
      <w:pPr>
        <w:rPr>
          <w:rFonts w:ascii="Times New Roman" w:hAnsi="Times New Roman"/>
          <w:sz w:val="22"/>
          <w:szCs w:val="22"/>
        </w:rPr>
      </w:pPr>
    </w:p>
    <w:p w14:paraId="586FCBF9" w14:textId="77777777" w:rsidR="008F2D51" w:rsidRDefault="008F2D51" w:rsidP="008F2D51">
      <w:pPr>
        <w:rPr>
          <w:rFonts w:ascii="Times New Roman" w:hAnsi="Times New Roman"/>
          <w:sz w:val="22"/>
          <w:szCs w:val="22"/>
        </w:rPr>
      </w:pPr>
    </w:p>
    <w:p w14:paraId="586FCBFA"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lastRenderedPageBreak/>
        <w:t>10.</w:t>
      </w:r>
      <w:r>
        <w:rPr>
          <w:rFonts w:ascii="Times New Roman" w:hAnsi="Times New Roman"/>
          <w:b/>
          <w:sz w:val="22"/>
          <w:szCs w:val="22"/>
        </w:rPr>
        <w:tab/>
        <w:t>ERITYISET VAROTOIMET KÄYTTÄMÄTTÖMIEN LÄÄKEVALMISTEIDEN TAI NIISTÄ PERÄISIN OLEVAN JÄTEMATERIAALIN HÄVITTÄMISEKSI, JOS TARPEEN</w:t>
      </w:r>
    </w:p>
    <w:p w14:paraId="586FCBFB" w14:textId="77777777" w:rsidR="008F2D51" w:rsidRDefault="008F2D51" w:rsidP="008F2D51">
      <w:pPr>
        <w:rPr>
          <w:rFonts w:ascii="Times New Roman" w:hAnsi="Times New Roman"/>
          <w:sz w:val="22"/>
          <w:szCs w:val="22"/>
        </w:rPr>
      </w:pPr>
    </w:p>
    <w:p w14:paraId="586FCBFC" w14:textId="77777777" w:rsidR="008F2D51" w:rsidRDefault="008F2D51" w:rsidP="008F2D51">
      <w:pPr>
        <w:rPr>
          <w:rFonts w:ascii="Times New Roman" w:hAnsi="Times New Roman"/>
          <w:sz w:val="22"/>
          <w:szCs w:val="22"/>
        </w:rPr>
      </w:pPr>
    </w:p>
    <w:p w14:paraId="586FCBFD"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11.</w:t>
      </w:r>
      <w:r>
        <w:rPr>
          <w:rFonts w:ascii="Times New Roman" w:hAnsi="Times New Roman"/>
          <w:b/>
          <w:sz w:val="22"/>
          <w:szCs w:val="22"/>
        </w:rPr>
        <w:tab/>
        <w:t>MYYNTILUVAN HALTIJAN NIMI JA OSOITE</w:t>
      </w:r>
    </w:p>
    <w:p w14:paraId="586FCBFE" w14:textId="77777777" w:rsidR="008F2D51" w:rsidRDefault="008F2D51" w:rsidP="008F2D51">
      <w:pPr>
        <w:rPr>
          <w:rFonts w:ascii="Times New Roman" w:hAnsi="Times New Roman"/>
          <w:sz w:val="22"/>
          <w:szCs w:val="22"/>
        </w:rPr>
      </w:pPr>
    </w:p>
    <w:p w14:paraId="586FCBFF" w14:textId="77777777" w:rsidR="008F2D51" w:rsidRDefault="008F2D51" w:rsidP="008F2D51">
      <w:pPr>
        <w:pStyle w:val="EndnoteText"/>
        <w:widowControl w:val="0"/>
        <w:tabs>
          <w:tab w:val="clear" w:pos="567"/>
        </w:tabs>
        <w:rPr>
          <w:color w:val="000000"/>
          <w:szCs w:val="22"/>
          <w:lang w:val="fi-FI"/>
        </w:rPr>
      </w:pPr>
      <w:r>
        <w:rPr>
          <w:color w:val="000000"/>
          <w:szCs w:val="22"/>
          <w:lang w:val="fi-FI"/>
        </w:rPr>
        <w:t>Novartis Europharm Limited</w:t>
      </w:r>
    </w:p>
    <w:p w14:paraId="586FCC00"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Vista Building</w:t>
      </w:r>
    </w:p>
    <w:p w14:paraId="586FCC01"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Elm Park, Merrion Road</w:t>
      </w:r>
    </w:p>
    <w:p w14:paraId="586FCC02" w14:textId="77777777" w:rsidR="00A331BE" w:rsidRPr="00A331BE" w:rsidRDefault="00A331BE" w:rsidP="00A331BE">
      <w:pPr>
        <w:keepNext/>
        <w:widowControl w:val="0"/>
        <w:rPr>
          <w:rFonts w:ascii="Times New Roman" w:hAnsi="Times New Roman"/>
          <w:sz w:val="22"/>
          <w:szCs w:val="22"/>
        </w:rPr>
      </w:pPr>
      <w:r w:rsidRPr="00A331BE">
        <w:rPr>
          <w:rFonts w:ascii="Times New Roman" w:hAnsi="Times New Roman"/>
          <w:sz w:val="22"/>
          <w:szCs w:val="22"/>
        </w:rPr>
        <w:t>Dublin 4</w:t>
      </w:r>
    </w:p>
    <w:p w14:paraId="586FCC03" w14:textId="77777777" w:rsidR="00A331BE" w:rsidRPr="00A331BE" w:rsidRDefault="00A331BE" w:rsidP="00A331BE">
      <w:pPr>
        <w:rPr>
          <w:rFonts w:ascii="Times New Roman" w:hAnsi="Times New Roman"/>
          <w:sz w:val="22"/>
          <w:szCs w:val="22"/>
        </w:rPr>
      </w:pPr>
      <w:r w:rsidRPr="00A331BE">
        <w:rPr>
          <w:rFonts w:ascii="Times New Roman" w:hAnsi="Times New Roman"/>
          <w:sz w:val="22"/>
          <w:szCs w:val="22"/>
        </w:rPr>
        <w:t>Irlanti</w:t>
      </w:r>
    </w:p>
    <w:p w14:paraId="586FCC04" w14:textId="77777777" w:rsidR="008F2D51" w:rsidRDefault="008F2D51" w:rsidP="008F2D51">
      <w:pPr>
        <w:rPr>
          <w:rFonts w:ascii="Times New Roman" w:hAnsi="Times New Roman"/>
          <w:sz w:val="22"/>
          <w:szCs w:val="22"/>
        </w:rPr>
      </w:pPr>
    </w:p>
    <w:p w14:paraId="586FCC05" w14:textId="77777777" w:rsidR="008F2D51" w:rsidRDefault="008F2D51" w:rsidP="008F2D51">
      <w:pPr>
        <w:rPr>
          <w:rFonts w:ascii="Times New Roman" w:hAnsi="Times New Roman"/>
          <w:sz w:val="22"/>
          <w:szCs w:val="22"/>
        </w:rPr>
      </w:pPr>
    </w:p>
    <w:p w14:paraId="586FCC06"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12.</w:t>
      </w:r>
      <w:r>
        <w:rPr>
          <w:rFonts w:ascii="Times New Roman" w:hAnsi="Times New Roman"/>
          <w:b/>
          <w:sz w:val="22"/>
          <w:szCs w:val="22"/>
        </w:rPr>
        <w:tab/>
        <w:t>MYYNTILUVAN NUMERO(T)</w:t>
      </w:r>
    </w:p>
    <w:p w14:paraId="586FCC07" w14:textId="77777777" w:rsidR="008F2D51" w:rsidRDefault="008F2D51" w:rsidP="008F2D51">
      <w:pPr>
        <w:rPr>
          <w:rFonts w:ascii="Times New Roman" w:hAnsi="Times New Roman"/>
          <w:sz w:val="22"/>
          <w:szCs w:val="22"/>
        </w:rPr>
      </w:pPr>
    </w:p>
    <w:p w14:paraId="586FCC08" w14:textId="77777777" w:rsidR="008F2D51" w:rsidRDefault="008F2D51" w:rsidP="008F2D51">
      <w:pPr>
        <w:widowControl w:val="0"/>
        <w:tabs>
          <w:tab w:val="left" w:pos="2268"/>
          <w:tab w:val="left" w:pos="2552"/>
        </w:tabs>
        <w:suppressAutoHyphens/>
        <w:rPr>
          <w:rFonts w:ascii="Times New Roman" w:hAnsi="Times New Roman"/>
          <w:sz w:val="22"/>
          <w:szCs w:val="22"/>
          <w:shd w:val="clear" w:color="auto" w:fill="D9D9D9"/>
        </w:rPr>
      </w:pPr>
      <w:r>
        <w:rPr>
          <w:rFonts w:ascii="Times New Roman" w:hAnsi="Times New Roman"/>
          <w:sz w:val="22"/>
          <w:szCs w:val="22"/>
        </w:rPr>
        <w:t>EU/1/01/198/002</w:t>
      </w:r>
      <w:r>
        <w:rPr>
          <w:rFonts w:ascii="Times New Roman" w:hAnsi="Times New Roman"/>
          <w:sz w:val="22"/>
          <w:szCs w:val="22"/>
        </w:rPr>
        <w:tab/>
      </w:r>
      <w:r>
        <w:rPr>
          <w:rFonts w:ascii="Times New Roman" w:hAnsi="Times New Roman"/>
          <w:sz w:val="22"/>
          <w:szCs w:val="22"/>
          <w:shd w:val="clear" w:color="auto" w:fill="D9D9D9"/>
        </w:rPr>
        <w:t>24 kapselia</w:t>
      </w:r>
    </w:p>
    <w:p w14:paraId="586FCC09" w14:textId="77777777" w:rsidR="008F2D51" w:rsidRDefault="008F2D51" w:rsidP="008F2D51">
      <w:pPr>
        <w:tabs>
          <w:tab w:val="left" w:pos="2268"/>
          <w:tab w:val="left" w:pos="2552"/>
        </w:tabs>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EU/1/01/198/003</w:t>
      </w:r>
      <w:r>
        <w:rPr>
          <w:rFonts w:ascii="Times New Roman" w:hAnsi="Times New Roman"/>
          <w:sz w:val="22"/>
          <w:szCs w:val="22"/>
          <w:shd w:val="clear" w:color="auto" w:fill="D9D9D9"/>
        </w:rPr>
        <w:tab/>
        <w:t>48 kapselia</w:t>
      </w:r>
    </w:p>
    <w:p w14:paraId="586FCC0A" w14:textId="77777777" w:rsidR="008F2D51" w:rsidRDefault="008F2D51" w:rsidP="008F2D51">
      <w:pPr>
        <w:tabs>
          <w:tab w:val="left" w:pos="2268"/>
          <w:tab w:val="left" w:pos="2552"/>
        </w:tabs>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EU/1/01/198/004</w:t>
      </w:r>
      <w:r>
        <w:rPr>
          <w:rFonts w:ascii="Times New Roman" w:hAnsi="Times New Roman"/>
          <w:sz w:val="22"/>
          <w:szCs w:val="22"/>
          <w:shd w:val="clear" w:color="auto" w:fill="D9D9D9"/>
        </w:rPr>
        <w:tab/>
        <w:t>96 kapselia</w:t>
      </w:r>
    </w:p>
    <w:p w14:paraId="586FCC0B" w14:textId="77777777" w:rsidR="008F2D51" w:rsidRDefault="008F2D51" w:rsidP="008F2D51">
      <w:pPr>
        <w:tabs>
          <w:tab w:val="left" w:pos="2268"/>
          <w:tab w:val="left" w:pos="2552"/>
        </w:tabs>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EU/1/01/198/005</w:t>
      </w:r>
      <w:r>
        <w:rPr>
          <w:rFonts w:ascii="Times New Roman" w:hAnsi="Times New Roman"/>
          <w:sz w:val="22"/>
          <w:szCs w:val="22"/>
          <w:shd w:val="clear" w:color="auto" w:fill="D9D9D9"/>
        </w:rPr>
        <w:tab/>
        <w:t>120 kapselia</w:t>
      </w:r>
    </w:p>
    <w:p w14:paraId="586FCC0C" w14:textId="77777777" w:rsidR="008F2D51" w:rsidRDefault="008F2D51" w:rsidP="008F2D51">
      <w:pPr>
        <w:tabs>
          <w:tab w:val="left" w:pos="2268"/>
          <w:tab w:val="left" w:pos="2552"/>
        </w:tabs>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EU/1/01/198/006</w:t>
      </w:r>
      <w:r>
        <w:rPr>
          <w:rFonts w:ascii="Times New Roman" w:hAnsi="Times New Roman"/>
          <w:sz w:val="22"/>
          <w:szCs w:val="22"/>
          <w:shd w:val="clear" w:color="auto" w:fill="D9D9D9"/>
        </w:rPr>
        <w:tab/>
        <w:t>180 kapselia</w:t>
      </w:r>
    </w:p>
    <w:p w14:paraId="586FCC0D" w14:textId="77777777" w:rsidR="008F2D51" w:rsidRDefault="008F2D51" w:rsidP="008F2D51">
      <w:pPr>
        <w:widowControl w:val="0"/>
        <w:suppressAutoHyphens/>
        <w:ind w:left="567" w:hanging="567"/>
        <w:rPr>
          <w:rFonts w:ascii="Times New Roman" w:hAnsi="Times New Roman"/>
          <w:sz w:val="22"/>
          <w:szCs w:val="22"/>
        </w:rPr>
      </w:pPr>
    </w:p>
    <w:p w14:paraId="586FCC0E" w14:textId="77777777" w:rsidR="008F2D51" w:rsidRDefault="008F2D51" w:rsidP="008F2D51">
      <w:pPr>
        <w:rPr>
          <w:rFonts w:ascii="Times New Roman" w:hAnsi="Times New Roman"/>
          <w:sz w:val="22"/>
          <w:szCs w:val="22"/>
        </w:rPr>
      </w:pPr>
    </w:p>
    <w:p w14:paraId="586FCC0F"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13.</w:t>
      </w:r>
      <w:r>
        <w:rPr>
          <w:rFonts w:ascii="Times New Roman" w:hAnsi="Times New Roman"/>
          <w:b/>
          <w:sz w:val="22"/>
          <w:szCs w:val="22"/>
        </w:rPr>
        <w:tab/>
        <w:t>ERÄNUMERO</w:t>
      </w:r>
    </w:p>
    <w:p w14:paraId="586FCC10" w14:textId="77777777" w:rsidR="008F2D51" w:rsidRDefault="008F2D51" w:rsidP="008F2D51">
      <w:pPr>
        <w:rPr>
          <w:rFonts w:ascii="Times New Roman" w:hAnsi="Times New Roman"/>
          <w:sz w:val="22"/>
          <w:szCs w:val="22"/>
        </w:rPr>
      </w:pPr>
    </w:p>
    <w:p w14:paraId="586FCC11" w14:textId="77777777" w:rsidR="008F2D51" w:rsidRDefault="008F2D51" w:rsidP="008F2D51">
      <w:pPr>
        <w:widowControl w:val="0"/>
        <w:suppressAutoHyphens/>
        <w:ind w:left="567" w:hanging="567"/>
        <w:rPr>
          <w:rFonts w:ascii="Times New Roman" w:hAnsi="Times New Roman"/>
          <w:sz w:val="22"/>
          <w:szCs w:val="22"/>
        </w:rPr>
      </w:pPr>
      <w:r>
        <w:rPr>
          <w:rFonts w:ascii="Times New Roman" w:hAnsi="Times New Roman"/>
          <w:sz w:val="22"/>
          <w:szCs w:val="22"/>
        </w:rPr>
        <w:t>Lot</w:t>
      </w:r>
    </w:p>
    <w:p w14:paraId="586FCC12" w14:textId="77777777" w:rsidR="008F2D51" w:rsidRDefault="008F2D51" w:rsidP="008F2D51">
      <w:pPr>
        <w:rPr>
          <w:rFonts w:ascii="Times New Roman" w:hAnsi="Times New Roman"/>
          <w:sz w:val="22"/>
          <w:szCs w:val="22"/>
        </w:rPr>
      </w:pPr>
    </w:p>
    <w:p w14:paraId="586FCC13" w14:textId="77777777" w:rsidR="008F2D51" w:rsidRDefault="008F2D51" w:rsidP="008F2D51">
      <w:pPr>
        <w:rPr>
          <w:rFonts w:ascii="Times New Roman" w:hAnsi="Times New Roman"/>
          <w:sz w:val="22"/>
          <w:szCs w:val="22"/>
        </w:rPr>
      </w:pPr>
    </w:p>
    <w:p w14:paraId="586FCC14"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14.</w:t>
      </w:r>
      <w:r>
        <w:rPr>
          <w:rFonts w:ascii="Times New Roman" w:hAnsi="Times New Roman"/>
          <w:b/>
          <w:sz w:val="22"/>
          <w:szCs w:val="22"/>
        </w:rPr>
        <w:tab/>
        <w:t>YLEINEN TOIMITTAMISLUOKITTELU</w:t>
      </w:r>
    </w:p>
    <w:p w14:paraId="586FCC15" w14:textId="77777777" w:rsidR="008F2D51" w:rsidRDefault="008F2D51" w:rsidP="008F2D51">
      <w:pPr>
        <w:rPr>
          <w:rFonts w:ascii="Times New Roman" w:hAnsi="Times New Roman"/>
          <w:sz w:val="22"/>
          <w:szCs w:val="22"/>
        </w:rPr>
      </w:pPr>
    </w:p>
    <w:p w14:paraId="586FCC16" w14:textId="77777777" w:rsidR="008F2D51" w:rsidRDefault="008F2D51" w:rsidP="008F2D51">
      <w:pPr>
        <w:rPr>
          <w:rFonts w:ascii="Times New Roman" w:hAnsi="Times New Roman"/>
          <w:sz w:val="22"/>
          <w:szCs w:val="22"/>
        </w:rPr>
      </w:pPr>
    </w:p>
    <w:p w14:paraId="586FCC17"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15.</w:t>
      </w:r>
      <w:r>
        <w:rPr>
          <w:rFonts w:ascii="Times New Roman" w:hAnsi="Times New Roman"/>
          <w:b/>
          <w:sz w:val="22"/>
          <w:szCs w:val="22"/>
        </w:rPr>
        <w:tab/>
        <w:t>KÄYTTÖOHJEET</w:t>
      </w:r>
    </w:p>
    <w:p w14:paraId="586FCC18" w14:textId="77777777" w:rsidR="008F2D51" w:rsidRDefault="008F2D51" w:rsidP="008F2D51">
      <w:pPr>
        <w:rPr>
          <w:rFonts w:ascii="Times New Roman" w:hAnsi="Times New Roman"/>
          <w:sz w:val="22"/>
          <w:szCs w:val="22"/>
        </w:rPr>
      </w:pPr>
    </w:p>
    <w:p w14:paraId="586FCC19" w14:textId="77777777" w:rsidR="008F2D51" w:rsidRDefault="008F2D51" w:rsidP="008F2D51">
      <w:pPr>
        <w:rPr>
          <w:rFonts w:ascii="Times New Roman" w:hAnsi="Times New Roman"/>
          <w:sz w:val="22"/>
          <w:szCs w:val="22"/>
        </w:rPr>
      </w:pPr>
    </w:p>
    <w:p w14:paraId="586FCC1A" w14:textId="77777777" w:rsidR="008F2D51" w:rsidRDefault="008F2D51" w:rsidP="008F2D51">
      <w:pPr>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 w:val="22"/>
          <w:szCs w:val="22"/>
        </w:rPr>
      </w:pPr>
      <w:r>
        <w:rPr>
          <w:rFonts w:ascii="Times New Roman" w:hAnsi="Times New Roman"/>
          <w:b/>
          <w:sz w:val="22"/>
          <w:szCs w:val="22"/>
        </w:rPr>
        <w:t>16.</w:t>
      </w:r>
      <w:r>
        <w:rPr>
          <w:rFonts w:ascii="Times New Roman" w:hAnsi="Times New Roman"/>
          <w:b/>
          <w:sz w:val="22"/>
          <w:szCs w:val="22"/>
        </w:rPr>
        <w:tab/>
        <w:t>TIEDOT PISTEKIRJOITUKSELLA</w:t>
      </w:r>
    </w:p>
    <w:p w14:paraId="586FCC1B" w14:textId="77777777" w:rsidR="008F2D51" w:rsidRDefault="008F2D51" w:rsidP="008F2D51">
      <w:pPr>
        <w:rPr>
          <w:rFonts w:ascii="Times New Roman" w:hAnsi="Times New Roman"/>
          <w:sz w:val="22"/>
          <w:szCs w:val="22"/>
          <w:u w:val="single"/>
        </w:rPr>
      </w:pPr>
    </w:p>
    <w:p w14:paraId="586FCC1C" w14:textId="77777777" w:rsidR="008F2D51" w:rsidRDefault="008F2D51" w:rsidP="008F2D51">
      <w:pPr>
        <w:rPr>
          <w:rFonts w:ascii="Times New Roman" w:hAnsi="Times New Roman"/>
          <w:sz w:val="22"/>
          <w:szCs w:val="22"/>
        </w:rPr>
      </w:pPr>
      <w:r>
        <w:rPr>
          <w:rFonts w:ascii="Times New Roman" w:hAnsi="Times New Roman"/>
          <w:sz w:val="22"/>
          <w:szCs w:val="22"/>
        </w:rPr>
        <w:t>Glivec 100 mg</w:t>
      </w:r>
    </w:p>
    <w:p w14:paraId="586FCC1D" w14:textId="77777777" w:rsidR="00532E14" w:rsidRPr="004B2D62" w:rsidRDefault="00532E14" w:rsidP="008F2D51">
      <w:pPr>
        <w:suppressAutoHyphens/>
        <w:rPr>
          <w:rFonts w:ascii="Times New Roman" w:hAnsi="Times New Roman"/>
          <w:sz w:val="22"/>
          <w:szCs w:val="22"/>
        </w:rPr>
      </w:pPr>
    </w:p>
    <w:p w14:paraId="586FCC1E" w14:textId="77777777" w:rsidR="00532E14" w:rsidRPr="004B2D62" w:rsidRDefault="00532E14" w:rsidP="00532E14">
      <w:pPr>
        <w:suppressAutoHyphens/>
        <w:rPr>
          <w:rFonts w:ascii="Times New Roman" w:hAnsi="Times New Roman"/>
          <w:sz w:val="22"/>
          <w:szCs w:val="22"/>
          <w:shd w:val="clear" w:color="auto" w:fill="CCCCCC"/>
        </w:rPr>
      </w:pPr>
    </w:p>
    <w:p w14:paraId="586FCC1F" w14:textId="77777777" w:rsidR="00532E14" w:rsidRPr="004B2D62" w:rsidRDefault="00532E14" w:rsidP="00532E14">
      <w:pPr>
        <w:keepNext/>
        <w:pBdr>
          <w:top w:val="single" w:sz="4" w:space="1" w:color="auto"/>
          <w:left w:val="single" w:sz="4" w:space="4" w:color="auto"/>
          <w:bottom w:val="single" w:sz="4" w:space="1" w:color="auto"/>
          <w:right w:val="single" w:sz="4" w:space="4" w:color="auto"/>
        </w:pBdr>
        <w:tabs>
          <w:tab w:val="left" w:pos="567"/>
        </w:tabs>
        <w:outlineLvl w:val="0"/>
        <w:rPr>
          <w:rFonts w:ascii="Times New Roman" w:hAnsi="Times New Roman"/>
          <w:i/>
          <w:noProof/>
          <w:sz w:val="22"/>
          <w:szCs w:val="22"/>
        </w:rPr>
      </w:pPr>
      <w:r w:rsidRPr="004B2D62">
        <w:rPr>
          <w:rFonts w:ascii="Times New Roman" w:hAnsi="Times New Roman"/>
          <w:b/>
          <w:noProof/>
          <w:sz w:val="22"/>
          <w:szCs w:val="22"/>
        </w:rPr>
        <w:t>17.</w:t>
      </w:r>
      <w:r w:rsidRPr="004B2D62">
        <w:rPr>
          <w:rFonts w:ascii="Times New Roman" w:hAnsi="Times New Roman"/>
          <w:b/>
          <w:noProof/>
          <w:sz w:val="22"/>
          <w:szCs w:val="22"/>
        </w:rPr>
        <w:tab/>
        <w:t>YKSILÖLLINEN TUNNISTE – 2D-VIIVAKOODI</w:t>
      </w:r>
    </w:p>
    <w:p w14:paraId="586FCC20" w14:textId="77777777" w:rsidR="00532E14" w:rsidRPr="004B2D62" w:rsidRDefault="00532E14" w:rsidP="00532E14">
      <w:pPr>
        <w:tabs>
          <w:tab w:val="left" w:pos="720"/>
        </w:tabs>
        <w:rPr>
          <w:rFonts w:ascii="Times New Roman" w:hAnsi="Times New Roman"/>
          <w:noProof/>
          <w:sz w:val="22"/>
          <w:szCs w:val="22"/>
        </w:rPr>
      </w:pPr>
    </w:p>
    <w:p w14:paraId="586FCC21" w14:textId="77777777" w:rsidR="00532E14" w:rsidRPr="00804D62" w:rsidRDefault="00532E14" w:rsidP="00532E14">
      <w:pPr>
        <w:rPr>
          <w:rFonts w:ascii="Times New Roman" w:hAnsi="Times New Roman"/>
          <w:noProof/>
          <w:sz w:val="22"/>
          <w:szCs w:val="22"/>
          <w:highlight w:val="lightGray"/>
        </w:rPr>
      </w:pPr>
      <w:r w:rsidRPr="00804D62">
        <w:rPr>
          <w:rFonts w:ascii="Times New Roman" w:hAnsi="Times New Roman"/>
          <w:noProof/>
          <w:sz w:val="22"/>
          <w:szCs w:val="22"/>
          <w:shd w:val="pct15" w:color="auto" w:fill="auto"/>
        </w:rPr>
        <w:t>2D-viivakoodi, joka sisältää yksilöllisen tunnisteen.</w:t>
      </w:r>
    </w:p>
    <w:p w14:paraId="586FCC22" w14:textId="77777777" w:rsidR="00532E14" w:rsidRPr="004B2D62" w:rsidRDefault="00532E14" w:rsidP="00532E14">
      <w:pPr>
        <w:rPr>
          <w:rFonts w:ascii="Times New Roman" w:hAnsi="Times New Roman"/>
          <w:noProof/>
          <w:sz w:val="22"/>
          <w:szCs w:val="22"/>
          <w:shd w:val="clear" w:color="auto" w:fill="CCCCCC"/>
          <w:lang w:eastAsia="fi-FI" w:bidi="fi-FI"/>
        </w:rPr>
      </w:pPr>
    </w:p>
    <w:p w14:paraId="586FCC23" w14:textId="77777777" w:rsidR="00532E14" w:rsidRPr="004B2D62" w:rsidRDefault="00532E14" w:rsidP="00532E14">
      <w:pPr>
        <w:tabs>
          <w:tab w:val="left" w:pos="720"/>
        </w:tabs>
        <w:rPr>
          <w:rFonts w:ascii="Times New Roman" w:hAnsi="Times New Roman"/>
          <w:noProof/>
          <w:sz w:val="22"/>
          <w:szCs w:val="22"/>
        </w:rPr>
      </w:pPr>
    </w:p>
    <w:p w14:paraId="586FCC24" w14:textId="77777777" w:rsidR="00532E14" w:rsidRPr="004B2D62" w:rsidRDefault="00532E14" w:rsidP="00532E14">
      <w:pPr>
        <w:keepNext/>
        <w:pBdr>
          <w:top w:val="single" w:sz="4" w:space="1" w:color="auto"/>
          <w:left w:val="single" w:sz="4" w:space="4" w:color="auto"/>
          <w:bottom w:val="single" w:sz="4" w:space="1" w:color="auto"/>
          <w:right w:val="single" w:sz="4" w:space="4" w:color="auto"/>
        </w:pBdr>
        <w:tabs>
          <w:tab w:val="left" w:pos="567"/>
        </w:tabs>
        <w:outlineLvl w:val="0"/>
        <w:rPr>
          <w:rFonts w:ascii="Times New Roman" w:hAnsi="Times New Roman"/>
          <w:i/>
          <w:noProof/>
          <w:sz w:val="22"/>
          <w:szCs w:val="22"/>
        </w:rPr>
      </w:pPr>
      <w:r w:rsidRPr="004B2D62">
        <w:rPr>
          <w:rFonts w:ascii="Times New Roman" w:hAnsi="Times New Roman"/>
          <w:b/>
          <w:noProof/>
          <w:sz w:val="22"/>
          <w:szCs w:val="22"/>
        </w:rPr>
        <w:t>18.</w:t>
      </w:r>
      <w:r w:rsidRPr="004B2D62">
        <w:rPr>
          <w:rFonts w:ascii="Times New Roman" w:hAnsi="Times New Roman"/>
          <w:b/>
          <w:noProof/>
          <w:sz w:val="22"/>
          <w:szCs w:val="22"/>
        </w:rPr>
        <w:tab/>
        <w:t>YKSILÖLLINEN TUNNISTE – LUETTAVISSA OLEVAT TIEDOT</w:t>
      </w:r>
    </w:p>
    <w:p w14:paraId="586FCC25" w14:textId="77777777" w:rsidR="00532E14" w:rsidRPr="004B2D62" w:rsidRDefault="00532E14" w:rsidP="00532E14">
      <w:pPr>
        <w:tabs>
          <w:tab w:val="left" w:pos="720"/>
        </w:tabs>
        <w:rPr>
          <w:rFonts w:ascii="Times New Roman" w:hAnsi="Times New Roman"/>
          <w:noProof/>
          <w:sz w:val="22"/>
          <w:szCs w:val="22"/>
        </w:rPr>
      </w:pPr>
    </w:p>
    <w:p w14:paraId="586FCC26" w14:textId="77777777" w:rsidR="00532E14" w:rsidRPr="00A8612B" w:rsidRDefault="00532E14" w:rsidP="00532E14">
      <w:pPr>
        <w:rPr>
          <w:rFonts w:ascii="Times New Roman" w:hAnsi="Times New Roman"/>
          <w:sz w:val="22"/>
          <w:szCs w:val="22"/>
        </w:rPr>
      </w:pPr>
      <w:r w:rsidRPr="001C13A3">
        <w:rPr>
          <w:rFonts w:ascii="Times New Roman" w:hAnsi="Times New Roman"/>
          <w:sz w:val="22"/>
          <w:szCs w:val="22"/>
        </w:rPr>
        <w:t>PC:</w:t>
      </w:r>
    </w:p>
    <w:p w14:paraId="586FCC27" w14:textId="77777777" w:rsidR="00532E14" w:rsidRPr="004B2D62" w:rsidRDefault="00532E14" w:rsidP="00532E14">
      <w:pPr>
        <w:rPr>
          <w:rFonts w:ascii="Times New Roman" w:hAnsi="Times New Roman"/>
          <w:sz w:val="22"/>
          <w:szCs w:val="22"/>
        </w:rPr>
      </w:pPr>
      <w:r w:rsidRPr="004B2D62">
        <w:rPr>
          <w:rFonts w:ascii="Times New Roman" w:hAnsi="Times New Roman"/>
          <w:sz w:val="22"/>
          <w:szCs w:val="22"/>
        </w:rPr>
        <w:t>SN:</w:t>
      </w:r>
    </w:p>
    <w:p w14:paraId="586FCC28" w14:textId="77777777" w:rsidR="00532E14" w:rsidRPr="004B2D62" w:rsidRDefault="00532E14" w:rsidP="00532E14">
      <w:pPr>
        <w:rPr>
          <w:rFonts w:ascii="Times New Roman" w:hAnsi="Times New Roman"/>
          <w:sz w:val="22"/>
          <w:szCs w:val="22"/>
        </w:rPr>
      </w:pPr>
      <w:r w:rsidRPr="004B2D62">
        <w:rPr>
          <w:rFonts w:ascii="Times New Roman" w:hAnsi="Times New Roman"/>
          <w:sz w:val="22"/>
          <w:szCs w:val="22"/>
        </w:rPr>
        <w:t>NN:</w:t>
      </w:r>
    </w:p>
    <w:p w14:paraId="586FCC29" w14:textId="77777777" w:rsidR="00532E14" w:rsidRPr="004B2D62" w:rsidRDefault="00532E14" w:rsidP="00532E14">
      <w:pPr>
        <w:rPr>
          <w:rFonts w:ascii="Times New Roman" w:hAnsi="Times New Roman"/>
          <w:sz w:val="22"/>
          <w:szCs w:val="22"/>
        </w:rPr>
      </w:pPr>
    </w:p>
    <w:p w14:paraId="586FCC2A" w14:textId="77777777" w:rsidR="008F2D51" w:rsidRPr="004B2D62" w:rsidRDefault="008F2D51" w:rsidP="008F2D51">
      <w:pPr>
        <w:suppressAutoHyphens/>
        <w:rPr>
          <w:rFonts w:ascii="Times New Roman" w:hAnsi="Times New Roman"/>
          <w:sz w:val="22"/>
          <w:szCs w:val="22"/>
        </w:rPr>
      </w:pPr>
      <w:r w:rsidRPr="004B2D62">
        <w:rPr>
          <w:rFonts w:ascii="Times New Roman" w:hAnsi="Times New Roman"/>
          <w:sz w:val="22"/>
          <w:szCs w:val="22"/>
        </w:rPr>
        <w:br w:type="page"/>
      </w:r>
    </w:p>
    <w:p w14:paraId="586FCC2B" w14:textId="77777777" w:rsidR="00774A0B" w:rsidRPr="00774A0B" w:rsidRDefault="00774A0B" w:rsidP="00774A0B">
      <w:pPr>
        <w:suppressAutoHyphens/>
        <w:rPr>
          <w:rFonts w:ascii="Times New Roman" w:hAnsi="Times New Roman"/>
          <w:sz w:val="22"/>
          <w:szCs w:val="22"/>
        </w:rPr>
      </w:pPr>
    </w:p>
    <w:p w14:paraId="586FCC2C"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Pr>
          <w:rFonts w:ascii="Times New Roman" w:hAnsi="Times New Roman"/>
          <w:b/>
          <w:sz w:val="22"/>
          <w:szCs w:val="22"/>
        </w:rPr>
        <w:t>LÄPIPAINOPAKKAUKSISSA TAI LEVYISSÄ ON OLTAVA VÄHINTÄÄN SEURAAVAT MERKINNÄT</w:t>
      </w:r>
    </w:p>
    <w:p w14:paraId="586FCC2D"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p>
    <w:p w14:paraId="586FCC2E"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Pr>
          <w:rFonts w:ascii="Times New Roman" w:hAnsi="Times New Roman"/>
          <w:b/>
          <w:sz w:val="22"/>
          <w:szCs w:val="22"/>
        </w:rPr>
        <w:t>LÄPIPAINOPAKKAUKSET</w:t>
      </w:r>
    </w:p>
    <w:p w14:paraId="586FCC2F" w14:textId="77777777" w:rsidR="008F2D51" w:rsidRDefault="008F2D51" w:rsidP="008F2D51">
      <w:pPr>
        <w:suppressAutoHyphens/>
        <w:rPr>
          <w:rFonts w:ascii="Times New Roman" w:hAnsi="Times New Roman"/>
          <w:sz w:val="22"/>
          <w:szCs w:val="22"/>
        </w:rPr>
      </w:pPr>
    </w:p>
    <w:p w14:paraId="586FCC30" w14:textId="77777777" w:rsidR="008F2D51" w:rsidRDefault="008F2D51" w:rsidP="008F2D51">
      <w:pPr>
        <w:suppressAutoHyphens/>
        <w:rPr>
          <w:rFonts w:ascii="Times New Roman" w:hAnsi="Times New Roman"/>
          <w:sz w:val="22"/>
          <w:szCs w:val="22"/>
        </w:rPr>
      </w:pPr>
    </w:p>
    <w:p w14:paraId="586FCC31"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w:t>
      </w:r>
      <w:r>
        <w:rPr>
          <w:rFonts w:ascii="Times New Roman" w:hAnsi="Times New Roman"/>
          <w:b/>
          <w:sz w:val="22"/>
          <w:szCs w:val="22"/>
        </w:rPr>
        <w:tab/>
        <w:t>LÄÄKEVALMISTEEN NIMI</w:t>
      </w:r>
    </w:p>
    <w:p w14:paraId="586FCC32" w14:textId="77777777" w:rsidR="008F2D51" w:rsidRDefault="008F2D51" w:rsidP="008F2D51">
      <w:pPr>
        <w:suppressAutoHyphens/>
        <w:rPr>
          <w:rFonts w:ascii="Times New Roman" w:hAnsi="Times New Roman"/>
          <w:sz w:val="22"/>
          <w:szCs w:val="22"/>
        </w:rPr>
      </w:pPr>
    </w:p>
    <w:p w14:paraId="586FCC33"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Glivec 100 mg kapseli</w:t>
      </w:r>
    </w:p>
    <w:p w14:paraId="586FCC34" w14:textId="77777777" w:rsidR="008F2D51" w:rsidRDefault="00DA1F64" w:rsidP="008F2D51">
      <w:pPr>
        <w:widowControl w:val="0"/>
        <w:suppressAutoHyphens/>
        <w:rPr>
          <w:rFonts w:ascii="Times New Roman" w:hAnsi="Times New Roman"/>
          <w:sz w:val="22"/>
          <w:szCs w:val="22"/>
        </w:rPr>
      </w:pPr>
      <w:r>
        <w:rPr>
          <w:rFonts w:ascii="Times New Roman" w:hAnsi="Times New Roman"/>
          <w:sz w:val="22"/>
          <w:szCs w:val="22"/>
        </w:rPr>
        <w:t>i</w:t>
      </w:r>
      <w:r w:rsidR="008F2D51">
        <w:rPr>
          <w:rFonts w:ascii="Times New Roman" w:hAnsi="Times New Roman"/>
          <w:sz w:val="22"/>
          <w:szCs w:val="22"/>
        </w:rPr>
        <w:t>matinibi</w:t>
      </w:r>
    </w:p>
    <w:p w14:paraId="586FCC35" w14:textId="77777777" w:rsidR="008F2D51" w:rsidRDefault="008F2D51" w:rsidP="008F2D51">
      <w:pPr>
        <w:suppressAutoHyphens/>
        <w:rPr>
          <w:rFonts w:ascii="Times New Roman" w:hAnsi="Times New Roman"/>
          <w:sz w:val="22"/>
          <w:szCs w:val="22"/>
        </w:rPr>
      </w:pPr>
    </w:p>
    <w:p w14:paraId="586FCC36" w14:textId="77777777" w:rsidR="008F2D51" w:rsidRDefault="008F2D51" w:rsidP="008F2D51">
      <w:pPr>
        <w:suppressAutoHyphens/>
        <w:rPr>
          <w:rFonts w:ascii="Times New Roman" w:hAnsi="Times New Roman"/>
          <w:sz w:val="22"/>
          <w:szCs w:val="22"/>
        </w:rPr>
      </w:pPr>
    </w:p>
    <w:p w14:paraId="586FCC37"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2.</w:t>
      </w:r>
      <w:r>
        <w:rPr>
          <w:rFonts w:ascii="Times New Roman" w:hAnsi="Times New Roman"/>
          <w:b/>
          <w:sz w:val="22"/>
          <w:szCs w:val="22"/>
        </w:rPr>
        <w:tab/>
        <w:t>MYYNTILUVAN HALTIJAN NIMI</w:t>
      </w:r>
    </w:p>
    <w:p w14:paraId="586FCC38" w14:textId="77777777" w:rsidR="008F2D51" w:rsidRDefault="008F2D51" w:rsidP="008F2D51">
      <w:pPr>
        <w:suppressAutoHyphens/>
        <w:rPr>
          <w:rFonts w:ascii="Times New Roman" w:hAnsi="Times New Roman"/>
          <w:sz w:val="22"/>
          <w:szCs w:val="22"/>
        </w:rPr>
      </w:pPr>
    </w:p>
    <w:p w14:paraId="586FCC39" w14:textId="77777777" w:rsidR="008F2D51" w:rsidRDefault="008F2D51" w:rsidP="008F2D51">
      <w:pPr>
        <w:widowControl w:val="0"/>
        <w:rPr>
          <w:rFonts w:ascii="Times New Roman" w:hAnsi="Times New Roman"/>
          <w:sz w:val="22"/>
          <w:szCs w:val="22"/>
        </w:rPr>
      </w:pPr>
      <w:r>
        <w:rPr>
          <w:rFonts w:ascii="Times New Roman" w:hAnsi="Times New Roman"/>
          <w:sz w:val="22"/>
          <w:szCs w:val="22"/>
        </w:rPr>
        <w:t>Novartis Europharm Limited</w:t>
      </w:r>
    </w:p>
    <w:p w14:paraId="586FCC3A" w14:textId="77777777" w:rsidR="008F2D51" w:rsidRDefault="008F2D51" w:rsidP="008F2D51">
      <w:pPr>
        <w:suppressAutoHyphens/>
        <w:rPr>
          <w:rFonts w:ascii="Times New Roman" w:hAnsi="Times New Roman"/>
          <w:sz w:val="22"/>
          <w:szCs w:val="22"/>
        </w:rPr>
      </w:pPr>
    </w:p>
    <w:p w14:paraId="586FCC3B" w14:textId="77777777" w:rsidR="008F2D51" w:rsidRDefault="008F2D51" w:rsidP="008F2D51">
      <w:pPr>
        <w:suppressAutoHyphens/>
        <w:rPr>
          <w:rFonts w:ascii="Times New Roman" w:hAnsi="Times New Roman"/>
          <w:sz w:val="22"/>
          <w:szCs w:val="22"/>
        </w:rPr>
      </w:pPr>
    </w:p>
    <w:p w14:paraId="586FCC3C"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3.</w:t>
      </w:r>
      <w:r>
        <w:rPr>
          <w:rFonts w:ascii="Times New Roman" w:hAnsi="Times New Roman"/>
          <w:b/>
          <w:sz w:val="22"/>
          <w:szCs w:val="22"/>
        </w:rPr>
        <w:tab/>
        <w:t>VIIMEINEN KÄYTTÖPÄIVÄMÄÄRÄ</w:t>
      </w:r>
    </w:p>
    <w:p w14:paraId="586FCC3D" w14:textId="77777777" w:rsidR="008F2D51" w:rsidRDefault="008F2D51" w:rsidP="008F2D51">
      <w:pPr>
        <w:suppressAutoHyphens/>
        <w:rPr>
          <w:rFonts w:ascii="Times New Roman" w:hAnsi="Times New Roman"/>
          <w:sz w:val="22"/>
          <w:szCs w:val="22"/>
        </w:rPr>
      </w:pPr>
    </w:p>
    <w:p w14:paraId="586FCC3E"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EXP</w:t>
      </w:r>
    </w:p>
    <w:p w14:paraId="586FCC3F" w14:textId="77777777" w:rsidR="008F2D51" w:rsidRDefault="008F2D51" w:rsidP="008F2D51">
      <w:pPr>
        <w:suppressAutoHyphens/>
        <w:rPr>
          <w:rFonts w:ascii="Times New Roman" w:hAnsi="Times New Roman"/>
          <w:sz w:val="22"/>
          <w:szCs w:val="22"/>
        </w:rPr>
      </w:pPr>
    </w:p>
    <w:p w14:paraId="586FCC40" w14:textId="77777777" w:rsidR="008F2D51" w:rsidRDefault="008F2D51" w:rsidP="008F2D51">
      <w:pPr>
        <w:suppressAutoHyphens/>
        <w:rPr>
          <w:rFonts w:ascii="Times New Roman" w:hAnsi="Times New Roman"/>
          <w:sz w:val="22"/>
          <w:szCs w:val="22"/>
        </w:rPr>
      </w:pPr>
    </w:p>
    <w:p w14:paraId="586FCC41"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4.</w:t>
      </w:r>
      <w:r>
        <w:rPr>
          <w:rFonts w:ascii="Times New Roman" w:hAnsi="Times New Roman"/>
          <w:b/>
          <w:sz w:val="22"/>
          <w:szCs w:val="22"/>
        </w:rPr>
        <w:tab/>
        <w:t>ERÄNUMERO</w:t>
      </w:r>
    </w:p>
    <w:p w14:paraId="586FCC42" w14:textId="77777777" w:rsidR="008F2D51" w:rsidRDefault="008F2D51" w:rsidP="008F2D51">
      <w:pPr>
        <w:suppressAutoHyphens/>
        <w:rPr>
          <w:rFonts w:ascii="Times New Roman" w:hAnsi="Times New Roman"/>
          <w:sz w:val="22"/>
          <w:szCs w:val="22"/>
        </w:rPr>
      </w:pPr>
    </w:p>
    <w:p w14:paraId="586FCC43"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Lot</w:t>
      </w:r>
    </w:p>
    <w:p w14:paraId="586FCC44" w14:textId="77777777" w:rsidR="008F2D51" w:rsidRDefault="008F2D51" w:rsidP="008F2D51">
      <w:pPr>
        <w:rPr>
          <w:rFonts w:ascii="Times New Roman" w:hAnsi="Times New Roman"/>
          <w:sz w:val="22"/>
          <w:szCs w:val="22"/>
        </w:rPr>
      </w:pPr>
    </w:p>
    <w:p w14:paraId="586FCC45" w14:textId="77777777" w:rsidR="008F2D51" w:rsidRDefault="008F2D51" w:rsidP="008F2D51">
      <w:pPr>
        <w:rPr>
          <w:rFonts w:ascii="Times New Roman" w:hAnsi="Times New Roman"/>
          <w:sz w:val="22"/>
          <w:szCs w:val="22"/>
        </w:rPr>
      </w:pPr>
    </w:p>
    <w:p w14:paraId="586FCC46" w14:textId="77777777" w:rsidR="008F2D51" w:rsidRDefault="008F2D51" w:rsidP="008F2D51">
      <w:pPr>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rPr>
      </w:pPr>
      <w:r>
        <w:rPr>
          <w:rFonts w:ascii="Times New Roman" w:hAnsi="Times New Roman"/>
          <w:b/>
          <w:noProof/>
          <w:sz w:val="22"/>
          <w:szCs w:val="22"/>
        </w:rPr>
        <w:t>5.</w:t>
      </w:r>
      <w:r>
        <w:rPr>
          <w:rFonts w:ascii="Times New Roman" w:hAnsi="Times New Roman"/>
          <w:b/>
          <w:noProof/>
          <w:sz w:val="22"/>
          <w:szCs w:val="22"/>
        </w:rPr>
        <w:tab/>
        <w:t>MUUTA</w:t>
      </w:r>
    </w:p>
    <w:p w14:paraId="586FCC47" w14:textId="77777777" w:rsidR="008F2D51" w:rsidRDefault="008F2D51" w:rsidP="008F2D51">
      <w:pPr>
        <w:widowControl w:val="0"/>
        <w:suppressAutoHyphens/>
        <w:rPr>
          <w:rFonts w:ascii="Times New Roman" w:hAnsi="Times New Roman"/>
          <w:sz w:val="22"/>
          <w:szCs w:val="22"/>
        </w:rPr>
      </w:pPr>
    </w:p>
    <w:p w14:paraId="586FCC48" w14:textId="77777777" w:rsidR="008F2D51" w:rsidRDefault="008F2D51" w:rsidP="008F2D51">
      <w:pPr>
        <w:shd w:val="clear" w:color="auto" w:fill="FFFFFF"/>
        <w:suppressAutoHyphens/>
        <w:rPr>
          <w:rFonts w:ascii="Times New Roman" w:hAnsi="Times New Roman"/>
          <w:sz w:val="22"/>
          <w:szCs w:val="22"/>
        </w:rPr>
      </w:pPr>
      <w:r>
        <w:rPr>
          <w:rFonts w:ascii="Times New Roman" w:hAnsi="Times New Roman"/>
          <w:sz w:val="22"/>
          <w:szCs w:val="22"/>
        </w:rPr>
        <w:br w:type="page"/>
      </w:r>
    </w:p>
    <w:p w14:paraId="586FCC49" w14:textId="77777777" w:rsidR="00774A0B" w:rsidRPr="00774A0B" w:rsidRDefault="00774A0B" w:rsidP="00774A0B">
      <w:pPr>
        <w:pStyle w:val="BodyText3"/>
        <w:rPr>
          <w:b w:val="0"/>
          <w:szCs w:val="22"/>
        </w:rPr>
      </w:pPr>
    </w:p>
    <w:p w14:paraId="586FCC4A" w14:textId="77777777" w:rsidR="008F2D51" w:rsidRDefault="008F2D51" w:rsidP="008F2D51">
      <w:pPr>
        <w:pStyle w:val="BodyText3"/>
        <w:pBdr>
          <w:top w:val="single" w:sz="4" w:space="1" w:color="auto"/>
          <w:left w:val="single" w:sz="4" w:space="4" w:color="auto"/>
          <w:bottom w:val="single" w:sz="4" w:space="1" w:color="auto"/>
          <w:right w:val="single" w:sz="4" w:space="4" w:color="auto"/>
        </w:pBdr>
        <w:rPr>
          <w:szCs w:val="22"/>
        </w:rPr>
      </w:pPr>
      <w:r>
        <w:rPr>
          <w:szCs w:val="22"/>
        </w:rPr>
        <w:t>ULKOPAKKAUKSESSA ON OLTAVA SEURAAVAT MERKINNÄT</w:t>
      </w:r>
    </w:p>
    <w:p w14:paraId="586FCC4B"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p>
    <w:p w14:paraId="586FCC4C"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r>
        <w:rPr>
          <w:rFonts w:ascii="Times New Roman" w:hAnsi="Times New Roman"/>
          <w:b/>
          <w:sz w:val="22"/>
          <w:szCs w:val="22"/>
        </w:rPr>
        <w:t>PAHVIKOTELO</w:t>
      </w:r>
    </w:p>
    <w:p w14:paraId="586FCC4D" w14:textId="77777777" w:rsidR="008F2D51" w:rsidRDefault="008F2D51" w:rsidP="008F2D51">
      <w:pPr>
        <w:suppressAutoHyphens/>
        <w:rPr>
          <w:rFonts w:ascii="Times New Roman" w:hAnsi="Times New Roman"/>
          <w:sz w:val="22"/>
          <w:szCs w:val="22"/>
        </w:rPr>
      </w:pPr>
    </w:p>
    <w:p w14:paraId="586FCC4E" w14:textId="77777777" w:rsidR="008F2D51" w:rsidRDefault="008F2D51" w:rsidP="008F2D51">
      <w:pPr>
        <w:suppressAutoHyphens/>
        <w:rPr>
          <w:rFonts w:ascii="Times New Roman" w:hAnsi="Times New Roman"/>
          <w:sz w:val="22"/>
          <w:szCs w:val="22"/>
        </w:rPr>
      </w:pPr>
    </w:p>
    <w:p w14:paraId="586FCC4F"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w:t>
      </w:r>
      <w:r>
        <w:rPr>
          <w:rFonts w:ascii="Times New Roman" w:hAnsi="Times New Roman"/>
          <w:b/>
          <w:sz w:val="22"/>
          <w:szCs w:val="22"/>
        </w:rPr>
        <w:tab/>
        <w:t>LÄÄKEVALMISTEEN NIMI</w:t>
      </w:r>
    </w:p>
    <w:p w14:paraId="586FCC50" w14:textId="77777777" w:rsidR="008F2D51" w:rsidRDefault="008F2D51" w:rsidP="008F2D51">
      <w:pPr>
        <w:suppressAutoHyphens/>
        <w:rPr>
          <w:rFonts w:ascii="Times New Roman" w:hAnsi="Times New Roman"/>
          <w:sz w:val="22"/>
          <w:szCs w:val="22"/>
        </w:rPr>
      </w:pPr>
    </w:p>
    <w:p w14:paraId="586FCC51"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Glivec 100 mg kalvopäällysteiset tabletit</w:t>
      </w:r>
    </w:p>
    <w:p w14:paraId="586FCC52" w14:textId="77777777" w:rsidR="008F2D51" w:rsidRDefault="00D83020" w:rsidP="008F2D51">
      <w:pPr>
        <w:widowControl w:val="0"/>
        <w:suppressAutoHyphens/>
        <w:rPr>
          <w:rFonts w:ascii="Times New Roman" w:hAnsi="Times New Roman"/>
          <w:sz w:val="22"/>
          <w:szCs w:val="22"/>
        </w:rPr>
      </w:pPr>
      <w:r>
        <w:rPr>
          <w:rFonts w:ascii="Times New Roman" w:hAnsi="Times New Roman"/>
          <w:sz w:val="22"/>
          <w:szCs w:val="22"/>
        </w:rPr>
        <w:t>i</w:t>
      </w:r>
      <w:r w:rsidR="008F2D51">
        <w:rPr>
          <w:rFonts w:ascii="Times New Roman" w:hAnsi="Times New Roman"/>
          <w:sz w:val="22"/>
          <w:szCs w:val="22"/>
        </w:rPr>
        <w:t>matinibi</w:t>
      </w:r>
    </w:p>
    <w:p w14:paraId="586FCC53" w14:textId="77777777" w:rsidR="008F2D51" w:rsidRDefault="008F2D51" w:rsidP="008F2D51">
      <w:pPr>
        <w:suppressAutoHyphens/>
        <w:rPr>
          <w:rFonts w:ascii="Times New Roman" w:hAnsi="Times New Roman"/>
          <w:sz w:val="22"/>
          <w:szCs w:val="22"/>
        </w:rPr>
      </w:pPr>
    </w:p>
    <w:p w14:paraId="586FCC54" w14:textId="77777777" w:rsidR="008F2D51" w:rsidRDefault="008F2D51" w:rsidP="008F2D51">
      <w:pPr>
        <w:suppressAutoHyphens/>
        <w:rPr>
          <w:rFonts w:ascii="Times New Roman" w:hAnsi="Times New Roman"/>
          <w:sz w:val="22"/>
          <w:szCs w:val="22"/>
        </w:rPr>
      </w:pPr>
    </w:p>
    <w:p w14:paraId="586FCC55"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2.</w:t>
      </w:r>
      <w:r>
        <w:rPr>
          <w:rFonts w:ascii="Times New Roman" w:hAnsi="Times New Roman"/>
          <w:b/>
          <w:sz w:val="22"/>
          <w:szCs w:val="22"/>
        </w:rPr>
        <w:tab/>
        <w:t>VAIKUTTAVA(T) AINE(ET)</w:t>
      </w:r>
    </w:p>
    <w:p w14:paraId="586FCC56" w14:textId="77777777" w:rsidR="008F2D51" w:rsidRDefault="008F2D51" w:rsidP="008F2D51">
      <w:pPr>
        <w:suppressAutoHyphens/>
        <w:rPr>
          <w:rFonts w:ascii="Times New Roman" w:hAnsi="Times New Roman"/>
          <w:sz w:val="22"/>
          <w:szCs w:val="22"/>
        </w:rPr>
      </w:pPr>
    </w:p>
    <w:p w14:paraId="586FCC57" w14:textId="77777777" w:rsidR="008F2D51" w:rsidRDefault="008F2D51" w:rsidP="008F2D51">
      <w:pPr>
        <w:widowControl w:val="0"/>
        <w:rPr>
          <w:rFonts w:ascii="Times New Roman" w:hAnsi="Times New Roman"/>
          <w:sz w:val="22"/>
          <w:szCs w:val="22"/>
        </w:rPr>
      </w:pPr>
      <w:r>
        <w:rPr>
          <w:rFonts w:ascii="Times New Roman" w:hAnsi="Times New Roman"/>
          <w:sz w:val="22"/>
          <w:szCs w:val="22"/>
        </w:rPr>
        <w:t>Yksi kalvopäällysteinen tabletti sisältää 100 mg imatinibia (mesilaattina).</w:t>
      </w:r>
    </w:p>
    <w:p w14:paraId="586FCC58" w14:textId="77777777" w:rsidR="008F2D51" w:rsidRDefault="008F2D51" w:rsidP="008F2D51">
      <w:pPr>
        <w:suppressAutoHyphens/>
        <w:rPr>
          <w:rFonts w:ascii="Times New Roman" w:hAnsi="Times New Roman"/>
          <w:sz w:val="22"/>
          <w:szCs w:val="22"/>
        </w:rPr>
      </w:pPr>
    </w:p>
    <w:p w14:paraId="586FCC59" w14:textId="77777777" w:rsidR="008F2D51" w:rsidRDefault="008F2D51" w:rsidP="008F2D51">
      <w:pPr>
        <w:suppressAutoHyphens/>
        <w:rPr>
          <w:rFonts w:ascii="Times New Roman" w:hAnsi="Times New Roman"/>
          <w:sz w:val="22"/>
          <w:szCs w:val="22"/>
        </w:rPr>
      </w:pPr>
    </w:p>
    <w:p w14:paraId="586FCC5A"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3.</w:t>
      </w:r>
      <w:r>
        <w:rPr>
          <w:rFonts w:ascii="Times New Roman" w:hAnsi="Times New Roman"/>
          <w:b/>
          <w:sz w:val="22"/>
          <w:szCs w:val="22"/>
        </w:rPr>
        <w:tab/>
        <w:t>LUETTELO APUAINEISTA</w:t>
      </w:r>
    </w:p>
    <w:p w14:paraId="586FCC5B" w14:textId="77777777" w:rsidR="008F2D51" w:rsidRDefault="008F2D51" w:rsidP="008F2D51">
      <w:pPr>
        <w:pStyle w:val="Header"/>
        <w:tabs>
          <w:tab w:val="clear" w:pos="567"/>
        </w:tabs>
        <w:suppressAutoHyphens/>
        <w:rPr>
          <w:rFonts w:ascii="Times New Roman" w:hAnsi="Times New Roman"/>
          <w:color w:val="000000"/>
          <w:sz w:val="22"/>
          <w:szCs w:val="22"/>
          <w:lang w:val="fi-FI"/>
        </w:rPr>
      </w:pPr>
    </w:p>
    <w:p w14:paraId="586FCC5C" w14:textId="77777777" w:rsidR="008F2D51" w:rsidRDefault="008F2D51" w:rsidP="008F2D51">
      <w:pPr>
        <w:suppressAutoHyphens/>
        <w:rPr>
          <w:rFonts w:ascii="Times New Roman" w:hAnsi="Times New Roman"/>
          <w:sz w:val="22"/>
          <w:szCs w:val="22"/>
        </w:rPr>
      </w:pPr>
    </w:p>
    <w:p w14:paraId="586FCC5D"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4.</w:t>
      </w:r>
      <w:r>
        <w:rPr>
          <w:rFonts w:ascii="Times New Roman" w:hAnsi="Times New Roman"/>
          <w:b/>
          <w:sz w:val="22"/>
          <w:szCs w:val="22"/>
        </w:rPr>
        <w:tab/>
        <w:t>LÄÄKEMUOTO JA SISÄLLÖN MÄÄRÄ</w:t>
      </w:r>
    </w:p>
    <w:p w14:paraId="586FCC5E" w14:textId="77777777" w:rsidR="008F2D51" w:rsidRDefault="008F2D51" w:rsidP="008F2D51">
      <w:pPr>
        <w:suppressAutoHyphens/>
        <w:rPr>
          <w:rFonts w:ascii="Times New Roman" w:hAnsi="Times New Roman"/>
          <w:sz w:val="22"/>
          <w:szCs w:val="22"/>
        </w:rPr>
      </w:pPr>
    </w:p>
    <w:p w14:paraId="586FCC5F" w14:textId="77777777" w:rsidR="008F2D51" w:rsidRDefault="008F2D51" w:rsidP="008F2D51">
      <w:pPr>
        <w:widowControl w:val="0"/>
        <w:suppressAutoHyphens/>
        <w:rPr>
          <w:rFonts w:ascii="Times New Roman" w:hAnsi="Times New Roman"/>
          <w:sz w:val="22"/>
          <w:szCs w:val="22"/>
        </w:rPr>
      </w:pPr>
      <w:r w:rsidRPr="00324DEB">
        <w:rPr>
          <w:rFonts w:ascii="Times New Roman" w:hAnsi="Times New Roman"/>
          <w:sz w:val="22"/>
          <w:szCs w:val="22"/>
        </w:rPr>
        <w:t>20 kalvopäällysteistä tablettia</w:t>
      </w:r>
    </w:p>
    <w:p w14:paraId="586FCC60"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60 kalvopäällysteistä tablettia</w:t>
      </w:r>
    </w:p>
    <w:p w14:paraId="586FCC61"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120 kalvopäällysteistä tablettia</w:t>
      </w:r>
    </w:p>
    <w:p w14:paraId="586FCC62"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180 kalvopäällysteistä tablettia</w:t>
      </w:r>
    </w:p>
    <w:p w14:paraId="586FCC63" w14:textId="77777777" w:rsidR="008F2D51" w:rsidRDefault="008F2D51" w:rsidP="008F2D51">
      <w:pPr>
        <w:suppressAutoHyphens/>
        <w:rPr>
          <w:rFonts w:ascii="Times New Roman" w:hAnsi="Times New Roman"/>
          <w:sz w:val="22"/>
          <w:szCs w:val="22"/>
        </w:rPr>
      </w:pPr>
    </w:p>
    <w:p w14:paraId="586FCC64" w14:textId="77777777" w:rsidR="008F2D51" w:rsidRDefault="008F2D51" w:rsidP="008F2D51">
      <w:pPr>
        <w:suppressAutoHyphens/>
        <w:rPr>
          <w:rFonts w:ascii="Times New Roman" w:hAnsi="Times New Roman"/>
          <w:sz w:val="22"/>
          <w:szCs w:val="22"/>
        </w:rPr>
      </w:pPr>
    </w:p>
    <w:p w14:paraId="586FCC65"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5.</w:t>
      </w:r>
      <w:r>
        <w:rPr>
          <w:rFonts w:ascii="Times New Roman" w:hAnsi="Times New Roman"/>
          <w:b/>
          <w:sz w:val="22"/>
          <w:szCs w:val="22"/>
        </w:rPr>
        <w:tab/>
        <w:t>ANTOTAPA JA TARVITTAESSA ANTOREITTI (ANTOREITIT)</w:t>
      </w:r>
    </w:p>
    <w:p w14:paraId="586FCC66" w14:textId="77777777" w:rsidR="008F2D51" w:rsidRDefault="008F2D51" w:rsidP="008F2D51">
      <w:pPr>
        <w:suppressAutoHyphens/>
        <w:rPr>
          <w:rFonts w:ascii="Times New Roman" w:hAnsi="Times New Roman"/>
          <w:sz w:val="22"/>
          <w:szCs w:val="22"/>
        </w:rPr>
      </w:pPr>
    </w:p>
    <w:p w14:paraId="586FCC67" w14:textId="77777777" w:rsidR="008F2D51" w:rsidRDefault="008F2D51" w:rsidP="008F2D51">
      <w:pPr>
        <w:widowControl w:val="0"/>
        <w:suppressAutoHyphens/>
        <w:ind w:left="567" w:hanging="567"/>
        <w:rPr>
          <w:rFonts w:ascii="Times New Roman" w:hAnsi="Times New Roman"/>
          <w:sz w:val="22"/>
          <w:szCs w:val="22"/>
        </w:rPr>
      </w:pPr>
      <w:r>
        <w:rPr>
          <w:rFonts w:ascii="Times New Roman" w:hAnsi="Times New Roman"/>
          <w:sz w:val="22"/>
          <w:szCs w:val="22"/>
        </w:rPr>
        <w:t>Suun kautta. Lue pakkausseloste ennen käyttöä.</w:t>
      </w:r>
    </w:p>
    <w:p w14:paraId="586FCC68" w14:textId="77777777" w:rsidR="008F2D51" w:rsidRDefault="008F2D51" w:rsidP="008F2D51">
      <w:pPr>
        <w:suppressAutoHyphens/>
        <w:rPr>
          <w:rFonts w:ascii="Times New Roman" w:hAnsi="Times New Roman"/>
          <w:sz w:val="22"/>
          <w:szCs w:val="22"/>
        </w:rPr>
      </w:pPr>
    </w:p>
    <w:p w14:paraId="586FCC69" w14:textId="77777777" w:rsidR="008F2D51" w:rsidRDefault="008F2D51" w:rsidP="008F2D51">
      <w:pPr>
        <w:suppressAutoHyphens/>
        <w:rPr>
          <w:rFonts w:ascii="Times New Roman" w:hAnsi="Times New Roman"/>
          <w:sz w:val="22"/>
          <w:szCs w:val="22"/>
        </w:rPr>
      </w:pPr>
    </w:p>
    <w:p w14:paraId="586FCC6A"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6.</w:t>
      </w:r>
      <w:r>
        <w:rPr>
          <w:rFonts w:ascii="Times New Roman" w:hAnsi="Times New Roman"/>
          <w:b/>
          <w:sz w:val="22"/>
          <w:szCs w:val="22"/>
        </w:rPr>
        <w:tab/>
        <w:t>ERITYISVAROITUS VALMISTEEN SÄILYTTÄMISESTÄ POIS</w:t>
      </w:r>
      <w:r w:rsidR="00D83020">
        <w:rPr>
          <w:rFonts w:ascii="Times New Roman" w:hAnsi="Times New Roman"/>
          <w:b/>
          <w:sz w:val="22"/>
          <w:szCs w:val="22"/>
        </w:rPr>
        <w:t>SA</w:t>
      </w:r>
      <w:r>
        <w:rPr>
          <w:rFonts w:ascii="Times New Roman" w:hAnsi="Times New Roman"/>
          <w:b/>
          <w:sz w:val="22"/>
          <w:szCs w:val="22"/>
        </w:rPr>
        <w:t xml:space="preserve"> LASTEN ULOTTUVILTA</w:t>
      </w:r>
      <w:r w:rsidR="00D83020">
        <w:rPr>
          <w:rFonts w:ascii="Times New Roman" w:hAnsi="Times New Roman"/>
          <w:b/>
          <w:sz w:val="22"/>
          <w:szCs w:val="22"/>
        </w:rPr>
        <w:t xml:space="preserve"> JA NÄKYVILTÄ</w:t>
      </w:r>
    </w:p>
    <w:p w14:paraId="586FCC6B" w14:textId="77777777" w:rsidR="008F2D51" w:rsidRDefault="008F2D51" w:rsidP="008F2D51">
      <w:pPr>
        <w:suppressAutoHyphens/>
        <w:rPr>
          <w:rFonts w:ascii="Times New Roman" w:hAnsi="Times New Roman"/>
          <w:sz w:val="22"/>
          <w:szCs w:val="22"/>
        </w:rPr>
      </w:pPr>
    </w:p>
    <w:p w14:paraId="586FCC6C" w14:textId="77777777" w:rsidR="008F2D51" w:rsidRDefault="008F2D51" w:rsidP="008F2D51">
      <w:pPr>
        <w:widowControl w:val="0"/>
        <w:suppressAutoHyphens/>
        <w:ind w:left="720" w:hanging="720"/>
        <w:rPr>
          <w:rFonts w:ascii="Times New Roman" w:hAnsi="Times New Roman"/>
          <w:sz w:val="22"/>
          <w:szCs w:val="22"/>
        </w:rPr>
      </w:pPr>
      <w:r>
        <w:rPr>
          <w:rFonts w:ascii="Times New Roman" w:hAnsi="Times New Roman"/>
          <w:sz w:val="22"/>
          <w:szCs w:val="22"/>
        </w:rPr>
        <w:t>Ei lasten ulottuville eikä näkyville.</w:t>
      </w:r>
    </w:p>
    <w:p w14:paraId="586FCC6D" w14:textId="77777777" w:rsidR="008F2D51" w:rsidRDefault="008F2D51" w:rsidP="008F2D51">
      <w:pPr>
        <w:rPr>
          <w:rFonts w:ascii="Times New Roman" w:hAnsi="Times New Roman"/>
          <w:sz w:val="22"/>
          <w:szCs w:val="22"/>
        </w:rPr>
      </w:pPr>
    </w:p>
    <w:p w14:paraId="586FCC6E" w14:textId="77777777" w:rsidR="008F2D51" w:rsidRDefault="008F2D51" w:rsidP="008F2D51">
      <w:pPr>
        <w:rPr>
          <w:rFonts w:ascii="Times New Roman" w:hAnsi="Times New Roman"/>
          <w:sz w:val="22"/>
          <w:szCs w:val="22"/>
        </w:rPr>
      </w:pPr>
    </w:p>
    <w:p w14:paraId="586FCC6F"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7.</w:t>
      </w:r>
      <w:r>
        <w:rPr>
          <w:rFonts w:ascii="Times New Roman" w:hAnsi="Times New Roman"/>
          <w:b/>
          <w:sz w:val="22"/>
          <w:szCs w:val="22"/>
        </w:rPr>
        <w:tab/>
        <w:t>MUU ERITYISVAROITUS (MUUT ERITYISVAROITUKSET), JOS TARPEEN</w:t>
      </w:r>
    </w:p>
    <w:p w14:paraId="586FCC70" w14:textId="77777777" w:rsidR="008F2D51" w:rsidRDefault="008F2D51" w:rsidP="008F2D51">
      <w:pPr>
        <w:rPr>
          <w:rFonts w:ascii="Times New Roman" w:hAnsi="Times New Roman"/>
          <w:sz w:val="22"/>
          <w:szCs w:val="22"/>
        </w:rPr>
      </w:pPr>
    </w:p>
    <w:p w14:paraId="586FCC71" w14:textId="77777777" w:rsidR="008F2D51" w:rsidRDefault="008F2D51" w:rsidP="008F2D51">
      <w:pPr>
        <w:widowControl w:val="0"/>
        <w:rPr>
          <w:rFonts w:ascii="Times New Roman" w:hAnsi="Times New Roman"/>
          <w:sz w:val="22"/>
          <w:szCs w:val="22"/>
        </w:rPr>
      </w:pPr>
      <w:r>
        <w:rPr>
          <w:rFonts w:ascii="Times New Roman" w:hAnsi="Times New Roman"/>
          <w:sz w:val="22"/>
          <w:szCs w:val="22"/>
        </w:rPr>
        <w:t>Käytä vain lääkärin ohjeen mukaan.</w:t>
      </w:r>
    </w:p>
    <w:p w14:paraId="586FCC72" w14:textId="77777777" w:rsidR="008F2D51" w:rsidRDefault="008F2D51" w:rsidP="008F2D51">
      <w:pPr>
        <w:rPr>
          <w:rFonts w:ascii="Times New Roman" w:hAnsi="Times New Roman"/>
          <w:sz w:val="22"/>
          <w:szCs w:val="22"/>
        </w:rPr>
      </w:pPr>
    </w:p>
    <w:p w14:paraId="586FCC73" w14:textId="77777777" w:rsidR="008F2D51" w:rsidRDefault="008F2D51" w:rsidP="008F2D51">
      <w:pPr>
        <w:rPr>
          <w:rFonts w:ascii="Times New Roman" w:hAnsi="Times New Roman"/>
          <w:sz w:val="22"/>
          <w:szCs w:val="22"/>
        </w:rPr>
      </w:pPr>
    </w:p>
    <w:p w14:paraId="586FCC74"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8.</w:t>
      </w:r>
      <w:r>
        <w:rPr>
          <w:rFonts w:ascii="Times New Roman" w:hAnsi="Times New Roman"/>
          <w:b/>
          <w:sz w:val="22"/>
          <w:szCs w:val="22"/>
        </w:rPr>
        <w:tab/>
        <w:t>VIIMEINEN KÄYTTÖPÄIVÄMÄÄRÄ</w:t>
      </w:r>
    </w:p>
    <w:p w14:paraId="586FCC75" w14:textId="77777777" w:rsidR="008F2D51" w:rsidRDefault="008F2D51" w:rsidP="008F2D51">
      <w:pPr>
        <w:rPr>
          <w:rFonts w:ascii="Times New Roman" w:hAnsi="Times New Roman"/>
          <w:sz w:val="22"/>
          <w:szCs w:val="22"/>
        </w:rPr>
      </w:pPr>
    </w:p>
    <w:p w14:paraId="586FCC76" w14:textId="77777777" w:rsidR="008F2D51" w:rsidRDefault="008F2D51" w:rsidP="008F2D51">
      <w:pPr>
        <w:widowControl w:val="0"/>
        <w:suppressAutoHyphens/>
        <w:ind w:left="720" w:hanging="720"/>
        <w:rPr>
          <w:rFonts w:ascii="Times New Roman" w:hAnsi="Times New Roman"/>
          <w:sz w:val="22"/>
          <w:szCs w:val="22"/>
        </w:rPr>
      </w:pPr>
      <w:r>
        <w:rPr>
          <w:rFonts w:ascii="Times New Roman" w:hAnsi="Times New Roman"/>
          <w:sz w:val="22"/>
          <w:szCs w:val="22"/>
        </w:rPr>
        <w:t>Käyt. viim.</w:t>
      </w:r>
    </w:p>
    <w:p w14:paraId="586FCC77" w14:textId="77777777" w:rsidR="008F2D51" w:rsidRDefault="008F2D51" w:rsidP="008F2D51">
      <w:pPr>
        <w:rPr>
          <w:rFonts w:ascii="Times New Roman" w:hAnsi="Times New Roman"/>
          <w:sz w:val="22"/>
          <w:szCs w:val="22"/>
        </w:rPr>
      </w:pPr>
    </w:p>
    <w:p w14:paraId="586FCC78" w14:textId="77777777" w:rsidR="008F2D51" w:rsidRDefault="008F2D51" w:rsidP="008F2D51">
      <w:pPr>
        <w:rPr>
          <w:rFonts w:ascii="Times New Roman" w:hAnsi="Times New Roman"/>
          <w:sz w:val="22"/>
          <w:szCs w:val="22"/>
        </w:rPr>
      </w:pPr>
    </w:p>
    <w:p w14:paraId="586FCC79" w14:textId="77777777" w:rsidR="008F2D51" w:rsidRDefault="008F2D51" w:rsidP="00774A0B">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9.</w:t>
      </w:r>
      <w:r>
        <w:rPr>
          <w:rFonts w:ascii="Times New Roman" w:hAnsi="Times New Roman"/>
          <w:b/>
          <w:sz w:val="22"/>
          <w:szCs w:val="22"/>
        </w:rPr>
        <w:tab/>
        <w:t>ERITYISET SÄILYTYSOLOSUHTEET</w:t>
      </w:r>
    </w:p>
    <w:p w14:paraId="586FCC7A" w14:textId="77777777" w:rsidR="008F2D51" w:rsidRDefault="008F2D51" w:rsidP="00774A0B">
      <w:pPr>
        <w:keepNext/>
        <w:suppressAutoHyphens/>
        <w:ind w:left="567" w:hanging="567"/>
        <w:rPr>
          <w:rFonts w:ascii="Times New Roman" w:hAnsi="Times New Roman"/>
          <w:sz w:val="22"/>
          <w:szCs w:val="22"/>
        </w:rPr>
      </w:pPr>
    </w:p>
    <w:p w14:paraId="586FCC7B" w14:textId="77777777" w:rsidR="008F2D51" w:rsidRDefault="008F2D51" w:rsidP="008F2D51">
      <w:pPr>
        <w:widowControl w:val="0"/>
        <w:rPr>
          <w:rFonts w:ascii="Times New Roman" w:hAnsi="Times New Roman"/>
          <w:sz w:val="22"/>
          <w:szCs w:val="22"/>
        </w:rPr>
      </w:pPr>
      <w:r>
        <w:rPr>
          <w:rFonts w:ascii="Times New Roman" w:hAnsi="Times New Roman"/>
          <w:sz w:val="22"/>
          <w:szCs w:val="22"/>
        </w:rPr>
        <w:t>Säilytä alle 30</w:t>
      </w:r>
      <w:r>
        <w:rPr>
          <w:rFonts w:ascii="Times New Roman" w:hAnsi="Times New Roman"/>
          <w:sz w:val="22"/>
          <w:szCs w:val="22"/>
        </w:rPr>
        <w:sym w:font="Symbol" w:char="F0B0"/>
      </w:r>
      <w:r>
        <w:rPr>
          <w:rFonts w:ascii="Times New Roman" w:hAnsi="Times New Roman"/>
          <w:sz w:val="22"/>
          <w:szCs w:val="22"/>
        </w:rPr>
        <w:t>C. Säilytä alkuperäispakkauksessa. Herkkä kosteudelle.</w:t>
      </w:r>
    </w:p>
    <w:p w14:paraId="586FCC7C" w14:textId="77777777" w:rsidR="008F2D51" w:rsidRDefault="008F2D51" w:rsidP="008F2D51">
      <w:pPr>
        <w:rPr>
          <w:rFonts w:ascii="Times New Roman" w:hAnsi="Times New Roman"/>
          <w:sz w:val="22"/>
          <w:szCs w:val="22"/>
        </w:rPr>
      </w:pPr>
    </w:p>
    <w:p w14:paraId="586FCC7D" w14:textId="77777777" w:rsidR="008F2D51" w:rsidRDefault="008F2D51" w:rsidP="008F2D51">
      <w:pPr>
        <w:rPr>
          <w:rFonts w:ascii="Times New Roman" w:hAnsi="Times New Roman"/>
          <w:sz w:val="22"/>
          <w:szCs w:val="22"/>
        </w:rPr>
      </w:pPr>
    </w:p>
    <w:p w14:paraId="586FCC7E"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lastRenderedPageBreak/>
        <w:t>10.</w:t>
      </w:r>
      <w:r>
        <w:rPr>
          <w:rFonts w:ascii="Times New Roman" w:hAnsi="Times New Roman"/>
          <w:b/>
          <w:sz w:val="22"/>
          <w:szCs w:val="22"/>
        </w:rPr>
        <w:tab/>
        <w:t>ERITYISET VAROTOIMET KÄYTTÄMÄTTÖMIEN LÄÄKEVALMISTEIDEN TAI NIISTÄ PERÄISIN OLEVAN JÄTEMATERIAALIN HÄVITTÄMISEKSI, JOS TARPEEN</w:t>
      </w:r>
    </w:p>
    <w:p w14:paraId="586FCC7F" w14:textId="77777777" w:rsidR="008F2D51" w:rsidRDefault="008F2D51" w:rsidP="008F2D51">
      <w:pPr>
        <w:rPr>
          <w:rFonts w:ascii="Times New Roman" w:hAnsi="Times New Roman"/>
          <w:sz w:val="22"/>
          <w:szCs w:val="22"/>
        </w:rPr>
      </w:pPr>
    </w:p>
    <w:p w14:paraId="586FCC80" w14:textId="77777777" w:rsidR="008F2D51" w:rsidRDefault="008F2D51" w:rsidP="008F2D51">
      <w:pPr>
        <w:rPr>
          <w:rFonts w:ascii="Times New Roman" w:hAnsi="Times New Roman"/>
          <w:sz w:val="22"/>
          <w:szCs w:val="22"/>
        </w:rPr>
      </w:pPr>
    </w:p>
    <w:p w14:paraId="586FCC81"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11.</w:t>
      </w:r>
      <w:r>
        <w:rPr>
          <w:rFonts w:ascii="Times New Roman" w:hAnsi="Times New Roman"/>
          <w:b/>
          <w:sz w:val="22"/>
          <w:szCs w:val="22"/>
        </w:rPr>
        <w:tab/>
        <w:t>MYYNTILUVAN HALTIJAN NIMI JA OSOITE</w:t>
      </w:r>
    </w:p>
    <w:p w14:paraId="586FCC82" w14:textId="77777777" w:rsidR="008F2D51" w:rsidRDefault="008F2D51" w:rsidP="008F2D51">
      <w:pPr>
        <w:rPr>
          <w:rFonts w:ascii="Times New Roman" w:hAnsi="Times New Roman"/>
          <w:sz w:val="22"/>
          <w:szCs w:val="22"/>
        </w:rPr>
      </w:pPr>
    </w:p>
    <w:p w14:paraId="586FCC83" w14:textId="77777777" w:rsidR="008F2D51" w:rsidRDefault="008F2D51" w:rsidP="008F2D51">
      <w:pPr>
        <w:pStyle w:val="EndnoteText"/>
        <w:widowControl w:val="0"/>
        <w:tabs>
          <w:tab w:val="clear" w:pos="567"/>
        </w:tabs>
        <w:rPr>
          <w:color w:val="000000"/>
          <w:szCs w:val="22"/>
          <w:lang w:val="fi-FI"/>
        </w:rPr>
      </w:pPr>
      <w:r>
        <w:rPr>
          <w:color w:val="000000"/>
          <w:szCs w:val="22"/>
          <w:lang w:val="fi-FI"/>
        </w:rPr>
        <w:t>Novartis Europharm Limited</w:t>
      </w:r>
    </w:p>
    <w:p w14:paraId="586FCC84"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Vista Building</w:t>
      </w:r>
    </w:p>
    <w:p w14:paraId="586FCC85"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Elm Park, Merrion Road</w:t>
      </w:r>
    </w:p>
    <w:p w14:paraId="586FCC86" w14:textId="77777777" w:rsidR="00A331BE" w:rsidRPr="00A331BE" w:rsidRDefault="00A331BE" w:rsidP="00A331BE">
      <w:pPr>
        <w:keepNext/>
        <w:widowControl w:val="0"/>
        <w:rPr>
          <w:rFonts w:ascii="Times New Roman" w:hAnsi="Times New Roman"/>
          <w:sz w:val="22"/>
          <w:szCs w:val="22"/>
        </w:rPr>
      </w:pPr>
      <w:r w:rsidRPr="00A331BE">
        <w:rPr>
          <w:rFonts w:ascii="Times New Roman" w:hAnsi="Times New Roman"/>
          <w:sz w:val="22"/>
          <w:szCs w:val="22"/>
        </w:rPr>
        <w:t>Dublin 4</w:t>
      </w:r>
    </w:p>
    <w:p w14:paraId="586FCC87" w14:textId="77777777" w:rsidR="00A331BE" w:rsidRPr="00A331BE" w:rsidRDefault="00A331BE" w:rsidP="00A331BE">
      <w:pPr>
        <w:rPr>
          <w:rFonts w:ascii="Times New Roman" w:hAnsi="Times New Roman"/>
          <w:sz w:val="22"/>
          <w:szCs w:val="22"/>
        </w:rPr>
      </w:pPr>
      <w:r w:rsidRPr="00A331BE">
        <w:rPr>
          <w:rFonts w:ascii="Times New Roman" w:hAnsi="Times New Roman"/>
          <w:sz w:val="22"/>
          <w:szCs w:val="22"/>
        </w:rPr>
        <w:t>Irlanti</w:t>
      </w:r>
    </w:p>
    <w:p w14:paraId="586FCC88" w14:textId="77777777" w:rsidR="008F2D51" w:rsidRDefault="008F2D51" w:rsidP="008F2D51">
      <w:pPr>
        <w:rPr>
          <w:rFonts w:ascii="Times New Roman" w:hAnsi="Times New Roman"/>
          <w:sz w:val="22"/>
          <w:szCs w:val="22"/>
        </w:rPr>
      </w:pPr>
    </w:p>
    <w:p w14:paraId="586FCC89" w14:textId="77777777" w:rsidR="008F2D51" w:rsidRDefault="008F2D51" w:rsidP="008F2D51">
      <w:pPr>
        <w:rPr>
          <w:rFonts w:ascii="Times New Roman" w:hAnsi="Times New Roman"/>
          <w:sz w:val="22"/>
          <w:szCs w:val="22"/>
        </w:rPr>
      </w:pPr>
    </w:p>
    <w:p w14:paraId="586FCC8A"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12.</w:t>
      </w:r>
      <w:r>
        <w:rPr>
          <w:rFonts w:ascii="Times New Roman" w:hAnsi="Times New Roman"/>
          <w:b/>
          <w:sz w:val="22"/>
          <w:szCs w:val="22"/>
        </w:rPr>
        <w:tab/>
        <w:t>MYYNTILUVAN NUMERO(T)</w:t>
      </w:r>
    </w:p>
    <w:p w14:paraId="586FCC8B" w14:textId="77777777" w:rsidR="008F2D51" w:rsidRDefault="008F2D51" w:rsidP="008F2D51">
      <w:pPr>
        <w:rPr>
          <w:rFonts w:ascii="Times New Roman" w:hAnsi="Times New Roman"/>
          <w:sz w:val="22"/>
          <w:szCs w:val="22"/>
        </w:rPr>
      </w:pPr>
    </w:p>
    <w:p w14:paraId="586FCC8C" w14:textId="77777777" w:rsidR="008F2D51" w:rsidRPr="00AC27A6" w:rsidRDefault="008F2D51" w:rsidP="008F2D51">
      <w:pPr>
        <w:tabs>
          <w:tab w:val="left" w:pos="2268"/>
          <w:tab w:val="left" w:pos="2552"/>
        </w:tabs>
        <w:suppressAutoHyphens/>
        <w:rPr>
          <w:rFonts w:ascii="Times New Roman" w:hAnsi="Times New Roman"/>
          <w:sz w:val="22"/>
          <w:szCs w:val="22"/>
          <w:shd w:val="clear" w:color="auto" w:fill="D9D9D9"/>
        </w:rPr>
      </w:pPr>
      <w:r w:rsidRPr="00AC27A6">
        <w:rPr>
          <w:rFonts w:ascii="Times New Roman" w:hAnsi="Times New Roman"/>
          <w:sz w:val="22"/>
          <w:szCs w:val="22"/>
        </w:rPr>
        <w:t>EU/1/01/198/007</w:t>
      </w:r>
      <w:r w:rsidRPr="00AC27A6">
        <w:rPr>
          <w:rFonts w:ascii="Times New Roman" w:hAnsi="Times New Roman"/>
          <w:sz w:val="22"/>
          <w:szCs w:val="22"/>
        </w:rPr>
        <w:tab/>
      </w:r>
      <w:r w:rsidRPr="00AC27A6">
        <w:rPr>
          <w:rFonts w:ascii="Times New Roman" w:hAnsi="Times New Roman"/>
          <w:sz w:val="22"/>
          <w:szCs w:val="22"/>
          <w:shd w:val="clear" w:color="auto" w:fill="D9D9D9"/>
        </w:rPr>
        <w:t>20 tablettia</w:t>
      </w:r>
      <w:r w:rsidR="003369BC" w:rsidRPr="00AC27A6">
        <w:rPr>
          <w:rFonts w:ascii="Times New Roman" w:hAnsi="Times New Roman"/>
          <w:sz w:val="22"/>
          <w:szCs w:val="22"/>
          <w:shd w:val="pct15" w:color="auto" w:fill="auto"/>
        </w:rPr>
        <w:t xml:space="preserve"> (</w:t>
      </w:r>
      <w:r w:rsidR="003369BC" w:rsidRPr="008A2D4D">
        <w:rPr>
          <w:rFonts w:ascii="Times New Roman" w:hAnsi="Times New Roman"/>
          <w:sz w:val="22"/>
          <w:szCs w:val="22"/>
          <w:shd w:val="pct15" w:color="auto" w:fill="auto"/>
        </w:rPr>
        <w:t>PVC/alumiini-läpipainopakkaukset)</w:t>
      </w:r>
    </w:p>
    <w:p w14:paraId="586FCC8D" w14:textId="77777777" w:rsidR="008F2D51" w:rsidRPr="00AC27A6" w:rsidRDefault="008F2D51" w:rsidP="008F2D51">
      <w:pPr>
        <w:tabs>
          <w:tab w:val="left" w:pos="2268"/>
          <w:tab w:val="left" w:pos="2552"/>
        </w:tabs>
        <w:suppressAutoHyphens/>
        <w:rPr>
          <w:rFonts w:ascii="Times New Roman" w:hAnsi="Times New Roman"/>
          <w:sz w:val="22"/>
          <w:szCs w:val="22"/>
          <w:shd w:val="clear" w:color="auto" w:fill="D9D9D9"/>
        </w:rPr>
      </w:pPr>
      <w:r w:rsidRPr="00AC27A6">
        <w:rPr>
          <w:rFonts w:ascii="Times New Roman" w:hAnsi="Times New Roman"/>
          <w:sz w:val="22"/>
          <w:szCs w:val="22"/>
          <w:shd w:val="clear" w:color="auto" w:fill="D9D9D9"/>
        </w:rPr>
        <w:t>EU/1/01/198/008</w:t>
      </w:r>
      <w:r w:rsidRPr="00AC27A6">
        <w:rPr>
          <w:rFonts w:ascii="Times New Roman" w:hAnsi="Times New Roman"/>
          <w:sz w:val="22"/>
          <w:szCs w:val="22"/>
          <w:shd w:val="clear" w:color="auto" w:fill="D9D9D9"/>
        </w:rPr>
        <w:tab/>
        <w:t>60 tablettia</w:t>
      </w:r>
      <w:r w:rsidR="003369BC" w:rsidRPr="00AC27A6">
        <w:rPr>
          <w:rFonts w:ascii="Times New Roman" w:hAnsi="Times New Roman"/>
          <w:sz w:val="22"/>
          <w:szCs w:val="22"/>
          <w:shd w:val="pct15" w:color="auto" w:fill="auto"/>
        </w:rPr>
        <w:t xml:space="preserve"> (</w:t>
      </w:r>
      <w:r w:rsidR="003369BC" w:rsidRPr="008A2D4D">
        <w:rPr>
          <w:rFonts w:ascii="Times New Roman" w:hAnsi="Times New Roman"/>
          <w:sz w:val="22"/>
          <w:szCs w:val="22"/>
          <w:shd w:val="pct15" w:color="auto" w:fill="auto"/>
        </w:rPr>
        <w:t>PVC/alumiini-läpipainopakkaukset)</w:t>
      </w:r>
    </w:p>
    <w:p w14:paraId="586FCC8E" w14:textId="77777777" w:rsidR="008F2D51" w:rsidRPr="00AC27A6" w:rsidRDefault="008F2D51" w:rsidP="008F2D51">
      <w:pPr>
        <w:tabs>
          <w:tab w:val="left" w:pos="2268"/>
          <w:tab w:val="left" w:pos="2552"/>
        </w:tabs>
        <w:suppressAutoHyphens/>
        <w:rPr>
          <w:rFonts w:ascii="Times New Roman" w:hAnsi="Times New Roman"/>
          <w:sz w:val="22"/>
          <w:szCs w:val="22"/>
          <w:shd w:val="clear" w:color="auto" w:fill="D9D9D9"/>
        </w:rPr>
      </w:pPr>
      <w:r w:rsidRPr="00AC27A6">
        <w:rPr>
          <w:rFonts w:ascii="Times New Roman" w:hAnsi="Times New Roman"/>
          <w:sz w:val="22"/>
          <w:szCs w:val="22"/>
          <w:shd w:val="clear" w:color="auto" w:fill="D9D9D9"/>
        </w:rPr>
        <w:t>EU/1/01/198/011</w:t>
      </w:r>
      <w:r w:rsidRPr="00AC27A6">
        <w:rPr>
          <w:rFonts w:ascii="Times New Roman" w:hAnsi="Times New Roman"/>
          <w:sz w:val="22"/>
          <w:szCs w:val="22"/>
          <w:shd w:val="clear" w:color="auto" w:fill="D9D9D9"/>
        </w:rPr>
        <w:tab/>
        <w:t>120 tablettia</w:t>
      </w:r>
      <w:r w:rsidR="003369BC" w:rsidRPr="00AC27A6">
        <w:rPr>
          <w:rFonts w:ascii="Times New Roman" w:hAnsi="Times New Roman"/>
          <w:sz w:val="22"/>
          <w:szCs w:val="22"/>
          <w:shd w:val="pct15" w:color="auto" w:fill="auto"/>
        </w:rPr>
        <w:t xml:space="preserve"> (</w:t>
      </w:r>
      <w:r w:rsidR="003369BC" w:rsidRPr="008A2D4D">
        <w:rPr>
          <w:rFonts w:ascii="Times New Roman" w:hAnsi="Times New Roman"/>
          <w:sz w:val="22"/>
          <w:szCs w:val="22"/>
          <w:shd w:val="pct15" w:color="auto" w:fill="auto"/>
        </w:rPr>
        <w:t>PVC/alumiini-läpipainopakkaukset)</w:t>
      </w:r>
    </w:p>
    <w:p w14:paraId="586FCC8F" w14:textId="77777777" w:rsidR="008F2D51" w:rsidRDefault="008F2D51" w:rsidP="008F2D51">
      <w:pPr>
        <w:tabs>
          <w:tab w:val="left" w:pos="2268"/>
          <w:tab w:val="left" w:pos="2552"/>
        </w:tabs>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EU/1/01/198/012</w:t>
      </w:r>
      <w:r>
        <w:rPr>
          <w:rFonts w:ascii="Times New Roman" w:hAnsi="Times New Roman"/>
          <w:sz w:val="22"/>
          <w:szCs w:val="22"/>
          <w:shd w:val="clear" w:color="auto" w:fill="D9D9D9"/>
        </w:rPr>
        <w:tab/>
        <w:t>180 tablettia</w:t>
      </w:r>
      <w:r w:rsidR="003369BC" w:rsidRPr="00AC27A6">
        <w:rPr>
          <w:rFonts w:ascii="Times New Roman" w:hAnsi="Times New Roman"/>
          <w:sz w:val="22"/>
          <w:szCs w:val="22"/>
          <w:shd w:val="pct15" w:color="auto" w:fill="auto"/>
        </w:rPr>
        <w:t xml:space="preserve"> (</w:t>
      </w:r>
      <w:r w:rsidR="003369BC" w:rsidRPr="008A2D4D">
        <w:rPr>
          <w:rFonts w:ascii="Times New Roman" w:hAnsi="Times New Roman"/>
          <w:sz w:val="22"/>
          <w:szCs w:val="22"/>
          <w:shd w:val="pct15" w:color="auto" w:fill="auto"/>
        </w:rPr>
        <w:t>PVC/alumiini-läpipainopakkaukset)</w:t>
      </w:r>
    </w:p>
    <w:p w14:paraId="586FCC90" w14:textId="77777777" w:rsidR="003369BC" w:rsidRPr="008A2D4D" w:rsidRDefault="003369BC" w:rsidP="003369BC">
      <w:pPr>
        <w:widowControl w:val="0"/>
        <w:suppressAutoHyphens/>
        <w:ind w:left="2268" w:hanging="2268"/>
        <w:rPr>
          <w:rFonts w:ascii="Times New Roman" w:hAnsi="Times New Roman"/>
          <w:sz w:val="22"/>
          <w:szCs w:val="22"/>
          <w:shd w:val="pct15" w:color="auto" w:fill="auto"/>
        </w:rPr>
      </w:pPr>
      <w:r w:rsidRPr="008A2D4D">
        <w:rPr>
          <w:rFonts w:ascii="Times New Roman" w:hAnsi="Times New Roman"/>
          <w:sz w:val="22"/>
          <w:szCs w:val="22"/>
          <w:shd w:val="pct15" w:color="auto" w:fill="auto"/>
        </w:rPr>
        <w:t>EU/1/01/198/01</w:t>
      </w:r>
      <w:r w:rsidR="00AC27A6">
        <w:rPr>
          <w:rFonts w:ascii="Times New Roman" w:hAnsi="Times New Roman"/>
          <w:sz w:val="22"/>
          <w:szCs w:val="22"/>
          <w:shd w:val="pct15" w:color="auto" w:fill="auto"/>
        </w:rPr>
        <w:t>4</w:t>
      </w:r>
      <w:r w:rsidRPr="008A2D4D">
        <w:rPr>
          <w:rFonts w:ascii="Times New Roman" w:hAnsi="Times New Roman"/>
          <w:sz w:val="22"/>
          <w:szCs w:val="22"/>
          <w:shd w:val="pct15" w:color="auto" w:fill="auto"/>
        </w:rPr>
        <w:tab/>
      </w:r>
      <w:r w:rsidR="00AC27A6">
        <w:rPr>
          <w:rFonts w:ascii="Times New Roman" w:hAnsi="Times New Roman"/>
          <w:sz w:val="22"/>
          <w:szCs w:val="22"/>
          <w:shd w:val="pct15" w:color="auto" w:fill="auto"/>
        </w:rPr>
        <w:t>6</w:t>
      </w:r>
      <w:r w:rsidRPr="00AC27A6">
        <w:rPr>
          <w:rFonts w:ascii="Times New Roman" w:hAnsi="Times New Roman"/>
          <w:sz w:val="22"/>
          <w:szCs w:val="22"/>
          <w:shd w:val="pct15" w:color="auto" w:fill="auto"/>
        </w:rPr>
        <w:t>0 tablettia (PVDC/alumiini-läpipainopakkaukset)</w:t>
      </w:r>
    </w:p>
    <w:p w14:paraId="586FCC91" w14:textId="77777777" w:rsidR="003369BC" w:rsidRPr="008A2D4D" w:rsidRDefault="003369BC" w:rsidP="003369BC">
      <w:pPr>
        <w:widowControl w:val="0"/>
        <w:suppressAutoHyphens/>
        <w:ind w:left="2268" w:hanging="2268"/>
        <w:rPr>
          <w:rFonts w:ascii="Times New Roman" w:hAnsi="Times New Roman"/>
          <w:sz w:val="22"/>
          <w:szCs w:val="22"/>
          <w:shd w:val="pct15" w:color="auto" w:fill="auto"/>
        </w:rPr>
      </w:pPr>
      <w:r w:rsidRPr="008A2D4D">
        <w:rPr>
          <w:rFonts w:ascii="Times New Roman" w:hAnsi="Times New Roman"/>
          <w:sz w:val="22"/>
          <w:szCs w:val="22"/>
          <w:shd w:val="pct15" w:color="auto" w:fill="auto"/>
        </w:rPr>
        <w:t>EU/1/01/198/01</w:t>
      </w:r>
      <w:r w:rsidR="00AC27A6">
        <w:rPr>
          <w:rFonts w:ascii="Times New Roman" w:hAnsi="Times New Roman"/>
          <w:sz w:val="22"/>
          <w:szCs w:val="22"/>
          <w:shd w:val="pct15" w:color="auto" w:fill="auto"/>
        </w:rPr>
        <w:t>5</w:t>
      </w:r>
      <w:r w:rsidRPr="008A2D4D">
        <w:rPr>
          <w:rFonts w:ascii="Times New Roman" w:hAnsi="Times New Roman"/>
          <w:sz w:val="22"/>
          <w:szCs w:val="22"/>
          <w:shd w:val="pct15" w:color="auto" w:fill="auto"/>
        </w:rPr>
        <w:tab/>
        <w:t>1</w:t>
      </w:r>
      <w:r w:rsidR="00AC27A6">
        <w:rPr>
          <w:rFonts w:ascii="Times New Roman" w:hAnsi="Times New Roman"/>
          <w:sz w:val="22"/>
          <w:szCs w:val="22"/>
          <w:shd w:val="pct15" w:color="auto" w:fill="auto"/>
        </w:rPr>
        <w:t>2</w:t>
      </w:r>
      <w:r w:rsidRPr="008A2D4D">
        <w:rPr>
          <w:rFonts w:ascii="Times New Roman" w:hAnsi="Times New Roman"/>
          <w:sz w:val="22"/>
          <w:szCs w:val="22"/>
          <w:shd w:val="pct15" w:color="auto" w:fill="auto"/>
        </w:rPr>
        <w:t>0 tablettia</w:t>
      </w:r>
      <w:r w:rsidRPr="00AC27A6">
        <w:rPr>
          <w:rFonts w:ascii="Times New Roman" w:hAnsi="Times New Roman"/>
          <w:sz w:val="22"/>
          <w:szCs w:val="22"/>
          <w:shd w:val="pct15" w:color="auto" w:fill="auto"/>
        </w:rPr>
        <w:t xml:space="preserve"> (PVDC/alumiini-läpipainopakkaukset)</w:t>
      </w:r>
    </w:p>
    <w:p w14:paraId="586FCC92" w14:textId="77777777" w:rsidR="00324DEB" w:rsidRPr="00AC27A6" w:rsidRDefault="00324DEB" w:rsidP="00324DEB">
      <w:pPr>
        <w:tabs>
          <w:tab w:val="left" w:pos="2268"/>
          <w:tab w:val="left" w:pos="2552"/>
        </w:tabs>
        <w:suppressAutoHyphens/>
        <w:rPr>
          <w:rFonts w:ascii="Times New Roman" w:hAnsi="Times New Roman"/>
          <w:sz w:val="22"/>
          <w:szCs w:val="22"/>
          <w:shd w:val="clear" w:color="auto" w:fill="D9D9D9"/>
        </w:rPr>
      </w:pPr>
      <w:r w:rsidRPr="00AC27A6">
        <w:rPr>
          <w:rFonts w:ascii="Times New Roman" w:hAnsi="Times New Roman"/>
          <w:sz w:val="22"/>
          <w:szCs w:val="22"/>
          <w:shd w:val="clear" w:color="auto" w:fill="D9D9D9"/>
        </w:rPr>
        <w:t>EU/1/01/198/01</w:t>
      </w:r>
      <w:r w:rsidR="00AC27A6">
        <w:rPr>
          <w:rFonts w:ascii="Times New Roman" w:hAnsi="Times New Roman"/>
          <w:sz w:val="22"/>
          <w:szCs w:val="22"/>
          <w:shd w:val="clear" w:color="auto" w:fill="D9D9D9"/>
        </w:rPr>
        <w:t>6</w:t>
      </w:r>
      <w:r w:rsidRPr="00AC27A6">
        <w:rPr>
          <w:rFonts w:ascii="Times New Roman" w:hAnsi="Times New Roman"/>
          <w:sz w:val="22"/>
          <w:szCs w:val="22"/>
          <w:shd w:val="clear" w:color="auto" w:fill="D9D9D9"/>
        </w:rPr>
        <w:tab/>
      </w:r>
      <w:r w:rsidR="00AC27A6">
        <w:rPr>
          <w:rFonts w:ascii="Times New Roman" w:hAnsi="Times New Roman"/>
          <w:sz w:val="22"/>
          <w:szCs w:val="22"/>
          <w:shd w:val="clear" w:color="auto" w:fill="D9D9D9"/>
        </w:rPr>
        <w:t>18</w:t>
      </w:r>
      <w:r w:rsidRPr="00AC27A6">
        <w:rPr>
          <w:rFonts w:ascii="Times New Roman" w:hAnsi="Times New Roman"/>
          <w:sz w:val="22"/>
          <w:szCs w:val="22"/>
          <w:shd w:val="clear" w:color="auto" w:fill="D9D9D9"/>
        </w:rPr>
        <w:t>0 tablettia</w:t>
      </w:r>
      <w:r w:rsidRPr="00AC27A6">
        <w:rPr>
          <w:rFonts w:ascii="Times New Roman" w:hAnsi="Times New Roman"/>
          <w:sz w:val="22"/>
          <w:szCs w:val="22"/>
          <w:shd w:val="pct15" w:color="auto" w:fill="auto"/>
        </w:rPr>
        <w:t xml:space="preserve"> (</w:t>
      </w:r>
      <w:r w:rsidRPr="008A2D4D">
        <w:rPr>
          <w:rFonts w:ascii="Times New Roman" w:hAnsi="Times New Roman"/>
          <w:sz w:val="22"/>
          <w:szCs w:val="22"/>
          <w:shd w:val="pct15" w:color="auto" w:fill="auto"/>
        </w:rPr>
        <w:t>PV</w:t>
      </w:r>
      <w:r>
        <w:rPr>
          <w:rFonts w:ascii="Times New Roman" w:hAnsi="Times New Roman"/>
          <w:sz w:val="22"/>
          <w:szCs w:val="22"/>
          <w:shd w:val="pct15" w:color="auto" w:fill="auto"/>
        </w:rPr>
        <w:t>D</w:t>
      </w:r>
      <w:r w:rsidRPr="008A2D4D">
        <w:rPr>
          <w:rFonts w:ascii="Times New Roman" w:hAnsi="Times New Roman"/>
          <w:sz w:val="22"/>
          <w:szCs w:val="22"/>
          <w:shd w:val="pct15" w:color="auto" w:fill="auto"/>
        </w:rPr>
        <w:t>C/alumiini-läpipainopakkaukset)</w:t>
      </w:r>
    </w:p>
    <w:p w14:paraId="586FCC93" w14:textId="77777777" w:rsidR="008F2D51" w:rsidRDefault="008F2D51" w:rsidP="008F2D51">
      <w:pPr>
        <w:widowControl w:val="0"/>
        <w:suppressAutoHyphens/>
        <w:ind w:left="567" w:hanging="567"/>
        <w:rPr>
          <w:rFonts w:ascii="Times New Roman" w:hAnsi="Times New Roman"/>
          <w:sz w:val="22"/>
          <w:szCs w:val="22"/>
        </w:rPr>
      </w:pPr>
    </w:p>
    <w:p w14:paraId="586FCC94" w14:textId="77777777" w:rsidR="008F2D51" w:rsidRDefault="008F2D51" w:rsidP="008F2D51">
      <w:pPr>
        <w:rPr>
          <w:rFonts w:ascii="Times New Roman" w:hAnsi="Times New Roman"/>
          <w:sz w:val="22"/>
          <w:szCs w:val="22"/>
        </w:rPr>
      </w:pPr>
    </w:p>
    <w:p w14:paraId="586FCC95"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13.</w:t>
      </w:r>
      <w:r>
        <w:rPr>
          <w:rFonts w:ascii="Times New Roman" w:hAnsi="Times New Roman"/>
          <w:b/>
          <w:sz w:val="22"/>
          <w:szCs w:val="22"/>
        </w:rPr>
        <w:tab/>
        <w:t>ERÄNUMERO</w:t>
      </w:r>
    </w:p>
    <w:p w14:paraId="586FCC96" w14:textId="77777777" w:rsidR="008F2D51" w:rsidRDefault="008F2D51" w:rsidP="008F2D51">
      <w:pPr>
        <w:rPr>
          <w:rFonts w:ascii="Times New Roman" w:hAnsi="Times New Roman"/>
          <w:sz w:val="22"/>
          <w:szCs w:val="22"/>
        </w:rPr>
      </w:pPr>
    </w:p>
    <w:p w14:paraId="586FCC97" w14:textId="77777777" w:rsidR="008F2D51" w:rsidRDefault="008F2D51" w:rsidP="008F2D51">
      <w:pPr>
        <w:widowControl w:val="0"/>
        <w:suppressAutoHyphens/>
        <w:ind w:left="567" w:hanging="567"/>
        <w:rPr>
          <w:rFonts w:ascii="Times New Roman" w:hAnsi="Times New Roman"/>
          <w:sz w:val="22"/>
          <w:szCs w:val="22"/>
        </w:rPr>
      </w:pPr>
      <w:r>
        <w:rPr>
          <w:rFonts w:ascii="Times New Roman" w:hAnsi="Times New Roman"/>
          <w:sz w:val="22"/>
          <w:szCs w:val="22"/>
        </w:rPr>
        <w:t>Lot</w:t>
      </w:r>
    </w:p>
    <w:p w14:paraId="586FCC98" w14:textId="77777777" w:rsidR="008F2D51" w:rsidRDefault="008F2D51" w:rsidP="008F2D51">
      <w:pPr>
        <w:rPr>
          <w:rFonts w:ascii="Times New Roman" w:hAnsi="Times New Roman"/>
          <w:sz w:val="22"/>
          <w:szCs w:val="22"/>
        </w:rPr>
      </w:pPr>
    </w:p>
    <w:p w14:paraId="586FCC99" w14:textId="77777777" w:rsidR="008F2D51" w:rsidRDefault="008F2D51" w:rsidP="008F2D51">
      <w:pPr>
        <w:rPr>
          <w:rFonts w:ascii="Times New Roman" w:hAnsi="Times New Roman"/>
          <w:sz w:val="22"/>
          <w:szCs w:val="22"/>
        </w:rPr>
      </w:pPr>
    </w:p>
    <w:p w14:paraId="586FCC9A"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14.</w:t>
      </w:r>
      <w:r>
        <w:rPr>
          <w:rFonts w:ascii="Times New Roman" w:hAnsi="Times New Roman"/>
          <w:b/>
          <w:sz w:val="22"/>
          <w:szCs w:val="22"/>
        </w:rPr>
        <w:tab/>
        <w:t>YLEINEN TOIMITTAMISLUOKITTELU</w:t>
      </w:r>
    </w:p>
    <w:p w14:paraId="586FCC9B" w14:textId="77777777" w:rsidR="008F2D51" w:rsidRDefault="008F2D51" w:rsidP="008F2D51">
      <w:pPr>
        <w:rPr>
          <w:rFonts w:ascii="Times New Roman" w:hAnsi="Times New Roman"/>
          <w:sz w:val="22"/>
          <w:szCs w:val="22"/>
        </w:rPr>
      </w:pPr>
    </w:p>
    <w:p w14:paraId="586FCC9C" w14:textId="77777777" w:rsidR="008F2D51" w:rsidRDefault="008F2D51" w:rsidP="008F2D51">
      <w:pPr>
        <w:rPr>
          <w:rFonts w:ascii="Times New Roman" w:hAnsi="Times New Roman"/>
          <w:sz w:val="22"/>
          <w:szCs w:val="22"/>
        </w:rPr>
      </w:pPr>
    </w:p>
    <w:p w14:paraId="586FCC9D"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15.</w:t>
      </w:r>
      <w:r>
        <w:rPr>
          <w:rFonts w:ascii="Times New Roman" w:hAnsi="Times New Roman"/>
          <w:b/>
          <w:sz w:val="22"/>
          <w:szCs w:val="22"/>
        </w:rPr>
        <w:tab/>
        <w:t>KÄYTTÖOHJEET</w:t>
      </w:r>
    </w:p>
    <w:p w14:paraId="586FCC9E" w14:textId="77777777" w:rsidR="008F2D51" w:rsidRDefault="008F2D51" w:rsidP="008F2D51">
      <w:pPr>
        <w:rPr>
          <w:rFonts w:ascii="Times New Roman" w:hAnsi="Times New Roman"/>
          <w:sz w:val="22"/>
          <w:szCs w:val="22"/>
        </w:rPr>
      </w:pPr>
    </w:p>
    <w:p w14:paraId="586FCC9F" w14:textId="77777777" w:rsidR="008F2D51" w:rsidRDefault="008F2D51" w:rsidP="008F2D51">
      <w:pPr>
        <w:rPr>
          <w:rFonts w:ascii="Times New Roman" w:hAnsi="Times New Roman"/>
          <w:sz w:val="22"/>
          <w:szCs w:val="22"/>
        </w:rPr>
      </w:pPr>
    </w:p>
    <w:p w14:paraId="586FCCA0" w14:textId="77777777" w:rsidR="008F2D51" w:rsidRDefault="008F2D51" w:rsidP="008F2D51">
      <w:pPr>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 w:val="22"/>
          <w:szCs w:val="22"/>
        </w:rPr>
      </w:pPr>
      <w:r>
        <w:rPr>
          <w:rFonts w:ascii="Times New Roman" w:hAnsi="Times New Roman"/>
          <w:b/>
          <w:sz w:val="22"/>
          <w:szCs w:val="22"/>
        </w:rPr>
        <w:t>16.</w:t>
      </w:r>
      <w:r>
        <w:rPr>
          <w:rFonts w:ascii="Times New Roman" w:hAnsi="Times New Roman"/>
          <w:b/>
          <w:sz w:val="22"/>
          <w:szCs w:val="22"/>
        </w:rPr>
        <w:tab/>
        <w:t>TIEDOT PISTEKIRJOITUKSELLA</w:t>
      </w:r>
    </w:p>
    <w:p w14:paraId="586FCCA1" w14:textId="77777777" w:rsidR="008F2D51" w:rsidRDefault="008F2D51" w:rsidP="008F2D51">
      <w:pPr>
        <w:rPr>
          <w:rFonts w:ascii="Times New Roman" w:hAnsi="Times New Roman"/>
          <w:sz w:val="22"/>
          <w:szCs w:val="22"/>
          <w:u w:val="single"/>
        </w:rPr>
      </w:pPr>
    </w:p>
    <w:p w14:paraId="586FCCA2" w14:textId="77777777" w:rsidR="008F2D51" w:rsidRPr="007476C6" w:rsidRDefault="008F2D51" w:rsidP="008F2D51">
      <w:pPr>
        <w:rPr>
          <w:rFonts w:ascii="Times New Roman" w:hAnsi="Times New Roman"/>
          <w:sz w:val="22"/>
          <w:szCs w:val="22"/>
        </w:rPr>
      </w:pPr>
      <w:r w:rsidRPr="007476C6">
        <w:rPr>
          <w:rFonts w:ascii="Times New Roman" w:hAnsi="Times New Roman"/>
          <w:sz w:val="22"/>
          <w:szCs w:val="22"/>
        </w:rPr>
        <w:t>Glivec 100 mg</w:t>
      </w:r>
    </w:p>
    <w:p w14:paraId="586FCCA3" w14:textId="77777777" w:rsidR="00532E14" w:rsidRPr="004B2D62" w:rsidRDefault="00532E14" w:rsidP="008F2D51">
      <w:pPr>
        <w:suppressAutoHyphens/>
        <w:rPr>
          <w:rFonts w:ascii="Times New Roman" w:hAnsi="Times New Roman"/>
          <w:sz w:val="22"/>
          <w:szCs w:val="22"/>
        </w:rPr>
      </w:pPr>
    </w:p>
    <w:p w14:paraId="586FCCA4" w14:textId="77777777" w:rsidR="00532E14" w:rsidRPr="004B2D62" w:rsidRDefault="00532E14" w:rsidP="00532E14">
      <w:pPr>
        <w:suppressAutoHyphens/>
        <w:rPr>
          <w:rFonts w:ascii="Times New Roman" w:hAnsi="Times New Roman"/>
          <w:sz w:val="22"/>
          <w:szCs w:val="22"/>
          <w:shd w:val="clear" w:color="auto" w:fill="CCCCCC"/>
        </w:rPr>
      </w:pPr>
    </w:p>
    <w:p w14:paraId="586FCCA5" w14:textId="77777777" w:rsidR="00532E14" w:rsidRPr="004B2D62" w:rsidRDefault="00532E14" w:rsidP="00532E14">
      <w:pPr>
        <w:keepNext/>
        <w:pBdr>
          <w:top w:val="single" w:sz="4" w:space="1" w:color="auto"/>
          <w:left w:val="single" w:sz="4" w:space="4" w:color="auto"/>
          <w:bottom w:val="single" w:sz="4" w:space="1" w:color="auto"/>
          <w:right w:val="single" w:sz="4" w:space="4" w:color="auto"/>
        </w:pBdr>
        <w:tabs>
          <w:tab w:val="left" w:pos="567"/>
        </w:tabs>
        <w:outlineLvl w:val="0"/>
        <w:rPr>
          <w:rFonts w:ascii="Times New Roman" w:hAnsi="Times New Roman"/>
          <w:i/>
          <w:noProof/>
          <w:sz w:val="22"/>
          <w:szCs w:val="22"/>
        </w:rPr>
      </w:pPr>
      <w:r w:rsidRPr="004B2D62">
        <w:rPr>
          <w:rFonts w:ascii="Times New Roman" w:hAnsi="Times New Roman"/>
          <w:b/>
          <w:noProof/>
          <w:sz w:val="22"/>
          <w:szCs w:val="22"/>
        </w:rPr>
        <w:t>17.</w:t>
      </w:r>
      <w:r w:rsidRPr="004B2D62">
        <w:rPr>
          <w:rFonts w:ascii="Times New Roman" w:hAnsi="Times New Roman"/>
          <w:b/>
          <w:noProof/>
          <w:sz w:val="22"/>
          <w:szCs w:val="22"/>
        </w:rPr>
        <w:tab/>
        <w:t>YKSILÖLLINEN TUNNISTE – 2D-VIIVAKOODI</w:t>
      </w:r>
    </w:p>
    <w:p w14:paraId="586FCCA6" w14:textId="77777777" w:rsidR="00532E14" w:rsidRPr="004B2D62" w:rsidRDefault="00532E14" w:rsidP="00532E14">
      <w:pPr>
        <w:tabs>
          <w:tab w:val="left" w:pos="720"/>
        </w:tabs>
        <w:rPr>
          <w:rFonts w:ascii="Times New Roman" w:hAnsi="Times New Roman"/>
          <w:noProof/>
          <w:sz w:val="22"/>
          <w:szCs w:val="22"/>
        </w:rPr>
      </w:pPr>
    </w:p>
    <w:p w14:paraId="586FCCA7" w14:textId="77777777" w:rsidR="00532E14" w:rsidRPr="00804D62" w:rsidRDefault="00532E14" w:rsidP="00532E14">
      <w:pPr>
        <w:rPr>
          <w:rFonts w:ascii="Times New Roman" w:hAnsi="Times New Roman"/>
          <w:noProof/>
          <w:sz w:val="22"/>
          <w:szCs w:val="22"/>
          <w:highlight w:val="lightGray"/>
        </w:rPr>
      </w:pPr>
      <w:r w:rsidRPr="00804D62">
        <w:rPr>
          <w:rFonts w:ascii="Times New Roman" w:hAnsi="Times New Roman"/>
          <w:noProof/>
          <w:sz w:val="22"/>
          <w:szCs w:val="22"/>
          <w:shd w:val="pct15" w:color="auto" w:fill="auto"/>
        </w:rPr>
        <w:t>2D-viivakoodi, joka sisältää yksilöllisen tunnisteen.</w:t>
      </w:r>
    </w:p>
    <w:p w14:paraId="586FCCA8" w14:textId="77777777" w:rsidR="00532E14" w:rsidRPr="004B2D62" w:rsidRDefault="00532E14" w:rsidP="00532E14">
      <w:pPr>
        <w:rPr>
          <w:rFonts w:ascii="Times New Roman" w:hAnsi="Times New Roman"/>
          <w:noProof/>
          <w:sz w:val="22"/>
          <w:szCs w:val="22"/>
          <w:shd w:val="clear" w:color="auto" w:fill="CCCCCC"/>
          <w:lang w:eastAsia="fi-FI" w:bidi="fi-FI"/>
        </w:rPr>
      </w:pPr>
    </w:p>
    <w:p w14:paraId="586FCCA9" w14:textId="77777777" w:rsidR="00532E14" w:rsidRPr="004B2D62" w:rsidRDefault="00532E14" w:rsidP="00532E14">
      <w:pPr>
        <w:tabs>
          <w:tab w:val="left" w:pos="720"/>
        </w:tabs>
        <w:rPr>
          <w:rFonts w:ascii="Times New Roman" w:hAnsi="Times New Roman"/>
          <w:noProof/>
          <w:sz w:val="22"/>
          <w:szCs w:val="22"/>
        </w:rPr>
      </w:pPr>
    </w:p>
    <w:p w14:paraId="586FCCAA" w14:textId="77777777" w:rsidR="00532E14" w:rsidRPr="004B2D62" w:rsidRDefault="00532E14" w:rsidP="00532E14">
      <w:pPr>
        <w:keepNext/>
        <w:pBdr>
          <w:top w:val="single" w:sz="4" w:space="1" w:color="auto"/>
          <w:left w:val="single" w:sz="4" w:space="4" w:color="auto"/>
          <w:bottom w:val="single" w:sz="4" w:space="1" w:color="auto"/>
          <w:right w:val="single" w:sz="4" w:space="4" w:color="auto"/>
        </w:pBdr>
        <w:tabs>
          <w:tab w:val="left" w:pos="567"/>
        </w:tabs>
        <w:outlineLvl w:val="0"/>
        <w:rPr>
          <w:rFonts w:ascii="Times New Roman" w:hAnsi="Times New Roman"/>
          <w:i/>
          <w:noProof/>
          <w:sz w:val="22"/>
          <w:szCs w:val="22"/>
        </w:rPr>
      </w:pPr>
      <w:r w:rsidRPr="004B2D62">
        <w:rPr>
          <w:rFonts w:ascii="Times New Roman" w:hAnsi="Times New Roman"/>
          <w:b/>
          <w:noProof/>
          <w:sz w:val="22"/>
          <w:szCs w:val="22"/>
        </w:rPr>
        <w:t>18.</w:t>
      </w:r>
      <w:r w:rsidRPr="004B2D62">
        <w:rPr>
          <w:rFonts w:ascii="Times New Roman" w:hAnsi="Times New Roman"/>
          <w:b/>
          <w:noProof/>
          <w:sz w:val="22"/>
          <w:szCs w:val="22"/>
        </w:rPr>
        <w:tab/>
        <w:t>YKSILÖLLINEN TUNNISTE – LUETTAVISSA OLEVAT TIEDOT</w:t>
      </w:r>
    </w:p>
    <w:p w14:paraId="586FCCAB" w14:textId="77777777" w:rsidR="00532E14" w:rsidRPr="004B2D62" w:rsidRDefault="00532E14" w:rsidP="00532E14">
      <w:pPr>
        <w:tabs>
          <w:tab w:val="left" w:pos="720"/>
        </w:tabs>
        <w:rPr>
          <w:rFonts w:ascii="Times New Roman" w:hAnsi="Times New Roman"/>
          <w:noProof/>
          <w:sz w:val="22"/>
          <w:szCs w:val="22"/>
        </w:rPr>
      </w:pPr>
    </w:p>
    <w:p w14:paraId="586FCCAC" w14:textId="77777777" w:rsidR="00532E14" w:rsidRPr="00A8612B" w:rsidRDefault="00532E14" w:rsidP="00532E14">
      <w:pPr>
        <w:rPr>
          <w:rFonts w:ascii="Times New Roman" w:hAnsi="Times New Roman"/>
          <w:sz w:val="22"/>
          <w:szCs w:val="22"/>
        </w:rPr>
      </w:pPr>
      <w:r w:rsidRPr="001C13A3">
        <w:rPr>
          <w:rFonts w:ascii="Times New Roman" w:hAnsi="Times New Roman"/>
          <w:sz w:val="22"/>
          <w:szCs w:val="22"/>
        </w:rPr>
        <w:t>PC:</w:t>
      </w:r>
    </w:p>
    <w:p w14:paraId="586FCCAD" w14:textId="77777777" w:rsidR="00532E14" w:rsidRPr="004B2D62" w:rsidRDefault="00532E14" w:rsidP="00532E14">
      <w:pPr>
        <w:rPr>
          <w:rFonts w:ascii="Times New Roman" w:hAnsi="Times New Roman"/>
          <w:sz w:val="22"/>
          <w:szCs w:val="22"/>
        </w:rPr>
      </w:pPr>
      <w:r w:rsidRPr="004B2D62">
        <w:rPr>
          <w:rFonts w:ascii="Times New Roman" w:hAnsi="Times New Roman"/>
          <w:sz w:val="22"/>
          <w:szCs w:val="22"/>
        </w:rPr>
        <w:t>SN:</w:t>
      </w:r>
    </w:p>
    <w:p w14:paraId="586FCCAE" w14:textId="77777777" w:rsidR="00532E14" w:rsidRPr="004B2D62" w:rsidRDefault="00532E14" w:rsidP="00532E14">
      <w:pPr>
        <w:rPr>
          <w:rFonts w:ascii="Times New Roman" w:hAnsi="Times New Roman"/>
          <w:sz w:val="22"/>
          <w:szCs w:val="22"/>
        </w:rPr>
      </w:pPr>
      <w:r w:rsidRPr="004B2D62">
        <w:rPr>
          <w:rFonts w:ascii="Times New Roman" w:hAnsi="Times New Roman"/>
          <w:sz w:val="22"/>
          <w:szCs w:val="22"/>
        </w:rPr>
        <w:t>NN:</w:t>
      </w:r>
    </w:p>
    <w:p w14:paraId="586FCCAF" w14:textId="77777777" w:rsidR="00532E14" w:rsidRPr="004B2D62" w:rsidRDefault="00532E14" w:rsidP="00532E14">
      <w:pPr>
        <w:rPr>
          <w:rFonts w:ascii="Times New Roman" w:hAnsi="Times New Roman"/>
          <w:sz w:val="22"/>
          <w:szCs w:val="22"/>
        </w:rPr>
      </w:pPr>
    </w:p>
    <w:p w14:paraId="586FCCB0" w14:textId="77777777" w:rsidR="008F2D51" w:rsidRDefault="008F2D51" w:rsidP="008F2D51">
      <w:pPr>
        <w:suppressAutoHyphens/>
        <w:rPr>
          <w:rFonts w:ascii="Times New Roman" w:hAnsi="Times New Roman"/>
          <w:sz w:val="22"/>
          <w:szCs w:val="22"/>
        </w:rPr>
      </w:pPr>
      <w:r>
        <w:rPr>
          <w:rFonts w:ascii="Times New Roman" w:hAnsi="Times New Roman"/>
          <w:sz w:val="22"/>
          <w:szCs w:val="22"/>
        </w:rPr>
        <w:br w:type="page"/>
      </w:r>
    </w:p>
    <w:p w14:paraId="586FCCB1" w14:textId="77777777" w:rsidR="00774A0B" w:rsidRPr="00774A0B" w:rsidRDefault="00774A0B" w:rsidP="00774A0B">
      <w:pPr>
        <w:suppressAutoHyphens/>
        <w:rPr>
          <w:rFonts w:ascii="Times New Roman" w:hAnsi="Times New Roman"/>
          <w:sz w:val="22"/>
          <w:szCs w:val="22"/>
        </w:rPr>
      </w:pPr>
    </w:p>
    <w:p w14:paraId="586FCCB2"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Pr>
          <w:rFonts w:ascii="Times New Roman" w:hAnsi="Times New Roman"/>
          <w:b/>
          <w:sz w:val="22"/>
          <w:szCs w:val="22"/>
        </w:rPr>
        <w:t>LÄPIPAINOPAKKAUKSISSA TAI LEVYISSÄ ON OLTAVA VÄHINTÄÄN SEURAAVAT MERKINNÄT</w:t>
      </w:r>
    </w:p>
    <w:p w14:paraId="586FCCB3"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p>
    <w:p w14:paraId="586FCCB4"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Pr>
          <w:rFonts w:ascii="Times New Roman" w:hAnsi="Times New Roman"/>
          <w:b/>
          <w:sz w:val="22"/>
          <w:szCs w:val="22"/>
        </w:rPr>
        <w:t>LÄPIPAINOPAKKAUKSET</w:t>
      </w:r>
    </w:p>
    <w:p w14:paraId="586FCCB5" w14:textId="77777777" w:rsidR="008F2D51" w:rsidRDefault="008F2D51" w:rsidP="008F2D51">
      <w:pPr>
        <w:suppressAutoHyphens/>
        <w:rPr>
          <w:rFonts w:ascii="Times New Roman" w:hAnsi="Times New Roman"/>
          <w:sz w:val="22"/>
          <w:szCs w:val="22"/>
        </w:rPr>
      </w:pPr>
    </w:p>
    <w:p w14:paraId="586FCCB6" w14:textId="77777777" w:rsidR="008F2D51" w:rsidRDefault="008F2D51" w:rsidP="008F2D51">
      <w:pPr>
        <w:suppressAutoHyphens/>
        <w:rPr>
          <w:rFonts w:ascii="Times New Roman" w:hAnsi="Times New Roman"/>
          <w:sz w:val="22"/>
          <w:szCs w:val="22"/>
        </w:rPr>
      </w:pPr>
    </w:p>
    <w:p w14:paraId="586FCCB7"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w:t>
      </w:r>
      <w:r>
        <w:rPr>
          <w:rFonts w:ascii="Times New Roman" w:hAnsi="Times New Roman"/>
          <w:b/>
          <w:sz w:val="22"/>
          <w:szCs w:val="22"/>
        </w:rPr>
        <w:tab/>
        <w:t>LÄÄKEVALMISTEEN NIMI</w:t>
      </w:r>
    </w:p>
    <w:p w14:paraId="586FCCB8" w14:textId="77777777" w:rsidR="008F2D51" w:rsidRDefault="008F2D51" w:rsidP="008F2D51">
      <w:pPr>
        <w:suppressAutoHyphens/>
        <w:rPr>
          <w:rFonts w:ascii="Times New Roman" w:hAnsi="Times New Roman"/>
          <w:sz w:val="22"/>
          <w:szCs w:val="22"/>
        </w:rPr>
      </w:pPr>
    </w:p>
    <w:p w14:paraId="586FCCB9"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Glivec 100 mg tabletti</w:t>
      </w:r>
    </w:p>
    <w:p w14:paraId="586FCCBA" w14:textId="77777777" w:rsidR="008F2D51" w:rsidRDefault="00ED123F" w:rsidP="008F2D51">
      <w:pPr>
        <w:widowControl w:val="0"/>
        <w:suppressAutoHyphens/>
        <w:rPr>
          <w:rFonts w:ascii="Times New Roman" w:hAnsi="Times New Roman"/>
          <w:sz w:val="22"/>
          <w:szCs w:val="22"/>
        </w:rPr>
      </w:pPr>
      <w:r>
        <w:rPr>
          <w:rFonts w:ascii="Times New Roman" w:hAnsi="Times New Roman"/>
          <w:sz w:val="22"/>
          <w:szCs w:val="22"/>
        </w:rPr>
        <w:t>i</w:t>
      </w:r>
      <w:r w:rsidR="008F2D51">
        <w:rPr>
          <w:rFonts w:ascii="Times New Roman" w:hAnsi="Times New Roman"/>
          <w:sz w:val="22"/>
          <w:szCs w:val="22"/>
        </w:rPr>
        <w:t>matinibi</w:t>
      </w:r>
    </w:p>
    <w:p w14:paraId="586FCCBB" w14:textId="77777777" w:rsidR="008F2D51" w:rsidRDefault="008F2D51" w:rsidP="008F2D51">
      <w:pPr>
        <w:suppressAutoHyphens/>
        <w:rPr>
          <w:rFonts w:ascii="Times New Roman" w:hAnsi="Times New Roman"/>
          <w:sz w:val="22"/>
          <w:szCs w:val="22"/>
        </w:rPr>
      </w:pPr>
    </w:p>
    <w:p w14:paraId="586FCCBC" w14:textId="77777777" w:rsidR="008F2D51" w:rsidRDefault="008F2D51" w:rsidP="008F2D51">
      <w:pPr>
        <w:suppressAutoHyphens/>
        <w:rPr>
          <w:rFonts w:ascii="Times New Roman" w:hAnsi="Times New Roman"/>
          <w:sz w:val="22"/>
          <w:szCs w:val="22"/>
        </w:rPr>
      </w:pPr>
    </w:p>
    <w:p w14:paraId="586FCCBD"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2.</w:t>
      </w:r>
      <w:r>
        <w:rPr>
          <w:rFonts w:ascii="Times New Roman" w:hAnsi="Times New Roman"/>
          <w:b/>
          <w:sz w:val="22"/>
          <w:szCs w:val="22"/>
        </w:rPr>
        <w:tab/>
        <w:t>MYYNTILUVAN HALTIJAN NIMI</w:t>
      </w:r>
    </w:p>
    <w:p w14:paraId="586FCCBE" w14:textId="77777777" w:rsidR="008F2D51" w:rsidRDefault="008F2D51" w:rsidP="008F2D51">
      <w:pPr>
        <w:suppressAutoHyphens/>
        <w:rPr>
          <w:rFonts w:ascii="Times New Roman" w:hAnsi="Times New Roman"/>
          <w:sz w:val="22"/>
          <w:szCs w:val="22"/>
        </w:rPr>
      </w:pPr>
    </w:p>
    <w:p w14:paraId="586FCCBF" w14:textId="77777777" w:rsidR="008F2D51" w:rsidRDefault="008F2D51" w:rsidP="008F2D51">
      <w:pPr>
        <w:widowControl w:val="0"/>
        <w:rPr>
          <w:rFonts w:ascii="Times New Roman" w:hAnsi="Times New Roman"/>
          <w:sz w:val="22"/>
          <w:szCs w:val="22"/>
        </w:rPr>
      </w:pPr>
      <w:r>
        <w:rPr>
          <w:rFonts w:ascii="Times New Roman" w:hAnsi="Times New Roman"/>
          <w:sz w:val="22"/>
          <w:szCs w:val="22"/>
        </w:rPr>
        <w:t>Novartis Europharm Limited</w:t>
      </w:r>
    </w:p>
    <w:p w14:paraId="586FCCC0" w14:textId="77777777" w:rsidR="008F2D51" w:rsidRDefault="008F2D51" w:rsidP="008F2D51">
      <w:pPr>
        <w:suppressAutoHyphens/>
        <w:rPr>
          <w:rFonts w:ascii="Times New Roman" w:hAnsi="Times New Roman"/>
          <w:sz w:val="22"/>
          <w:szCs w:val="22"/>
        </w:rPr>
      </w:pPr>
    </w:p>
    <w:p w14:paraId="586FCCC1" w14:textId="77777777" w:rsidR="008F2D51" w:rsidRDefault="008F2D51" w:rsidP="008F2D51">
      <w:pPr>
        <w:suppressAutoHyphens/>
        <w:rPr>
          <w:rFonts w:ascii="Times New Roman" w:hAnsi="Times New Roman"/>
          <w:sz w:val="22"/>
          <w:szCs w:val="22"/>
        </w:rPr>
      </w:pPr>
    </w:p>
    <w:p w14:paraId="586FCCC2"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3.</w:t>
      </w:r>
      <w:r>
        <w:rPr>
          <w:rFonts w:ascii="Times New Roman" w:hAnsi="Times New Roman"/>
          <w:b/>
          <w:sz w:val="22"/>
          <w:szCs w:val="22"/>
        </w:rPr>
        <w:tab/>
        <w:t>VIIMEINEN KÄYTTÖPÄIVÄMÄÄRÄ</w:t>
      </w:r>
    </w:p>
    <w:p w14:paraId="586FCCC3" w14:textId="77777777" w:rsidR="008F2D51" w:rsidRDefault="008F2D51" w:rsidP="008F2D51">
      <w:pPr>
        <w:suppressAutoHyphens/>
        <w:rPr>
          <w:rFonts w:ascii="Times New Roman" w:hAnsi="Times New Roman"/>
          <w:sz w:val="22"/>
          <w:szCs w:val="22"/>
        </w:rPr>
      </w:pPr>
    </w:p>
    <w:p w14:paraId="586FCCC4"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EXP</w:t>
      </w:r>
    </w:p>
    <w:p w14:paraId="586FCCC5" w14:textId="77777777" w:rsidR="008F2D51" w:rsidRDefault="008F2D51" w:rsidP="008F2D51">
      <w:pPr>
        <w:suppressAutoHyphens/>
        <w:rPr>
          <w:rFonts w:ascii="Times New Roman" w:hAnsi="Times New Roman"/>
          <w:sz w:val="22"/>
          <w:szCs w:val="22"/>
        </w:rPr>
      </w:pPr>
    </w:p>
    <w:p w14:paraId="586FCCC6" w14:textId="77777777" w:rsidR="008F2D51" w:rsidRDefault="008F2D51" w:rsidP="008F2D51">
      <w:pPr>
        <w:suppressAutoHyphens/>
        <w:rPr>
          <w:rFonts w:ascii="Times New Roman" w:hAnsi="Times New Roman"/>
          <w:sz w:val="22"/>
          <w:szCs w:val="22"/>
        </w:rPr>
      </w:pPr>
    </w:p>
    <w:p w14:paraId="586FCCC7"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4.</w:t>
      </w:r>
      <w:r>
        <w:rPr>
          <w:rFonts w:ascii="Times New Roman" w:hAnsi="Times New Roman"/>
          <w:b/>
          <w:sz w:val="22"/>
          <w:szCs w:val="22"/>
        </w:rPr>
        <w:tab/>
        <w:t>ERÄNUMERO</w:t>
      </w:r>
    </w:p>
    <w:p w14:paraId="586FCCC8" w14:textId="77777777" w:rsidR="008F2D51" w:rsidRDefault="008F2D51" w:rsidP="008F2D51">
      <w:pPr>
        <w:suppressAutoHyphens/>
        <w:rPr>
          <w:rFonts w:ascii="Times New Roman" w:hAnsi="Times New Roman"/>
          <w:sz w:val="22"/>
          <w:szCs w:val="22"/>
        </w:rPr>
      </w:pPr>
    </w:p>
    <w:p w14:paraId="586FCCC9"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Lot</w:t>
      </w:r>
    </w:p>
    <w:p w14:paraId="586FCCCA" w14:textId="77777777" w:rsidR="008F2D51" w:rsidRDefault="008F2D51" w:rsidP="008F2D51">
      <w:pPr>
        <w:rPr>
          <w:rFonts w:ascii="Times New Roman" w:hAnsi="Times New Roman"/>
          <w:sz w:val="22"/>
          <w:szCs w:val="22"/>
        </w:rPr>
      </w:pPr>
    </w:p>
    <w:p w14:paraId="586FCCCB" w14:textId="77777777" w:rsidR="008F2D51" w:rsidRDefault="008F2D51" w:rsidP="008F2D51">
      <w:pPr>
        <w:rPr>
          <w:rFonts w:ascii="Times New Roman" w:hAnsi="Times New Roman"/>
          <w:sz w:val="22"/>
          <w:szCs w:val="22"/>
        </w:rPr>
      </w:pPr>
    </w:p>
    <w:p w14:paraId="586FCCCC" w14:textId="77777777" w:rsidR="008F2D51" w:rsidRDefault="008F2D51" w:rsidP="008F2D51">
      <w:pPr>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rPr>
      </w:pPr>
      <w:r>
        <w:rPr>
          <w:rFonts w:ascii="Times New Roman" w:hAnsi="Times New Roman"/>
          <w:b/>
          <w:noProof/>
          <w:sz w:val="22"/>
          <w:szCs w:val="22"/>
        </w:rPr>
        <w:t>5.</w:t>
      </w:r>
      <w:r>
        <w:rPr>
          <w:rFonts w:ascii="Times New Roman" w:hAnsi="Times New Roman"/>
          <w:b/>
          <w:noProof/>
          <w:sz w:val="22"/>
          <w:szCs w:val="22"/>
        </w:rPr>
        <w:tab/>
        <w:t>MUUTA</w:t>
      </w:r>
    </w:p>
    <w:p w14:paraId="586FCCCD" w14:textId="77777777" w:rsidR="008F2D51" w:rsidRDefault="008F2D51" w:rsidP="008F2D51">
      <w:pPr>
        <w:rPr>
          <w:rFonts w:ascii="Times New Roman" w:hAnsi="Times New Roman"/>
          <w:sz w:val="22"/>
          <w:szCs w:val="22"/>
        </w:rPr>
      </w:pPr>
    </w:p>
    <w:p w14:paraId="586FCCCE" w14:textId="77777777" w:rsidR="008F2D51" w:rsidRDefault="008F2D51" w:rsidP="008F2D51">
      <w:pPr>
        <w:widowControl w:val="0"/>
        <w:suppressAutoHyphens/>
        <w:rPr>
          <w:rFonts w:ascii="Times New Roman" w:hAnsi="Times New Roman"/>
          <w:sz w:val="22"/>
          <w:szCs w:val="22"/>
        </w:rPr>
      </w:pPr>
    </w:p>
    <w:p w14:paraId="586FCCCF" w14:textId="77777777" w:rsidR="008F2D51" w:rsidRDefault="008F2D51" w:rsidP="008F2D51">
      <w:pPr>
        <w:shd w:val="clear" w:color="auto" w:fill="FFFFFF"/>
        <w:suppressAutoHyphens/>
        <w:rPr>
          <w:rFonts w:ascii="Times New Roman" w:hAnsi="Times New Roman"/>
          <w:sz w:val="22"/>
          <w:szCs w:val="22"/>
        </w:rPr>
      </w:pPr>
      <w:r>
        <w:rPr>
          <w:rFonts w:ascii="Times New Roman" w:hAnsi="Times New Roman"/>
          <w:b/>
          <w:sz w:val="22"/>
          <w:szCs w:val="22"/>
        </w:rPr>
        <w:br w:type="page"/>
      </w:r>
    </w:p>
    <w:p w14:paraId="586FCCD0" w14:textId="77777777" w:rsidR="00774A0B" w:rsidRPr="00774A0B" w:rsidRDefault="00774A0B" w:rsidP="00774A0B">
      <w:pPr>
        <w:pStyle w:val="BodyText3"/>
        <w:rPr>
          <w:b w:val="0"/>
          <w:szCs w:val="22"/>
        </w:rPr>
      </w:pPr>
    </w:p>
    <w:p w14:paraId="586FCCD1" w14:textId="77777777" w:rsidR="008F2D51" w:rsidRDefault="008F2D51" w:rsidP="008F2D51">
      <w:pPr>
        <w:pStyle w:val="BodyText3"/>
        <w:pBdr>
          <w:top w:val="single" w:sz="4" w:space="1" w:color="auto"/>
          <w:left w:val="single" w:sz="4" w:space="4" w:color="auto"/>
          <w:bottom w:val="single" w:sz="4" w:space="1" w:color="auto"/>
          <w:right w:val="single" w:sz="4" w:space="4" w:color="auto"/>
        </w:pBdr>
        <w:rPr>
          <w:szCs w:val="22"/>
        </w:rPr>
      </w:pPr>
      <w:r>
        <w:rPr>
          <w:szCs w:val="22"/>
        </w:rPr>
        <w:t>ULKOPAKKAUKSESSA ON OLTAVA SEURAAVAT MERKINNÄT</w:t>
      </w:r>
    </w:p>
    <w:p w14:paraId="586FCCD2"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p>
    <w:p w14:paraId="586FCCD3"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r>
        <w:rPr>
          <w:rFonts w:ascii="Times New Roman" w:hAnsi="Times New Roman"/>
          <w:b/>
          <w:sz w:val="22"/>
          <w:szCs w:val="22"/>
        </w:rPr>
        <w:t>PAHVIKOTELO</w:t>
      </w:r>
    </w:p>
    <w:p w14:paraId="586FCCD4" w14:textId="77777777" w:rsidR="008F2D51" w:rsidRDefault="008F2D51" w:rsidP="008F2D51">
      <w:pPr>
        <w:suppressAutoHyphens/>
        <w:rPr>
          <w:rFonts w:ascii="Times New Roman" w:hAnsi="Times New Roman"/>
          <w:sz w:val="22"/>
          <w:szCs w:val="22"/>
        </w:rPr>
      </w:pPr>
    </w:p>
    <w:p w14:paraId="586FCCD5" w14:textId="77777777" w:rsidR="008F2D51" w:rsidRDefault="008F2D51" w:rsidP="008F2D51">
      <w:pPr>
        <w:suppressAutoHyphens/>
        <w:rPr>
          <w:rFonts w:ascii="Times New Roman" w:hAnsi="Times New Roman"/>
          <w:sz w:val="22"/>
          <w:szCs w:val="22"/>
        </w:rPr>
      </w:pPr>
    </w:p>
    <w:p w14:paraId="586FCCD6"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w:t>
      </w:r>
      <w:r>
        <w:rPr>
          <w:rFonts w:ascii="Times New Roman" w:hAnsi="Times New Roman"/>
          <w:b/>
          <w:sz w:val="22"/>
          <w:szCs w:val="22"/>
        </w:rPr>
        <w:tab/>
        <w:t>LÄÄKEVALMISTEEN NIMI</w:t>
      </w:r>
    </w:p>
    <w:p w14:paraId="586FCCD7" w14:textId="77777777" w:rsidR="008F2D51" w:rsidRDefault="008F2D51" w:rsidP="008F2D51">
      <w:pPr>
        <w:suppressAutoHyphens/>
        <w:rPr>
          <w:rFonts w:ascii="Times New Roman" w:hAnsi="Times New Roman"/>
          <w:sz w:val="22"/>
          <w:szCs w:val="22"/>
        </w:rPr>
      </w:pPr>
    </w:p>
    <w:p w14:paraId="586FCCD8"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Glivec 400 mg kalvopäällysteiset tabletit</w:t>
      </w:r>
    </w:p>
    <w:p w14:paraId="586FCCD9" w14:textId="77777777" w:rsidR="008F2D51" w:rsidRDefault="00462A09" w:rsidP="008F2D51">
      <w:pPr>
        <w:widowControl w:val="0"/>
        <w:suppressAutoHyphens/>
        <w:rPr>
          <w:rFonts w:ascii="Times New Roman" w:hAnsi="Times New Roman"/>
          <w:sz w:val="22"/>
          <w:szCs w:val="22"/>
        </w:rPr>
      </w:pPr>
      <w:r>
        <w:rPr>
          <w:rFonts w:ascii="Times New Roman" w:hAnsi="Times New Roman"/>
          <w:sz w:val="22"/>
          <w:szCs w:val="22"/>
        </w:rPr>
        <w:t>i</w:t>
      </w:r>
      <w:r w:rsidR="008F2D51">
        <w:rPr>
          <w:rFonts w:ascii="Times New Roman" w:hAnsi="Times New Roman"/>
          <w:sz w:val="22"/>
          <w:szCs w:val="22"/>
        </w:rPr>
        <w:t>matinibi</w:t>
      </w:r>
    </w:p>
    <w:p w14:paraId="586FCCDA" w14:textId="77777777" w:rsidR="008F2D51" w:rsidRDefault="008F2D51" w:rsidP="008F2D51">
      <w:pPr>
        <w:suppressAutoHyphens/>
        <w:rPr>
          <w:rFonts w:ascii="Times New Roman" w:hAnsi="Times New Roman"/>
          <w:sz w:val="22"/>
          <w:szCs w:val="22"/>
        </w:rPr>
      </w:pPr>
    </w:p>
    <w:p w14:paraId="586FCCDB" w14:textId="77777777" w:rsidR="008F2D51" w:rsidRDefault="008F2D51" w:rsidP="008F2D51">
      <w:pPr>
        <w:suppressAutoHyphens/>
        <w:rPr>
          <w:rFonts w:ascii="Times New Roman" w:hAnsi="Times New Roman"/>
          <w:sz w:val="22"/>
          <w:szCs w:val="22"/>
        </w:rPr>
      </w:pPr>
    </w:p>
    <w:p w14:paraId="586FCCDC"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2.</w:t>
      </w:r>
      <w:r>
        <w:rPr>
          <w:rFonts w:ascii="Times New Roman" w:hAnsi="Times New Roman"/>
          <w:b/>
          <w:sz w:val="22"/>
          <w:szCs w:val="22"/>
        </w:rPr>
        <w:tab/>
        <w:t>VAIKUTTAVA(T) AINE(ET)</w:t>
      </w:r>
    </w:p>
    <w:p w14:paraId="586FCCDD" w14:textId="77777777" w:rsidR="008F2D51" w:rsidRDefault="008F2D51" w:rsidP="008F2D51">
      <w:pPr>
        <w:suppressAutoHyphens/>
        <w:rPr>
          <w:rFonts w:ascii="Times New Roman" w:hAnsi="Times New Roman"/>
          <w:sz w:val="22"/>
          <w:szCs w:val="22"/>
        </w:rPr>
      </w:pPr>
    </w:p>
    <w:p w14:paraId="586FCCDE" w14:textId="77777777" w:rsidR="008F2D51" w:rsidRDefault="008F2D51" w:rsidP="008F2D51">
      <w:pPr>
        <w:widowControl w:val="0"/>
        <w:rPr>
          <w:rFonts w:ascii="Times New Roman" w:hAnsi="Times New Roman"/>
          <w:sz w:val="22"/>
          <w:szCs w:val="22"/>
        </w:rPr>
      </w:pPr>
      <w:r>
        <w:rPr>
          <w:rFonts w:ascii="Times New Roman" w:hAnsi="Times New Roman"/>
          <w:sz w:val="22"/>
          <w:szCs w:val="22"/>
        </w:rPr>
        <w:t>Yksi tabletti sisältää 400 mg imatinibia (mesilaattina).</w:t>
      </w:r>
    </w:p>
    <w:p w14:paraId="586FCCDF" w14:textId="77777777" w:rsidR="008F2D51" w:rsidRDefault="008F2D51" w:rsidP="008F2D51">
      <w:pPr>
        <w:suppressAutoHyphens/>
        <w:rPr>
          <w:rFonts w:ascii="Times New Roman" w:hAnsi="Times New Roman"/>
          <w:sz w:val="22"/>
          <w:szCs w:val="22"/>
        </w:rPr>
      </w:pPr>
    </w:p>
    <w:p w14:paraId="586FCCE0" w14:textId="77777777" w:rsidR="008F2D51" w:rsidRDefault="008F2D51" w:rsidP="008F2D51">
      <w:pPr>
        <w:suppressAutoHyphens/>
        <w:rPr>
          <w:rFonts w:ascii="Times New Roman" w:hAnsi="Times New Roman"/>
          <w:sz w:val="22"/>
          <w:szCs w:val="22"/>
        </w:rPr>
      </w:pPr>
    </w:p>
    <w:p w14:paraId="586FCCE1"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3.</w:t>
      </w:r>
      <w:r>
        <w:rPr>
          <w:rFonts w:ascii="Times New Roman" w:hAnsi="Times New Roman"/>
          <w:b/>
          <w:sz w:val="22"/>
          <w:szCs w:val="22"/>
        </w:rPr>
        <w:tab/>
        <w:t>LUETTELO APUAINEISTA</w:t>
      </w:r>
    </w:p>
    <w:p w14:paraId="586FCCE2" w14:textId="77777777" w:rsidR="008F2D51" w:rsidRDefault="008F2D51" w:rsidP="008F2D51">
      <w:pPr>
        <w:pStyle w:val="Header"/>
        <w:tabs>
          <w:tab w:val="clear" w:pos="567"/>
        </w:tabs>
        <w:suppressAutoHyphens/>
        <w:rPr>
          <w:rFonts w:ascii="Times New Roman" w:hAnsi="Times New Roman"/>
          <w:color w:val="000000"/>
          <w:sz w:val="22"/>
          <w:szCs w:val="22"/>
          <w:lang w:val="fi-FI"/>
        </w:rPr>
      </w:pPr>
    </w:p>
    <w:p w14:paraId="586FCCE3" w14:textId="77777777" w:rsidR="008F2D51" w:rsidRDefault="008F2D51" w:rsidP="008F2D51">
      <w:pPr>
        <w:suppressAutoHyphens/>
        <w:rPr>
          <w:rFonts w:ascii="Times New Roman" w:hAnsi="Times New Roman"/>
          <w:sz w:val="22"/>
          <w:szCs w:val="22"/>
        </w:rPr>
      </w:pPr>
    </w:p>
    <w:p w14:paraId="586FCCE4"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4.</w:t>
      </w:r>
      <w:r>
        <w:rPr>
          <w:rFonts w:ascii="Times New Roman" w:hAnsi="Times New Roman"/>
          <w:b/>
          <w:sz w:val="22"/>
          <w:szCs w:val="22"/>
        </w:rPr>
        <w:tab/>
        <w:t>LÄÄKEMUOTO JA SISÄLLÖN MÄÄRÄ</w:t>
      </w:r>
    </w:p>
    <w:p w14:paraId="586FCCE5" w14:textId="77777777" w:rsidR="008F2D51" w:rsidRDefault="008F2D51" w:rsidP="008F2D51">
      <w:pPr>
        <w:suppressAutoHyphens/>
        <w:rPr>
          <w:rFonts w:ascii="Times New Roman" w:hAnsi="Times New Roman"/>
          <w:sz w:val="22"/>
          <w:szCs w:val="22"/>
        </w:rPr>
      </w:pPr>
    </w:p>
    <w:p w14:paraId="586FCCE6"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10 kalvopäällysteistä tablettia</w:t>
      </w:r>
    </w:p>
    <w:p w14:paraId="586FCCE7"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30 kalvopäällysteistä tablettia</w:t>
      </w:r>
    </w:p>
    <w:p w14:paraId="586FCCE8" w14:textId="77777777" w:rsidR="008F2D51" w:rsidRDefault="008F2D51" w:rsidP="008F2D51">
      <w:pPr>
        <w:suppressAutoHyphens/>
        <w:rPr>
          <w:rFonts w:ascii="Times New Roman" w:hAnsi="Times New Roman"/>
          <w:sz w:val="22"/>
          <w:szCs w:val="22"/>
          <w:shd w:val="clear" w:color="auto" w:fill="D9D9D9"/>
        </w:rPr>
      </w:pPr>
      <w:r>
        <w:rPr>
          <w:rFonts w:ascii="Times New Roman" w:hAnsi="Times New Roman"/>
          <w:sz w:val="22"/>
          <w:szCs w:val="22"/>
          <w:shd w:val="clear" w:color="auto" w:fill="D9D9D9"/>
        </w:rPr>
        <w:t>90 kalvopäällysteistä tablettia</w:t>
      </w:r>
    </w:p>
    <w:p w14:paraId="586FCCE9" w14:textId="77777777" w:rsidR="008F2D51" w:rsidRDefault="008F2D51" w:rsidP="008F2D51">
      <w:pPr>
        <w:suppressAutoHyphens/>
        <w:rPr>
          <w:rFonts w:ascii="Times New Roman" w:hAnsi="Times New Roman"/>
          <w:sz w:val="22"/>
          <w:szCs w:val="22"/>
        </w:rPr>
      </w:pPr>
    </w:p>
    <w:p w14:paraId="586FCCEA" w14:textId="77777777" w:rsidR="008F2D51" w:rsidRDefault="008F2D51" w:rsidP="008F2D51">
      <w:pPr>
        <w:suppressAutoHyphens/>
        <w:rPr>
          <w:rFonts w:ascii="Times New Roman" w:hAnsi="Times New Roman"/>
          <w:sz w:val="22"/>
          <w:szCs w:val="22"/>
        </w:rPr>
      </w:pPr>
    </w:p>
    <w:p w14:paraId="586FCCEB"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5.</w:t>
      </w:r>
      <w:r>
        <w:rPr>
          <w:rFonts w:ascii="Times New Roman" w:hAnsi="Times New Roman"/>
          <w:b/>
          <w:sz w:val="22"/>
          <w:szCs w:val="22"/>
        </w:rPr>
        <w:tab/>
        <w:t>ANTOTAPA JA TARVITTAESSA ANTOREITTI (ANTOREITIT)</w:t>
      </w:r>
    </w:p>
    <w:p w14:paraId="586FCCEC" w14:textId="77777777" w:rsidR="008F2D51" w:rsidRDefault="008F2D51" w:rsidP="008F2D51">
      <w:pPr>
        <w:suppressAutoHyphens/>
        <w:rPr>
          <w:rFonts w:ascii="Times New Roman" w:hAnsi="Times New Roman"/>
          <w:sz w:val="22"/>
          <w:szCs w:val="22"/>
        </w:rPr>
      </w:pPr>
    </w:p>
    <w:p w14:paraId="586FCCED" w14:textId="77777777" w:rsidR="008F2D51" w:rsidRDefault="008F2D51" w:rsidP="008F2D51">
      <w:pPr>
        <w:widowControl w:val="0"/>
        <w:suppressAutoHyphens/>
        <w:ind w:left="567" w:hanging="567"/>
        <w:rPr>
          <w:rFonts w:ascii="Times New Roman" w:hAnsi="Times New Roman"/>
          <w:sz w:val="22"/>
          <w:szCs w:val="22"/>
        </w:rPr>
      </w:pPr>
      <w:r>
        <w:rPr>
          <w:rFonts w:ascii="Times New Roman" w:hAnsi="Times New Roman"/>
          <w:sz w:val="22"/>
          <w:szCs w:val="22"/>
        </w:rPr>
        <w:t>Suun kautta. Lue pakkausseloste ennen käyttöä.</w:t>
      </w:r>
    </w:p>
    <w:p w14:paraId="586FCCEE" w14:textId="77777777" w:rsidR="008F2D51" w:rsidRDefault="008F2D51" w:rsidP="008F2D51">
      <w:pPr>
        <w:suppressAutoHyphens/>
        <w:rPr>
          <w:rFonts w:ascii="Times New Roman" w:hAnsi="Times New Roman"/>
          <w:sz w:val="22"/>
          <w:szCs w:val="22"/>
        </w:rPr>
      </w:pPr>
    </w:p>
    <w:p w14:paraId="586FCCEF" w14:textId="77777777" w:rsidR="008F2D51" w:rsidRDefault="008F2D51" w:rsidP="008F2D51">
      <w:pPr>
        <w:suppressAutoHyphens/>
        <w:rPr>
          <w:rFonts w:ascii="Times New Roman" w:hAnsi="Times New Roman"/>
          <w:sz w:val="22"/>
          <w:szCs w:val="22"/>
        </w:rPr>
      </w:pPr>
    </w:p>
    <w:p w14:paraId="586FCCF0"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6.</w:t>
      </w:r>
      <w:r>
        <w:rPr>
          <w:rFonts w:ascii="Times New Roman" w:hAnsi="Times New Roman"/>
          <w:b/>
          <w:sz w:val="22"/>
          <w:szCs w:val="22"/>
        </w:rPr>
        <w:tab/>
        <w:t>ERITYISVAROITUS VALMISTEEN SÄILYTTÄMISESTÄ POIS</w:t>
      </w:r>
      <w:r w:rsidR="00462A09">
        <w:rPr>
          <w:rFonts w:ascii="Times New Roman" w:hAnsi="Times New Roman"/>
          <w:b/>
          <w:sz w:val="22"/>
          <w:szCs w:val="22"/>
        </w:rPr>
        <w:t>SA</w:t>
      </w:r>
      <w:r>
        <w:rPr>
          <w:rFonts w:ascii="Times New Roman" w:hAnsi="Times New Roman"/>
          <w:b/>
          <w:sz w:val="22"/>
          <w:szCs w:val="22"/>
        </w:rPr>
        <w:t xml:space="preserve"> LASTEN ULOTTUVILTA</w:t>
      </w:r>
      <w:r w:rsidR="00462A09">
        <w:rPr>
          <w:rFonts w:ascii="Times New Roman" w:hAnsi="Times New Roman"/>
          <w:b/>
          <w:sz w:val="22"/>
          <w:szCs w:val="22"/>
        </w:rPr>
        <w:t xml:space="preserve"> JA NÄKYVILTÄ</w:t>
      </w:r>
    </w:p>
    <w:p w14:paraId="586FCCF1" w14:textId="77777777" w:rsidR="008F2D51" w:rsidRDefault="008F2D51" w:rsidP="008F2D51">
      <w:pPr>
        <w:pStyle w:val="Header"/>
        <w:tabs>
          <w:tab w:val="clear" w:pos="567"/>
        </w:tabs>
        <w:suppressAutoHyphens/>
        <w:rPr>
          <w:rFonts w:ascii="Times New Roman" w:hAnsi="Times New Roman"/>
          <w:color w:val="000000"/>
          <w:sz w:val="22"/>
          <w:szCs w:val="22"/>
          <w:lang w:val="fi-FI"/>
        </w:rPr>
      </w:pPr>
    </w:p>
    <w:p w14:paraId="586FCCF2" w14:textId="77777777" w:rsidR="008F2D51" w:rsidRDefault="008F2D51" w:rsidP="008F2D51">
      <w:pPr>
        <w:widowControl w:val="0"/>
        <w:suppressAutoHyphens/>
        <w:ind w:left="720" w:hanging="720"/>
        <w:rPr>
          <w:rFonts w:ascii="Times New Roman" w:hAnsi="Times New Roman"/>
          <w:sz w:val="22"/>
          <w:szCs w:val="22"/>
        </w:rPr>
      </w:pPr>
      <w:r>
        <w:rPr>
          <w:rFonts w:ascii="Times New Roman" w:hAnsi="Times New Roman"/>
          <w:sz w:val="22"/>
          <w:szCs w:val="22"/>
        </w:rPr>
        <w:t>Ei lasten ulottuville eikä näkyville.</w:t>
      </w:r>
    </w:p>
    <w:p w14:paraId="586FCCF3" w14:textId="77777777" w:rsidR="008F2D51" w:rsidRDefault="008F2D51" w:rsidP="008F2D51">
      <w:pPr>
        <w:rPr>
          <w:rFonts w:ascii="Times New Roman" w:hAnsi="Times New Roman"/>
          <w:sz w:val="22"/>
          <w:szCs w:val="22"/>
        </w:rPr>
      </w:pPr>
    </w:p>
    <w:p w14:paraId="586FCCF4" w14:textId="77777777" w:rsidR="008F2D51" w:rsidRDefault="008F2D51" w:rsidP="008F2D51">
      <w:pPr>
        <w:rPr>
          <w:rFonts w:ascii="Times New Roman" w:hAnsi="Times New Roman"/>
          <w:sz w:val="22"/>
          <w:szCs w:val="22"/>
        </w:rPr>
      </w:pPr>
    </w:p>
    <w:p w14:paraId="586FCCF5"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7.</w:t>
      </w:r>
      <w:r>
        <w:rPr>
          <w:rFonts w:ascii="Times New Roman" w:hAnsi="Times New Roman"/>
          <w:b/>
          <w:sz w:val="22"/>
          <w:szCs w:val="22"/>
        </w:rPr>
        <w:tab/>
        <w:t>MUU ERITYISVAROITUS (MUUT ERITYISVAROITUKSET), JOS TARPEEN</w:t>
      </w:r>
    </w:p>
    <w:p w14:paraId="586FCCF6" w14:textId="77777777" w:rsidR="008F2D51" w:rsidRDefault="008F2D51" w:rsidP="008F2D51">
      <w:pPr>
        <w:rPr>
          <w:rFonts w:ascii="Times New Roman" w:hAnsi="Times New Roman"/>
          <w:sz w:val="22"/>
          <w:szCs w:val="22"/>
        </w:rPr>
      </w:pPr>
    </w:p>
    <w:p w14:paraId="586FCCF7" w14:textId="77777777" w:rsidR="008F2D51" w:rsidRDefault="008F2D51" w:rsidP="008F2D51">
      <w:pPr>
        <w:widowControl w:val="0"/>
        <w:rPr>
          <w:rFonts w:ascii="Times New Roman" w:hAnsi="Times New Roman"/>
          <w:sz w:val="22"/>
          <w:szCs w:val="22"/>
        </w:rPr>
      </w:pPr>
      <w:r>
        <w:rPr>
          <w:rFonts w:ascii="Times New Roman" w:hAnsi="Times New Roman"/>
          <w:sz w:val="22"/>
          <w:szCs w:val="22"/>
        </w:rPr>
        <w:t>Käytä vain lääkärin ohjeen mukaan.</w:t>
      </w:r>
    </w:p>
    <w:p w14:paraId="586FCCF8" w14:textId="77777777" w:rsidR="008F2D51" w:rsidRDefault="008F2D51" w:rsidP="008F2D51">
      <w:pPr>
        <w:rPr>
          <w:rFonts w:ascii="Times New Roman" w:hAnsi="Times New Roman"/>
          <w:sz w:val="22"/>
          <w:szCs w:val="22"/>
        </w:rPr>
      </w:pPr>
    </w:p>
    <w:p w14:paraId="586FCCF9" w14:textId="77777777" w:rsidR="008F2D51" w:rsidRDefault="008F2D51" w:rsidP="008F2D51">
      <w:pPr>
        <w:rPr>
          <w:rFonts w:ascii="Times New Roman" w:hAnsi="Times New Roman"/>
          <w:sz w:val="22"/>
          <w:szCs w:val="22"/>
        </w:rPr>
      </w:pPr>
    </w:p>
    <w:p w14:paraId="586FCCFA"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8.</w:t>
      </w:r>
      <w:r>
        <w:rPr>
          <w:rFonts w:ascii="Times New Roman" w:hAnsi="Times New Roman"/>
          <w:b/>
          <w:sz w:val="22"/>
          <w:szCs w:val="22"/>
        </w:rPr>
        <w:tab/>
        <w:t>VIIMEINEN KÄYTTÖPÄIVÄMÄÄRÄ</w:t>
      </w:r>
    </w:p>
    <w:p w14:paraId="586FCCFB" w14:textId="77777777" w:rsidR="008F2D51" w:rsidRDefault="008F2D51" w:rsidP="008F2D51">
      <w:pPr>
        <w:rPr>
          <w:rFonts w:ascii="Times New Roman" w:hAnsi="Times New Roman"/>
          <w:sz w:val="22"/>
          <w:szCs w:val="22"/>
        </w:rPr>
      </w:pPr>
    </w:p>
    <w:p w14:paraId="586FCCFC" w14:textId="77777777" w:rsidR="008F2D51" w:rsidRDefault="008F2D51" w:rsidP="008F2D51">
      <w:pPr>
        <w:widowControl w:val="0"/>
        <w:suppressAutoHyphens/>
        <w:ind w:left="720" w:hanging="720"/>
        <w:rPr>
          <w:rFonts w:ascii="Times New Roman" w:hAnsi="Times New Roman"/>
          <w:sz w:val="22"/>
          <w:szCs w:val="22"/>
        </w:rPr>
      </w:pPr>
      <w:r>
        <w:rPr>
          <w:rFonts w:ascii="Times New Roman" w:hAnsi="Times New Roman"/>
          <w:sz w:val="22"/>
          <w:szCs w:val="22"/>
        </w:rPr>
        <w:t>Käyt. viim.</w:t>
      </w:r>
    </w:p>
    <w:p w14:paraId="586FCCFD" w14:textId="77777777" w:rsidR="008F2D51" w:rsidRDefault="008F2D51" w:rsidP="008F2D51">
      <w:pPr>
        <w:rPr>
          <w:rFonts w:ascii="Times New Roman" w:hAnsi="Times New Roman"/>
          <w:sz w:val="22"/>
          <w:szCs w:val="22"/>
        </w:rPr>
      </w:pPr>
    </w:p>
    <w:p w14:paraId="586FCCFE" w14:textId="77777777" w:rsidR="008F2D51" w:rsidRDefault="008F2D51" w:rsidP="008F2D51">
      <w:pPr>
        <w:rPr>
          <w:rFonts w:ascii="Times New Roman" w:hAnsi="Times New Roman"/>
          <w:sz w:val="22"/>
          <w:szCs w:val="22"/>
        </w:rPr>
      </w:pPr>
    </w:p>
    <w:p w14:paraId="586FCCFF" w14:textId="77777777" w:rsidR="008F2D51" w:rsidRDefault="008F2D51" w:rsidP="00774A0B">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9.</w:t>
      </w:r>
      <w:r>
        <w:rPr>
          <w:rFonts w:ascii="Times New Roman" w:hAnsi="Times New Roman"/>
          <w:b/>
          <w:sz w:val="22"/>
          <w:szCs w:val="22"/>
        </w:rPr>
        <w:tab/>
        <w:t>ERITYISET SÄILYTYSOLOSUHTEET</w:t>
      </w:r>
    </w:p>
    <w:p w14:paraId="586FCD00" w14:textId="77777777" w:rsidR="008F2D51" w:rsidRDefault="008F2D51" w:rsidP="00774A0B">
      <w:pPr>
        <w:keepNext/>
        <w:suppressAutoHyphens/>
        <w:ind w:left="567" w:hanging="567"/>
        <w:rPr>
          <w:rFonts w:ascii="Times New Roman" w:hAnsi="Times New Roman"/>
          <w:sz w:val="22"/>
          <w:szCs w:val="22"/>
        </w:rPr>
      </w:pPr>
    </w:p>
    <w:p w14:paraId="586FCD01" w14:textId="77777777" w:rsidR="008F2D51" w:rsidRDefault="008F2D51" w:rsidP="008F2D51">
      <w:pPr>
        <w:widowControl w:val="0"/>
        <w:rPr>
          <w:rFonts w:ascii="Times New Roman" w:hAnsi="Times New Roman"/>
          <w:sz w:val="22"/>
          <w:szCs w:val="22"/>
        </w:rPr>
      </w:pPr>
      <w:r>
        <w:rPr>
          <w:rFonts w:ascii="Times New Roman" w:hAnsi="Times New Roman"/>
          <w:sz w:val="22"/>
          <w:szCs w:val="22"/>
        </w:rPr>
        <w:t>Säilytä alle 30</w:t>
      </w:r>
      <w:r>
        <w:rPr>
          <w:rFonts w:ascii="Times New Roman" w:hAnsi="Times New Roman"/>
          <w:sz w:val="22"/>
          <w:szCs w:val="22"/>
        </w:rPr>
        <w:sym w:font="Symbol" w:char="F0B0"/>
      </w:r>
      <w:r>
        <w:rPr>
          <w:rFonts w:ascii="Times New Roman" w:hAnsi="Times New Roman"/>
          <w:sz w:val="22"/>
          <w:szCs w:val="22"/>
        </w:rPr>
        <w:t>C. Säilytä alkuperäispakkauksessa. Herkkä kosteudelle.</w:t>
      </w:r>
    </w:p>
    <w:p w14:paraId="586FCD02" w14:textId="77777777" w:rsidR="008F2D51" w:rsidRDefault="008F2D51" w:rsidP="008F2D51">
      <w:pPr>
        <w:rPr>
          <w:rFonts w:ascii="Times New Roman" w:hAnsi="Times New Roman"/>
          <w:sz w:val="22"/>
          <w:szCs w:val="22"/>
        </w:rPr>
      </w:pPr>
    </w:p>
    <w:p w14:paraId="586FCD03" w14:textId="77777777" w:rsidR="008F2D51" w:rsidRDefault="008F2D51" w:rsidP="008F2D51">
      <w:pPr>
        <w:rPr>
          <w:rFonts w:ascii="Times New Roman" w:hAnsi="Times New Roman"/>
          <w:sz w:val="22"/>
          <w:szCs w:val="22"/>
        </w:rPr>
      </w:pPr>
    </w:p>
    <w:p w14:paraId="586FCD04"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lastRenderedPageBreak/>
        <w:t>10.</w:t>
      </w:r>
      <w:r>
        <w:rPr>
          <w:rFonts w:ascii="Times New Roman" w:hAnsi="Times New Roman"/>
          <w:b/>
          <w:sz w:val="22"/>
          <w:szCs w:val="22"/>
        </w:rPr>
        <w:tab/>
        <w:t>ERITYISET VAROTOIMET KÄYTTÄMÄTTÖMIEN LÄÄKEVALMISTEIDEN TAI NIISTÄ PERÄISIN OLEVAN JÄTEMATERIAALIN HÄVITTÄMISEKSI, JOS TARPEEN</w:t>
      </w:r>
    </w:p>
    <w:p w14:paraId="586FCD05" w14:textId="77777777" w:rsidR="008F2D51" w:rsidRDefault="008F2D51" w:rsidP="008F2D51">
      <w:pPr>
        <w:rPr>
          <w:rFonts w:ascii="Times New Roman" w:hAnsi="Times New Roman"/>
          <w:sz w:val="22"/>
          <w:szCs w:val="22"/>
        </w:rPr>
      </w:pPr>
    </w:p>
    <w:p w14:paraId="586FCD06" w14:textId="77777777" w:rsidR="008F2D51" w:rsidRDefault="008F2D51" w:rsidP="008F2D51">
      <w:pPr>
        <w:rPr>
          <w:rFonts w:ascii="Times New Roman" w:hAnsi="Times New Roman"/>
          <w:sz w:val="22"/>
          <w:szCs w:val="22"/>
        </w:rPr>
      </w:pPr>
    </w:p>
    <w:p w14:paraId="586FCD07"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11.</w:t>
      </w:r>
      <w:r>
        <w:rPr>
          <w:rFonts w:ascii="Times New Roman" w:hAnsi="Times New Roman"/>
          <w:b/>
          <w:sz w:val="22"/>
          <w:szCs w:val="22"/>
        </w:rPr>
        <w:tab/>
        <w:t>MYYNTILUVAN HALTIJAN NIMI JA OSOITE</w:t>
      </w:r>
    </w:p>
    <w:p w14:paraId="586FCD08" w14:textId="77777777" w:rsidR="008F2D51" w:rsidRDefault="008F2D51" w:rsidP="008F2D51">
      <w:pPr>
        <w:rPr>
          <w:rFonts w:ascii="Times New Roman" w:hAnsi="Times New Roman"/>
          <w:sz w:val="22"/>
          <w:szCs w:val="22"/>
        </w:rPr>
      </w:pPr>
    </w:p>
    <w:p w14:paraId="586FCD09" w14:textId="77777777" w:rsidR="008F2D51" w:rsidRDefault="008F2D51" w:rsidP="008F2D51">
      <w:pPr>
        <w:pStyle w:val="EndnoteText"/>
        <w:widowControl w:val="0"/>
        <w:tabs>
          <w:tab w:val="clear" w:pos="567"/>
        </w:tabs>
        <w:rPr>
          <w:color w:val="000000"/>
          <w:szCs w:val="22"/>
          <w:lang w:val="fi-FI"/>
        </w:rPr>
      </w:pPr>
      <w:r>
        <w:rPr>
          <w:color w:val="000000"/>
          <w:szCs w:val="22"/>
          <w:lang w:val="fi-FI"/>
        </w:rPr>
        <w:t>Novartis Europharm Limited</w:t>
      </w:r>
    </w:p>
    <w:p w14:paraId="586FCD0A"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Vista Building</w:t>
      </w:r>
    </w:p>
    <w:p w14:paraId="586FCD0B" w14:textId="77777777" w:rsidR="00A331BE" w:rsidRPr="00112B38" w:rsidRDefault="00A331BE" w:rsidP="00A331BE">
      <w:pPr>
        <w:keepNext/>
        <w:widowControl w:val="0"/>
        <w:rPr>
          <w:rFonts w:ascii="Times New Roman" w:hAnsi="Times New Roman"/>
          <w:sz w:val="22"/>
          <w:szCs w:val="22"/>
          <w:lang w:val="en-US"/>
        </w:rPr>
      </w:pPr>
      <w:r w:rsidRPr="00112B38">
        <w:rPr>
          <w:rFonts w:ascii="Times New Roman" w:hAnsi="Times New Roman"/>
          <w:sz w:val="22"/>
          <w:szCs w:val="22"/>
          <w:lang w:val="en-US"/>
        </w:rPr>
        <w:t>Elm Park, Merrion Road</w:t>
      </w:r>
    </w:p>
    <w:p w14:paraId="586FCD0C" w14:textId="77777777" w:rsidR="00A331BE" w:rsidRPr="00A331BE" w:rsidRDefault="00A331BE" w:rsidP="00A331BE">
      <w:pPr>
        <w:keepNext/>
        <w:widowControl w:val="0"/>
        <w:rPr>
          <w:rFonts w:ascii="Times New Roman" w:hAnsi="Times New Roman"/>
          <w:sz w:val="22"/>
          <w:szCs w:val="22"/>
        </w:rPr>
      </w:pPr>
      <w:r w:rsidRPr="00A331BE">
        <w:rPr>
          <w:rFonts w:ascii="Times New Roman" w:hAnsi="Times New Roman"/>
          <w:sz w:val="22"/>
          <w:szCs w:val="22"/>
        </w:rPr>
        <w:t>Dublin 4</w:t>
      </w:r>
    </w:p>
    <w:p w14:paraId="586FCD0D" w14:textId="77777777" w:rsidR="00A331BE" w:rsidRPr="00A331BE" w:rsidRDefault="00A331BE" w:rsidP="00A331BE">
      <w:pPr>
        <w:rPr>
          <w:rFonts w:ascii="Times New Roman" w:hAnsi="Times New Roman"/>
          <w:sz w:val="22"/>
          <w:szCs w:val="22"/>
        </w:rPr>
      </w:pPr>
      <w:r w:rsidRPr="00A331BE">
        <w:rPr>
          <w:rFonts w:ascii="Times New Roman" w:hAnsi="Times New Roman"/>
          <w:sz w:val="22"/>
          <w:szCs w:val="22"/>
        </w:rPr>
        <w:t>Irlanti</w:t>
      </w:r>
    </w:p>
    <w:p w14:paraId="586FCD0E" w14:textId="77777777" w:rsidR="008F2D51" w:rsidRDefault="008F2D51" w:rsidP="008F2D51">
      <w:pPr>
        <w:rPr>
          <w:rFonts w:ascii="Times New Roman" w:hAnsi="Times New Roman"/>
          <w:sz w:val="22"/>
          <w:szCs w:val="22"/>
        </w:rPr>
      </w:pPr>
    </w:p>
    <w:p w14:paraId="586FCD0F" w14:textId="77777777" w:rsidR="008F2D51" w:rsidRDefault="008F2D51" w:rsidP="008F2D51">
      <w:pPr>
        <w:rPr>
          <w:rFonts w:ascii="Times New Roman" w:hAnsi="Times New Roman"/>
          <w:sz w:val="22"/>
          <w:szCs w:val="22"/>
        </w:rPr>
      </w:pPr>
    </w:p>
    <w:p w14:paraId="586FCD10"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12.</w:t>
      </w:r>
      <w:r>
        <w:rPr>
          <w:rFonts w:ascii="Times New Roman" w:hAnsi="Times New Roman"/>
          <w:b/>
          <w:sz w:val="22"/>
          <w:szCs w:val="22"/>
        </w:rPr>
        <w:tab/>
        <w:t>MYYNTILUVAN NUMERO(T)</w:t>
      </w:r>
    </w:p>
    <w:p w14:paraId="586FCD11" w14:textId="77777777" w:rsidR="008F2D51" w:rsidRDefault="008F2D51" w:rsidP="008F2D51">
      <w:pPr>
        <w:rPr>
          <w:rFonts w:ascii="Times New Roman" w:hAnsi="Times New Roman"/>
          <w:sz w:val="22"/>
          <w:szCs w:val="22"/>
        </w:rPr>
      </w:pPr>
    </w:p>
    <w:p w14:paraId="586FCD12" w14:textId="77777777" w:rsidR="008F2D51" w:rsidRPr="00804D62" w:rsidRDefault="008F2D51" w:rsidP="008F2D51">
      <w:pPr>
        <w:tabs>
          <w:tab w:val="left" w:pos="2268"/>
          <w:tab w:val="left" w:pos="2552"/>
        </w:tabs>
        <w:suppressAutoHyphens/>
        <w:rPr>
          <w:rFonts w:ascii="Times New Roman" w:hAnsi="Times New Roman"/>
          <w:sz w:val="22"/>
          <w:szCs w:val="22"/>
          <w:shd w:val="clear" w:color="auto" w:fill="D9D9D9"/>
          <w:lang w:val="fr-FR"/>
        </w:rPr>
      </w:pPr>
      <w:r w:rsidRPr="00804D62">
        <w:rPr>
          <w:rFonts w:ascii="Times New Roman" w:hAnsi="Times New Roman"/>
          <w:sz w:val="22"/>
          <w:szCs w:val="22"/>
          <w:lang w:val="fr-FR"/>
        </w:rPr>
        <w:t>EU/1/01/198/009</w:t>
      </w:r>
      <w:r w:rsidRPr="00804D62">
        <w:rPr>
          <w:rFonts w:ascii="Times New Roman" w:hAnsi="Times New Roman"/>
          <w:sz w:val="22"/>
          <w:szCs w:val="22"/>
          <w:lang w:val="fr-FR"/>
        </w:rPr>
        <w:tab/>
      </w:r>
      <w:r w:rsidRPr="00804D62">
        <w:rPr>
          <w:rFonts w:ascii="Times New Roman" w:hAnsi="Times New Roman"/>
          <w:sz w:val="22"/>
          <w:szCs w:val="22"/>
          <w:shd w:val="clear" w:color="auto" w:fill="D9D9D9"/>
          <w:lang w:val="fr-FR"/>
        </w:rPr>
        <w:t>10 tablettia</w:t>
      </w:r>
    </w:p>
    <w:p w14:paraId="586FCD13" w14:textId="77777777" w:rsidR="008F2D51" w:rsidRPr="00744D9D" w:rsidRDefault="008F2D51" w:rsidP="008F2D51">
      <w:pPr>
        <w:tabs>
          <w:tab w:val="left" w:pos="2268"/>
          <w:tab w:val="left" w:pos="2552"/>
        </w:tabs>
        <w:suppressAutoHyphens/>
        <w:rPr>
          <w:rFonts w:ascii="Times New Roman" w:hAnsi="Times New Roman"/>
          <w:sz w:val="22"/>
          <w:szCs w:val="22"/>
          <w:shd w:val="clear" w:color="auto" w:fill="D9D9D9"/>
          <w:lang w:val="es-ES"/>
        </w:rPr>
      </w:pPr>
      <w:r w:rsidRPr="00744D9D">
        <w:rPr>
          <w:rFonts w:ascii="Times New Roman" w:hAnsi="Times New Roman"/>
          <w:sz w:val="22"/>
          <w:szCs w:val="22"/>
          <w:shd w:val="clear" w:color="auto" w:fill="D9D9D9"/>
          <w:lang w:val="es-ES"/>
        </w:rPr>
        <w:t>EU/1/01/198/010</w:t>
      </w:r>
      <w:r w:rsidRPr="00744D9D">
        <w:rPr>
          <w:rFonts w:ascii="Times New Roman" w:hAnsi="Times New Roman"/>
          <w:sz w:val="22"/>
          <w:szCs w:val="22"/>
          <w:shd w:val="clear" w:color="auto" w:fill="D9D9D9"/>
          <w:lang w:val="es-ES"/>
        </w:rPr>
        <w:tab/>
        <w:t>30 tablettia</w:t>
      </w:r>
    </w:p>
    <w:p w14:paraId="586FCD14" w14:textId="77777777" w:rsidR="008F2D51" w:rsidRPr="00744D9D" w:rsidRDefault="008F2D51" w:rsidP="008F2D51">
      <w:pPr>
        <w:tabs>
          <w:tab w:val="left" w:pos="2268"/>
          <w:tab w:val="left" w:pos="2552"/>
        </w:tabs>
        <w:suppressAutoHyphens/>
        <w:rPr>
          <w:rFonts w:ascii="Times New Roman" w:hAnsi="Times New Roman"/>
          <w:sz w:val="22"/>
          <w:szCs w:val="22"/>
          <w:shd w:val="clear" w:color="auto" w:fill="D9D9D9"/>
          <w:lang w:val="es-ES"/>
        </w:rPr>
      </w:pPr>
      <w:r w:rsidRPr="00744D9D">
        <w:rPr>
          <w:rFonts w:ascii="Times New Roman" w:hAnsi="Times New Roman"/>
          <w:sz w:val="22"/>
          <w:szCs w:val="22"/>
          <w:shd w:val="clear" w:color="auto" w:fill="D9D9D9"/>
          <w:lang w:val="es-ES"/>
        </w:rPr>
        <w:t>EU/1/01/198/013</w:t>
      </w:r>
      <w:r w:rsidRPr="00744D9D">
        <w:rPr>
          <w:rFonts w:ascii="Times New Roman" w:hAnsi="Times New Roman"/>
          <w:sz w:val="22"/>
          <w:szCs w:val="22"/>
          <w:shd w:val="clear" w:color="auto" w:fill="D9D9D9"/>
          <w:lang w:val="es-ES"/>
        </w:rPr>
        <w:tab/>
        <w:t>90 tablettia</w:t>
      </w:r>
    </w:p>
    <w:p w14:paraId="586FCD15" w14:textId="77777777" w:rsidR="008F2D51" w:rsidRPr="00744D9D" w:rsidRDefault="008F2D51" w:rsidP="008F2D51">
      <w:pPr>
        <w:widowControl w:val="0"/>
        <w:suppressAutoHyphens/>
        <w:ind w:left="567" w:hanging="567"/>
        <w:rPr>
          <w:rFonts w:ascii="Times New Roman" w:hAnsi="Times New Roman"/>
          <w:sz w:val="22"/>
          <w:szCs w:val="22"/>
          <w:lang w:val="es-ES"/>
        </w:rPr>
      </w:pPr>
    </w:p>
    <w:p w14:paraId="586FCD16" w14:textId="77777777" w:rsidR="008F2D51" w:rsidRPr="00744D9D" w:rsidRDefault="008F2D51" w:rsidP="008F2D51">
      <w:pPr>
        <w:rPr>
          <w:rFonts w:ascii="Times New Roman" w:hAnsi="Times New Roman"/>
          <w:sz w:val="22"/>
          <w:szCs w:val="22"/>
          <w:lang w:val="es-ES"/>
        </w:rPr>
      </w:pPr>
    </w:p>
    <w:p w14:paraId="586FCD17"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13.</w:t>
      </w:r>
      <w:r>
        <w:rPr>
          <w:rFonts w:ascii="Times New Roman" w:hAnsi="Times New Roman"/>
          <w:b/>
          <w:sz w:val="22"/>
          <w:szCs w:val="22"/>
        </w:rPr>
        <w:tab/>
        <w:t>ERÄNUMERO</w:t>
      </w:r>
    </w:p>
    <w:p w14:paraId="586FCD18" w14:textId="77777777" w:rsidR="008F2D51" w:rsidRDefault="008F2D51" w:rsidP="008F2D51">
      <w:pPr>
        <w:rPr>
          <w:rFonts w:ascii="Times New Roman" w:hAnsi="Times New Roman"/>
          <w:sz w:val="22"/>
          <w:szCs w:val="22"/>
        </w:rPr>
      </w:pPr>
    </w:p>
    <w:p w14:paraId="586FCD19" w14:textId="77777777" w:rsidR="008F2D51" w:rsidRDefault="008F2D51" w:rsidP="008F2D51">
      <w:pPr>
        <w:widowControl w:val="0"/>
        <w:suppressAutoHyphens/>
        <w:ind w:left="567" w:hanging="567"/>
        <w:rPr>
          <w:rFonts w:ascii="Times New Roman" w:hAnsi="Times New Roman"/>
          <w:sz w:val="22"/>
          <w:szCs w:val="22"/>
        </w:rPr>
      </w:pPr>
      <w:r>
        <w:rPr>
          <w:rFonts w:ascii="Times New Roman" w:hAnsi="Times New Roman"/>
          <w:sz w:val="22"/>
          <w:szCs w:val="22"/>
        </w:rPr>
        <w:t>Lot</w:t>
      </w:r>
    </w:p>
    <w:p w14:paraId="586FCD1A" w14:textId="77777777" w:rsidR="008F2D51" w:rsidRDefault="008F2D51" w:rsidP="008F2D51">
      <w:pPr>
        <w:rPr>
          <w:rFonts w:ascii="Times New Roman" w:hAnsi="Times New Roman"/>
          <w:sz w:val="22"/>
          <w:szCs w:val="22"/>
        </w:rPr>
      </w:pPr>
    </w:p>
    <w:p w14:paraId="586FCD1B" w14:textId="77777777" w:rsidR="008F2D51" w:rsidRDefault="008F2D51" w:rsidP="008F2D51">
      <w:pPr>
        <w:rPr>
          <w:rFonts w:ascii="Times New Roman" w:hAnsi="Times New Roman"/>
          <w:sz w:val="22"/>
          <w:szCs w:val="22"/>
        </w:rPr>
      </w:pPr>
    </w:p>
    <w:p w14:paraId="586FCD1C"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14.</w:t>
      </w:r>
      <w:r>
        <w:rPr>
          <w:rFonts w:ascii="Times New Roman" w:hAnsi="Times New Roman"/>
          <w:b/>
          <w:sz w:val="22"/>
          <w:szCs w:val="22"/>
        </w:rPr>
        <w:tab/>
        <w:t>YLEINEN TOIMITTAMISLUOKITTELU</w:t>
      </w:r>
    </w:p>
    <w:p w14:paraId="586FCD1D" w14:textId="77777777" w:rsidR="008F2D51" w:rsidRDefault="008F2D51" w:rsidP="008F2D51">
      <w:pPr>
        <w:rPr>
          <w:rFonts w:ascii="Times New Roman" w:hAnsi="Times New Roman"/>
          <w:sz w:val="22"/>
          <w:szCs w:val="22"/>
        </w:rPr>
      </w:pPr>
    </w:p>
    <w:p w14:paraId="586FCD1E" w14:textId="77777777" w:rsidR="008F2D51" w:rsidRDefault="008F2D51" w:rsidP="008F2D51">
      <w:pPr>
        <w:rPr>
          <w:rFonts w:ascii="Times New Roman" w:hAnsi="Times New Roman"/>
          <w:sz w:val="22"/>
          <w:szCs w:val="22"/>
        </w:rPr>
      </w:pPr>
    </w:p>
    <w:p w14:paraId="586FCD1F"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15.</w:t>
      </w:r>
      <w:r>
        <w:rPr>
          <w:rFonts w:ascii="Times New Roman" w:hAnsi="Times New Roman"/>
          <w:b/>
          <w:sz w:val="22"/>
          <w:szCs w:val="22"/>
        </w:rPr>
        <w:tab/>
        <w:t>KÄYTTÖOHJEET</w:t>
      </w:r>
    </w:p>
    <w:p w14:paraId="586FCD20" w14:textId="77777777" w:rsidR="008F2D51" w:rsidRDefault="008F2D51" w:rsidP="008F2D51">
      <w:pPr>
        <w:rPr>
          <w:rFonts w:ascii="Times New Roman" w:hAnsi="Times New Roman"/>
          <w:sz w:val="22"/>
          <w:szCs w:val="22"/>
        </w:rPr>
      </w:pPr>
    </w:p>
    <w:p w14:paraId="586FCD21" w14:textId="77777777" w:rsidR="008F2D51" w:rsidRDefault="008F2D51" w:rsidP="008F2D51">
      <w:pPr>
        <w:rPr>
          <w:rFonts w:ascii="Times New Roman" w:hAnsi="Times New Roman"/>
          <w:sz w:val="22"/>
          <w:szCs w:val="22"/>
        </w:rPr>
      </w:pPr>
    </w:p>
    <w:p w14:paraId="586FCD22" w14:textId="77777777" w:rsidR="008F2D51" w:rsidRDefault="008F2D51" w:rsidP="008F2D51">
      <w:pPr>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 w:val="22"/>
          <w:szCs w:val="22"/>
        </w:rPr>
      </w:pPr>
      <w:r>
        <w:rPr>
          <w:rFonts w:ascii="Times New Roman" w:hAnsi="Times New Roman"/>
          <w:b/>
          <w:sz w:val="22"/>
          <w:szCs w:val="22"/>
        </w:rPr>
        <w:t>16.</w:t>
      </w:r>
      <w:r>
        <w:rPr>
          <w:rFonts w:ascii="Times New Roman" w:hAnsi="Times New Roman"/>
          <w:b/>
          <w:sz w:val="22"/>
          <w:szCs w:val="22"/>
        </w:rPr>
        <w:tab/>
        <w:t>TIEDOT PISTEKIRJOITUKSELLA</w:t>
      </w:r>
    </w:p>
    <w:p w14:paraId="586FCD23" w14:textId="77777777" w:rsidR="008F2D51" w:rsidRDefault="008F2D51" w:rsidP="008F2D51">
      <w:pPr>
        <w:rPr>
          <w:rFonts w:ascii="Times New Roman" w:hAnsi="Times New Roman"/>
          <w:sz w:val="22"/>
          <w:szCs w:val="22"/>
          <w:u w:val="single"/>
        </w:rPr>
      </w:pPr>
    </w:p>
    <w:p w14:paraId="586FCD24" w14:textId="77777777" w:rsidR="008F2D51" w:rsidRDefault="008F2D51" w:rsidP="008F2D51">
      <w:pPr>
        <w:rPr>
          <w:rFonts w:ascii="Times New Roman" w:hAnsi="Times New Roman"/>
          <w:sz w:val="22"/>
          <w:szCs w:val="22"/>
        </w:rPr>
      </w:pPr>
      <w:r>
        <w:rPr>
          <w:rFonts w:ascii="Times New Roman" w:hAnsi="Times New Roman"/>
          <w:sz w:val="22"/>
          <w:szCs w:val="22"/>
        </w:rPr>
        <w:t>Glivec 400 mg</w:t>
      </w:r>
    </w:p>
    <w:p w14:paraId="586FCD25" w14:textId="77777777" w:rsidR="00532E14" w:rsidRPr="004B2D62" w:rsidRDefault="00532E14" w:rsidP="008F2D51">
      <w:pPr>
        <w:suppressAutoHyphens/>
        <w:rPr>
          <w:rFonts w:ascii="Times New Roman" w:hAnsi="Times New Roman"/>
          <w:sz w:val="22"/>
          <w:szCs w:val="22"/>
        </w:rPr>
      </w:pPr>
    </w:p>
    <w:p w14:paraId="586FCD26" w14:textId="77777777" w:rsidR="00532E14" w:rsidRPr="004B2D62" w:rsidRDefault="00532E14" w:rsidP="00532E14">
      <w:pPr>
        <w:suppressAutoHyphens/>
        <w:rPr>
          <w:rFonts w:ascii="Times New Roman" w:hAnsi="Times New Roman"/>
          <w:sz w:val="22"/>
          <w:szCs w:val="22"/>
          <w:shd w:val="clear" w:color="auto" w:fill="CCCCCC"/>
        </w:rPr>
      </w:pPr>
    </w:p>
    <w:p w14:paraId="586FCD27" w14:textId="77777777" w:rsidR="00532E14" w:rsidRPr="004B2D62" w:rsidRDefault="00532E14" w:rsidP="00532E14">
      <w:pPr>
        <w:keepNext/>
        <w:pBdr>
          <w:top w:val="single" w:sz="4" w:space="1" w:color="auto"/>
          <w:left w:val="single" w:sz="4" w:space="4" w:color="auto"/>
          <w:bottom w:val="single" w:sz="4" w:space="1" w:color="auto"/>
          <w:right w:val="single" w:sz="4" w:space="4" w:color="auto"/>
        </w:pBdr>
        <w:tabs>
          <w:tab w:val="left" w:pos="567"/>
        </w:tabs>
        <w:outlineLvl w:val="0"/>
        <w:rPr>
          <w:rFonts w:ascii="Times New Roman" w:hAnsi="Times New Roman"/>
          <w:i/>
          <w:noProof/>
          <w:sz w:val="22"/>
          <w:szCs w:val="22"/>
        </w:rPr>
      </w:pPr>
      <w:r w:rsidRPr="004B2D62">
        <w:rPr>
          <w:rFonts w:ascii="Times New Roman" w:hAnsi="Times New Roman"/>
          <w:b/>
          <w:noProof/>
          <w:sz w:val="22"/>
          <w:szCs w:val="22"/>
        </w:rPr>
        <w:t>17.</w:t>
      </w:r>
      <w:r w:rsidRPr="004B2D62">
        <w:rPr>
          <w:rFonts w:ascii="Times New Roman" w:hAnsi="Times New Roman"/>
          <w:b/>
          <w:noProof/>
          <w:sz w:val="22"/>
          <w:szCs w:val="22"/>
        </w:rPr>
        <w:tab/>
        <w:t>YKSILÖLLINEN TUNNISTE – 2D-VIIVAKOODI</w:t>
      </w:r>
    </w:p>
    <w:p w14:paraId="586FCD28" w14:textId="77777777" w:rsidR="00532E14" w:rsidRPr="004B2D62" w:rsidRDefault="00532E14" w:rsidP="00532E14">
      <w:pPr>
        <w:tabs>
          <w:tab w:val="left" w:pos="720"/>
        </w:tabs>
        <w:rPr>
          <w:rFonts w:ascii="Times New Roman" w:hAnsi="Times New Roman"/>
          <w:noProof/>
          <w:sz w:val="22"/>
          <w:szCs w:val="22"/>
        </w:rPr>
      </w:pPr>
    </w:p>
    <w:p w14:paraId="586FCD29" w14:textId="77777777" w:rsidR="00532E14" w:rsidRPr="00804D62" w:rsidRDefault="00532E14" w:rsidP="00532E14">
      <w:pPr>
        <w:rPr>
          <w:rFonts w:ascii="Times New Roman" w:hAnsi="Times New Roman"/>
          <w:noProof/>
          <w:sz w:val="22"/>
          <w:szCs w:val="22"/>
          <w:highlight w:val="lightGray"/>
        </w:rPr>
      </w:pPr>
      <w:r w:rsidRPr="00804D62">
        <w:rPr>
          <w:rFonts w:ascii="Times New Roman" w:hAnsi="Times New Roman"/>
          <w:noProof/>
          <w:sz w:val="22"/>
          <w:szCs w:val="22"/>
          <w:shd w:val="pct15" w:color="auto" w:fill="auto"/>
        </w:rPr>
        <w:t>2D-viivakoodi, joka sisältää yksilöllisen tunnisteen.</w:t>
      </w:r>
    </w:p>
    <w:p w14:paraId="586FCD2A" w14:textId="77777777" w:rsidR="00532E14" w:rsidRPr="004B2D62" w:rsidRDefault="00532E14" w:rsidP="00532E14">
      <w:pPr>
        <w:rPr>
          <w:rFonts w:ascii="Times New Roman" w:hAnsi="Times New Roman"/>
          <w:noProof/>
          <w:sz w:val="22"/>
          <w:szCs w:val="22"/>
          <w:shd w:val="clear" w:color="auto" w:fill="CCCCCC"/>
          <w:lang w:eastAsia="fi-FI" w:bidi="fi-FI"/>
        </w:rPr>
      </w:pPr>
    </w:p>
    <w:p w14:paraId="586FCD2B" w14:textId="77777777" w:rsidR="00532E14" w:rsidRPr="004B2D62" w:rsidRDefault="00532E14" w:rsidP="00532E14">
      <w:pPr>
        <w:tabs>
          <w:tab w:val="left" w:pos="720"/>
        </w:tabs>
        <w:rPr>
          <w:rFonts w:ascii="Times New Roman" w:hAnsi="Times New Roman"/>
          <w:noProof/>
          <w:sz w:val="22"/>
          <w:szCs w:val="22"/>
        </w:rPr>
      </w:pPr>
    </w:p>
    <w:p w14:paraId="586FCD2C" w14:textId="77777777" w:rsidR="00532E14" w:rsidRPr="004B2D62" w:rsidRDefault="00532E14" w:rsidP="00532E14">
      <w:pPr>
        <w:keepNext/>
        <w:pBdr>
          <w:top w:val="single" w:sz="4" w:space="1" w:color="auto"/>
          <w:left w:val="single" w:sz="4" w:space="4" w:color="auto"/>
          <w:bottom w:val="single" w:sz="4" w:space="1" w:color="auto"/>
          <w:right w:val="single" w:sz="4" w:space="4" w:color="auto"/>
        </w:pBdr>
        <w:tabs>
          <w:tab w:val="left" w:pos="567"/>
        </w:tabs>
        <w:outlineLvl w:val="0"/>
        <w:rPr>
          <w:rFonts w:ascii="Times New Roman" w:hAnsi="Times New Roman"/>
          <w:i/>
          <w:noProof/>
          <w:sz w:val="22"/>
          <w:szCs w:val="22"/>
        </w:rPr>
      </w:pPr>
      <w:r w:rsidRPr="004B2D62">
        <w:rPr>
          <w:rFonts w:ascii="Times New Roman" w:hAnsi="Times New Roman"/>
          <w:b/>
          <w:noProof/>
          <w:sz w:val="22"/>
          <w:szCs w:val="22"/>
        </w:rPr>
        <w:t>18.</w:t>
      </w:r>
      <w:r w:rsidRPr="004B2D62">
        <w:rPr>
          <w:rFonts w:ascii="Times New Roman" w:hAnsi="Times New Roman"/>
          <w:b/>
          <w:noProof/>
          <w:sz w:val="22"/>
          <w:szCs w:val="22"/>
        </w:rPr>
        <w:tab/>
        <w:t>YKSILÖLLINEN TUNNISTE – LUETTAVISSA OLEVAT TIEDOT</w:t>
      </w:r>
    </w:p>
    <w:p w14:paraId="586FCD2D" w14:textId="77777777" w:rsidR="00532E14" w:rsidRPr="004B2D62" w:rsidRDefault="00532E14" w:rsidP="00532E14">
      <w:pPr>
        <w:tabs>
          <w:tab w:val="left" w:pos="720"/>
        </w:tabs>
        <w:rPr>
          <w:rFonts w:ascii="Times New Roman" w:hAnsi="Times New Roman"/>
          <w:noProof/>
          <w:sz w:val="22"/>
          <w:szCs w:val="22"/>
        </w:rPr>
      </w:pPr>
    </w:p>
    <w:p w14:paraId="586FCD2E" w14:textId="77777777" w:rsidR="00532E14" w:rsidRPr="00A8612B" w:rsidRDefault="00532E14" w:rsidP="00532E14">
      <w:pPr>
        <w:rPr>
          <w:rFonts w:ascii="Times New Roman" w:hAnsi="Times New Roman"/>
          <w:sz w:val="22"/>
          <w:szCs w:val="22"/>
        </w:rPr>
      </w:pPr>
      <w:r w:rsidRPr="001C13A3">
        <w:rPr>
          <w:rFonts w:ascii="Times New Roman" w:hAnsi="Times New Roman"/>
          <w:sz w:val="22"/>
          <w:szCs w:val="22"/>
        </w:rPr>
        <w:t>PC:</w:t>
      </w:r>
    </w:p>
    <w:p w14:paraId="586FCD2F" w14:textId="77777777" w:rsidR="00532E14" w:rsidRPr="004B2D62" w:rsidRDefault="00532E14" w:rsidP="00532E14">
      <w:pPr>
        <w:rPr>
          <w:rFonts w:ascii="Times New Roman" w:hAnsi="Times New Roman"/>
          <w:sz w:val="22"/>
          <w:szCs w:val="22"/>
        </w:rPr>
      </w:pPr>
      <w:r w:rsidRPr="004B2D62">
        <w:rPr>
          <w:rFonts w:ascii="Times New Roman" w:hAnsi="Times New Roman"/>
          <w:sz w:val="22"/>
          <w:szCs w:val="22"/>
        </w:rPr>
        <w:t>SN:</w:t>
      </w:r>
    </w:p>
    <w:p w14:paraId="586FCD30" w14:textId="77777777" w:rsidR="00532E14" w:rsidRPr="004B2D62" w:rsidRDefault="00532E14" w:rsidP="00532E14">
      <w:pPr>
        <w:rPr>
          <w:rFonts w:ascii="Times New Roman" w:hAnsi="Times New Roman"/>
          <w:sz w:val="22"/>
          <w:szCs w:val="22"/>
        </w:rPr>
      </w:pPr>
      <w:r w:rsidRPr="004B2D62">
        <w:rPr>
          <w:rFonts w:ascii="Times New Roman" w:hAnsi="Times New Roman"/>
          <w:sz w:val="22"/>
          <w:szCs w:val="22"/>
        </w:rPr>
        <w:t>NN:</w:t>
      </w:r>
    </w:p>
    <w:p w14:paraId="586FCD31" w14:textId="77777777" w:rsidR="00532E14" w:rsidRPr="004B2D62" w:rsidRDefault="00532E14" w:rsidP="00532E14">
      <w:pPr>
        <w:rPr>
          <w:rFonts w:ascii="Times New Roman" w:hAnsi="Times New Roman"/>
          <w:sz w:val="22"/>
          <w:szCs w:val="22"/>
        </w:rPr>
      </w:pPr>
    </w:p>
    <w:p w14:paraId="586FCD32" w14:textId="77777777" w:rsidR="008F2D51" w:rsidRDefault="008F2D51" w:rsidP="008F2D51">
      <w:pPr>
        <w:suppressAutoHyphens/>
        <w:rPr>
          <w:rFonts w:ascii="Times New Roman" w:hAnsi="Times New Roman"/>
          <w:sz w:val="22"/>
          <w:szCs w:val="22"/>
        </w:rPr>
      </w:pPr>
      <w:r>
        <w:rPr>
          <w:rFonts w:ascii="Times New Roman" w:hAnsi="Times New Roman"/>
          <w:sz w:val="22"/>
          <w:szCs w:val="22"/>
        </w:rPr>
        <w:br w:type="page"/>
      </w:r>
    </w:p>
    <w:p w14:paraId="586FCD33" w14:textId="77777777" w:rsidR="00774A0B" w:rsidRPr="00774A0B" w:rsidRDefault="00774A0B" w:rsidP="00774A0B">
      <w:pPr>
        <w:suppressAutoHyphens/>
        <w:rPr>
          <w:rFonts w:ascii="Times New Roman" w:hAnsi="Times New Roman"/>
          <w:sz w:val="22"/>
          <w:szCs w:val="22"/>
        </w:rPr>
      </w:pPr>
    </w:p>
    <w:p w14:paraId="586FCD34"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Pr>
          <w:rFonts w:ascii="Times New Roman" w:hAnsi="Times New Roman"/>
          <w:b/>
          <w:sz w:val="22"/>
          <w:szCs w:val="22"/>
        </w:rPr>
        <w:t>LÄPIPAINOPAKKAUKSISSA TAI LEVYISSÄ ON OLTAVA VÄHINTÄÄN SEURAAVAT MERKINNÄT</w:t>
      </w:r>
    </w:p>
    <w:p w14:paraId="586FCD35"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rPr>
      </w:pPr>
    </w:p>
    <w:p w14:paraId="586FCD36" w14:textId="77777777" w:rsidR="008F2D51" w:rsidRDefault="008F2D51" w:rsidP="008F2D51">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rPr>
      </w:pPr>
      <w:r>
        <w:rPr>
          <w:rFonts w:ascii="Times New Roman" w:hAnsi="Times New Roman"/>
          <w:b/>
          <w:sz w:val="22"/>
          <w:szCs w:val="22"/>
        </w:rPr>
        <w:t>LÄPIPAINOPAKKAUKSET</w:t>
      </w:r>
    </w:p>
    <w:p w14:paraId="586FCD37" w14:textId="77777777" w:rsidR="008F2D51" w:rsidRDefault="008F2D51" w:rsidP="008F2D51">
      <w:pPr>
        <w:suppressAutoHyphens/>
        <w:rPr>
          <w:rFonts w:ascii="Times New Roman" w:hAnsi="Times New Roman"/>
          <w:sz w:val="22"/>
          <w:szCs w:val="22"/>
        </w:rPr>
      </w:pPr>
    </w:p>
    <w:p w14:paraId="586FCD38" w14:textId="77777777" w:rsidR="008F2D51" w:rsidRDefault="008F2D51" w:rsidP="008F2D51">
      <w:pPr>
        <w:suppressAutoHyphens/>
        <w:rPr>
          <w:rFonts w:ascii="Times New Roman" w:hAnsi="Times New Roman"/>
          <w:sz w:val="22"/>
          <w:szCs w:val="22"/>
        </w:rPr>
      </w:pPr>
    </w:p>
    <w:p w14:paraId="586FCD39"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1.</w:t>
      </w:r>
      <w:r>
        <w:rPr>
          <w:rFonts w:ascii="Times New Roman" w:hAnsi="Times New Roman"/>
          <w:b/>
          <w:sz w:val="22"/>
          <w:szCs w:val="22"/>
        </w:rPr>
        <w:tab/>
        <w:t>LÄÄKEVALMISTEEN NIMI</w:t>
      </w:r>
    </w:p>
    <w:p w14:paraId="586FCD3A" w14:textId="77777777" w:rsidR="008F2D51" w:rsidRDefault="008F2D51" w:rsidP="008F2D51">
      <w:pPr>
        <w:suppressAutoHyphens/>
        <w:rPr>
          <w:rFonts w:ascii="Times New Roman" w:hAnsi="Times New Roman"/>
          <w:sz w:val="22"/>
          <w:szCs w:val="22"/>
        </w:rPr>
      </w:pPr>
    </w:p>
    <w:p w14:paraId="586FCD3B"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Glivec 400 mg tabletti</w:t>
      </w:r>
    </w:p>
    <w:p w14:paraId="586FCD3C" w14:textId="77777777" w:rsidR="008F2D51" w:rsidRDefault="00204569" w:rsidP="008F2D51">
      <w:pPr>
        <w:widowControl w:val="0"/>
        <w:suppressAutoHyphens/>
        <w:rPr>
          <w:rFonts w:ascii="Times New Roman" w:hAnsi="Times New Roman"/>
          <w:sz w:val="22"/>
          <w:szCs w:val="22"/>
        </w:rPr>
      </w:pPr>
      <w:r>
        <w:rPr>
          <w:rFonts w:ascii="Times New Roman" w:hAnsi="Times New Roman"/>
          <w:sz w:val="22"/>
          <w:szCs w:val="22"/>
        </w:rPr>
        <w:t>i</w:t>
      </w:r>
      <w:r w:rsidR="008F2D51">
        <w:rPr>
          <w:rFonts w:ascii="Times New Roman" w:hAnsi="Times New Roman"/>
          <w:sz w:val="22"/>
          <w:szCs w:val="22"/>
        </w:rPr>
        <w:t>matinibi</w:t>
      </w:r>
    </w:p>
    <w:p w14:paraId="586FCD3D" w14:textId="77777777" w:rsidR="008F2D51" w:rsidRDefault="008F2D51" w:rsidP="008F2D51">
      <w:pPr>
        <w:suppressAutoHyphens/>
        <w:rPr>
          <w:rFonts w:ascii="Times New Roman" w:hAnsi="Times New Roman"/>
          <w:sz w:val="22"/>
          <w:szCs w:val="22"/>
        </w:rPr>
      </w:pPr>
    </w:p>
    <w:p w14:paraId="586FCD3E" w14:textId="77777777" w:rsidR="008F2D51" w:rsidRDefault="008F2D51" w:rsidP="008F2D51">
      <w:pPr>
        <w:suppressAutoHyphens/>
        <w:rPr>
          <w:rFonts w:ascii="Times New Roman" w:hAnsi="Times New Roman"/>
          <w:sz w:val="22"/>
          <w:szCs w:val="22"/>
        </w:rPr>
      </w:pPr>
    </w:p>
    <w:p w14:paraId="586FCD3F"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2.</w:t>
      </w:r>
      <w:r>
        <w:rPr>
          <w:rFonts w:ascii="Times New Roman" w:hAnsi="Times New Roman"/>
          <w:b/>
          <w:sz w:val="22"/>
          <w:szCs w:val="22"/>
        </w:rPr>
        <w:tab/>
        <w:t>MYYNTILUVAN HALTIJAN NIMI</w:t>
      </w:r>
    </w:p>
    <w:p w14:paraId="586FCD40" w14:textId="77777777" w:rsidR="008F2D51" w:rsidRDefault="008F2D51" w:rsidP="008F2D51">
      <w:pPr>
        <w:suppressAutoHyphens/>
        <w:rPr>
          <w:rFonts w:ascii="Times New Roman" w:hAnsi="Times New Roman"/>
          <w:sz w:val="22"/>
          <w:szCs w:val="22"/>
        </w:rPr>
      </w:pPr>
    </w:p>
    <w:p w14:paraId="586FCD41" w14:textId="77777777" w:rsidR="008F2D51" w:rsidRDefault="008F2D51" w:rsidP="008F2D51">
      <w:pPr>
        <w:widowControl w:val="0"/>
        <w:rPr>
          <w:rFonts w:ascii="Times New Roman" w:hAnsi="Times New Roman"/>
          <w:sz w:val="22"/>
          <w:szCs w:val="22"/>
        </w:rPr>
      </w:pPr>
      <w:r>
        <w:rPr>
          <w:rFonts w:ascii="Times New Roman" w:hAnsi="Times New Roman"/>
          <w:sz w:val="22"/>
          <w:szCs w:val="22"/>
        </w:rPr>
        <w:t>Novartis Europharm Limited</w:t>
      </w:r>
    </w:p>
    <w:p w14:paraId="586FCD42" w14:textId="77777777" w:rsidR="008F2D51" w:rsidRDefault="008F2D51" w:rsidP="008F2D51">
      <w:pPr>
        <w:suppressAutoHyphens/>
        <w:rPr>
          <w:rFonts w:ascii="Times New Roman" w:hAnsi="Times New Roman"/>
          <w:sz w:val="22"/>
          <w:szCs w:val="22"/>
        </w:rPr>
      </w:pPr>
    </w:p>
    <w:p w14:paraId="586FCD43" w14:textId="77777777" w:rsidR="008F2D51" w:rsidRDefault="008F2D51" w:rsidP="008F2D51">
      <w:pPr>
        <w:suppressAutoHyphens/>
        <w:rPr>
          <w:rFonts w:ascii="Times New Roman" w:hAnsi="Times New Roman"/>
          <w:sz w:val="22"/>
          <w:szCs w:val="22"/>
        </w:rPr>
      </w:pPr>
    </w:p>
    <w:p w14:paraId="586FCD44"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3.</w:t>
      </w:r>
      <w:r>
        <w:rPr>
          <w:rFonts w:ascii="Times New Roman" w:hAnsi="Times New Roman"/>
          <w:b/>
          <w:sz w:val="22"/>
          <w:szCs w:val="22"/>
        </w:rPr>
        <w:tab/>
        <w:t>VIIMEINEN KÄYTTÖPÄIVÄMÄÄRÄ</w:t>
      </w:r>
    </w:p>
    <w:p w14:paraId="586FCD45" w14:textId="77777777" w:rsidR="008F2D51" w:rsidRDefault="008F2D51" w:rsidP="008F2D51">
      <w:pPr>
        <w:suppressAutoHyphens/>
        <w:rPr>
          <w:rFonts w:ascii="Times New Roman" w:hAnsi="Times New Roman"/>
          <w:sz w:val="22"/>
          <w:szCs w:val="22"/>
        </w:rPr>
      </w:pPr>
    </w:p>
    <w:p w14:paraId="586FCD46"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EXP</w:t>
      </w:r>
    </w:p>
    <w:p w14:paraId="586FCD47" w14:textId="77777777" w:rsidR="008F2D51" w:rsidRDefault="008F2D51" w:rsidP="008F2D51">
      <w:pPr>
        <w:suppressAutoHyphens/>
        <w:rPr>
          <w:rFonts w:ascii="Times New Roman" w:hAnsi="Times New Roman"/>
          <w:sz w:val="22"/>
          <w:szCs w:val="22"/>
        </w:rPr>
      </w:pPr>
    </w:p>
    <w:p w14:paraId="586FCD48" w14:textId="77777777" w:rsidR="008F2D51" w:rsidRDefault="008F2D51" w:rsidP="008F2D51">
      <w:pPr>
        <w:suppressAutoHyphens/>
        <w:rPr>
          <w:rFonts w:ascii="Times New Roman" w:hAnsi="Times New Roman"/>
          <w:sz w:val="22"/>
          <w:szCs w:val="22"/>
        </w:rPr>
      </w:pPr>
    </w:p>
    <w:p w14:paraId="586FCD49" w14:textId="77777777" w:rsidR="008F2D51" w:rsidRDefault="008F2D51" w:rsidP="008F2D51">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rPr>
      </w:pPr>
      <w:r>
        <w:rPr>
          <w:rFonts w:ascii="Times New Roman" w:hAnsi="Times New Roman"/>
          <w:b/>
          <w:sz w:val="22"/>
          <w:szCs w:val="22"/>
        </w:rPr>
        <w:t>4.</w:t>
      </w:r>
      <w:r>
        <w:rPr>
          <w:rFonts w:ascii="Times New Roman" w:hAnsi="Times New Roman"/>
          <w:b/>
          <w:sz w:val="22"/>
          <w:szCs w:val="22"/>
        </w:rPr>
        <w:tab/>
        <w:t>ERÄNUMERO</w:t>
      </w:r>
    </w:p>
    <w:p w14:paraId="586FCD4A" w14:textId="77777777" w:rsidR="008F2D51" w:rsidRDefault="008F2D51" w:rsidP="008F2D51">
      <w:pPr>
        <w:suppressAutoHyphens/>
        <w:rPr>
          <w:rFonts w:ascii="Times New Roman" w:hAnsi="Times New Roman"/>
          <w:sz w:val="22"/>
          <w:szCs w:val="22"/>
        </w:rPr>
      </w:pPr>
    </w:p>
    <w:p w14:paraId="586FCD4B"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t>Lot</w:t>
      </w:r>
    </w:p>
    <w:p w14:paraId="586FCD4C" w14:textId="77777777" w:rsidR="008F2D51" w:rsidRDefault="008F2D51" w:rsidP="008F2D51">
      <w:pPr>
        <w:rPr>
          <w:rFonts w:ascii="Times New Roman" w:hAnsi="Times New Roman"/>
          <w:sz w:val="22"/>
          <w:szCs w:val="22"/>
        </w:rPr>
      </w:pPr>
    </w:p>
    <w:p w14:paraId="586FCD4D" w14:textId="77777777" w:rsidR="008F2D51" w:rsidRDefault="008F2D51" w:rsidP="008F2D51">
      <w:pPr>
        <w:rPr>
          <w:rFonts w:ascii="Times New Roman" w:hAnsi="Times New Roman"/>
          <w:sz w:val="22"/>
          <w:szCs w:val="22"/>
        </w:rPr>
      </w:pPr>
    </w:p>
    <w:p w14:paraId="586FCD4E" w14:textId="77777777" w:rsidR="008F2D51" w:rsidRDefault="008F2D51" w:rsidP="008F2D51">
      <w:pPr>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rPr>
      </w:pPr>
      <w:r>
        <w:rPr>
          <w:rFonts w:ascii="Times New Roman" w:hAnsi="Times New Roman"/>
          <w:b/>
          <w:noProof/>
          <w:sz w:val="22"/>
          <w:szCs w:val="22"/>
        </w:rPr>
        <w:t>5.</w:t>
      </w:r>
      <w:r>
        <w:rPr>
          <w:rFonts w:ascii="Times New Roman" w:hAnsi="Times New Roman"/>
          <w:b/>
          <w:noProof/>
          <w:sz w:val="22"/>
          <w:szCs w:val="22"/>
        </w:rPr>
        <w:tab/>
        <w:t>MUUTA</w:t>
      </w:r>
    </w:p>
    <w:p w14:paraId="586FCD4F" w14:textId="77777777" w:rsidR="008F2D51" w:rsidRDefault="008F2D51" w:rsidP="008F2D51">
      <w:pPr>
        <w:widowControl w:val="0"/>
        <w:suppressAutoHyphens/>
        <w:rPr>
          <w:rFonts w:ascii="Times New Roman" w:hAnsi="Times New Roman"/>
          <w:sz w:val="22"/>
          <w:szCs w:val="22"/>
        </w:rPr>
      </w:pPr>
    </w:p>
    <w:p w14:paraId="586FCD50" w14:textId="77777777" w:rsidR="008F2D51" w:rsidRDefault="008F2D51" w:rsidP="008F2D51">
      <w:pPr>
        <w:widowControl w:val="0"/>
        <w:suppressAutoHyphens/>
        <w:rPr>
          <w:rFonts w:ascii="Times New Roman" w:hAnsi="Times New Roman"/>
          <w:sz w:val="22"/>
          <w:szCs w:val="22"/>
        </w:rPr>
      </w:pPr>
      <w:r>
        <w:rPr>
          <w:rFonts w:ascii="Times New Roman" w:hAnsi="Times New Roman"/>
          <w:sz w:val="22"/>
          <w:szCs w:val="22"/>
        </w:rPr>
        <w:br w:type="page"/>
      </w:r>
    </w:p>
    <w:p w14:paraId="586FCD51" w14:textId="77777777" w:rsidR="008F2D51" w:rsidRDefault="008F2D51" w:rsidP="008F2D51">
      <w:pPr>
        <w:widowControl w:val="0"/>
        <w:rPr>
          <w:rFonts w:ascii="Times New Roman" w:hAnsi="Times New Roman"/>
          <w:sz w:val="22"/>
          <w:szCs w:val="22"/>
        </w:rPr>
      </w:pPr>
    </w:p>
    <w:p w14:paraId="586FCD52" w14:textId="77777777" w:rsidR="008F2D51" w:rsidRDefault="008F2D51" w:rsidP="008F2D51">
      <w:pPr>
        <w:widowControl w:val="0"/>
        <w:rPr>
          <w:rFonts w:ascii="Times New Roman" w:hAnsi="Times New Roman"/>
          <w:sz w:val="22"/>
          <w:szCs w:val="22"/>
        </w:rPr>
      </w:pPr>
    </w:p>
    <w:p w14:paraId="586FCD53" w14:textId="77777777" w:rsidR="008F2D51" w:rsidRDefault="008F2D51" w:rsidP="008F2D51">
      <w:pPr>
        <w:widowControl w:val="0"/>
        <w:rPr>
          <w:rFonts w:ascii="Times New Roman" w:hAnsi="Times New Roman"/>
          <w:sz w:val="22"/>
          <w:szCs w:val="22"/>
        </w:rPr>
      </w:pPr>
    </w:p>
    <w:p w14:paraId="586FCD54" w14:textId="77777777" w:rsidR="008F2D51" w:rsidRDefault="008F2D51" w:rsidP="008F2D51">
      <w:pPr>
        <w:widowControl w:val="0"/>
        <w:rPr>
          <w:rFonts w:ascii="Times New Roman" w:hAnsi="Times New Roman"/>
          <w:sz w:val="22"/>
          <w:szCs w:val="22"/>
        </w:rPr>
      </w:pPr>
    </w:p>
    <w:p w14:paraId="586FCD55" w14:textId="77777777" w:rsidR="008F2D51" w:rsidRDefault="008F2D51" w:rsidP="008F2D51">
      <w:pPr>
        <w:widowControl w:val="0"/>
        <w:rPr>
          <w:rFonts w:ascii="Times New Roman" w:hAnsi="Times New Roman"/>
          <w:sz w:val="22"/>
          <w:szCs w:val="22"/>
        </w:rPr>
      </w:pPr>
    </w:p>
    <w:p w14:paraId="586FCD56" w14:textId="77777777" w:rsidR="008F2D51" w:rsidRDefault="008F2D51" w:rsidP="008F2D51">
      <w:pPr>
        <w:widowControl w:val="0"/>
        <w:rPr>
          <w:rFonts w:ascii="Times New Roman" w:hAnsi="Times New Roman"/>
          <w:sz w:val="22"/>
          <w:szCs w:val="22"/>
        </w:rPr>
      </w:pPr>
    </w:p>
    <w:p w14:paraId="586FCD57" w14:textId="77777777" w:rsidR="008F2D51" w:rsidRDefault="008F2D51" w:rsidP="008F2D51">
      <w:pPr>
        <w:widowControl w:val="0"/>
        <w:rPr>
          <w:rFonts w:ascii="Times New Roman" w:hAnsi="Times New Roman"/>
          <w:sz w:val="22"/>
          <w:szCs w:val="22"/>
        </w:rPr>
      </w:pPr>
    </w:p>
    <w:p w14:paraId="586FCD58" w14:textId="77777777" w:rsidR="008F2D51" w:rsidRDefault="008F2D51" w:rsidP="008F2D51">
      <w:pPr>
        <w:widowControl w:val="0"/>
        <w:rPr>
          <w:rFonts w:ascii="Times New Roman" w:hAnsi="Times New Roman"/>
          <w:sz w:val="22"/>
          <w:szCs w:val="22"/>
        </w:rPr>
      </w:pPr>
    </w:p>
    <w:p w14:paraId="586FCD59" w14:textId="77777777" w:rsidR="008F2D51" w:rsidRDefault="008F2D51" w:rsidP="008F2D51">
      <w:pPr>
        <w:widowControl w:val="0"/>
        <w:rPr>
          <w:rFonts w:ascii="Times New Roman" w:hAnsi="Times New Roman"/>
          <w:sz w:val="22"/>
          <w:szCs w:val="22"/>
        </w:rPr>
      </w:pPr>
    </w:p>
    <w:p w14:paraId="586FCD5A" w14:textId="77777777" w:rsidR="008F2D51" w:rsidRDefault="008F2D51" w:rsidP="008F2D51">
      <w:pPr>
        <w:widowControl w:val="0"/>
        <w:rPr>
          <w:rFonts w:ascii="Times New Roman" w:hAnsi="Times New Roman"/>
          <w:sz w:val="22"/>
          <w:szCs w:val="22"/>
        </w:rPr>
      </w:pPr>
    </w:p>
    <w:p w14:paraId="586FCD5B" w14:textId="77777777" w:rsidR="008F2D51" w:rsidRDefault="008F2D51" w:rsidP="008F2D51">
      <w:pPr>
        <w:widowControl w:val="0"/>
        <w:rPr>
          <w:rFonts w:ascii="Times New Roman" w:hAnsi="Times New Roman"/>
          <w:sz w:val="22"/>
          <w:szCs w:val="22"/>
        </w:rPr>
      </w:pPr>
    </w:p>
    <w:p w14:paraId="586FCD5C" w14:textId="77777777" w:rsidR="008F2D51" w:rsidRDefault="008F2D51" w:rsidP="008F2D51">
      <w:pPr>
        <w:widowControl w:val="0"/>
        <w:rPr>
          <w:rFonts w:ascii="Times New Roman" w:hAnsi="Times New Roman"/>
          <w:sz w:val="22"/>
          <w:szCs w:val="22"/>
        </w:rPr>
      </w:pPr>
    </w:p>
    <w:p w14:paraId="586FCD5D" w14:textId="77777777" w:rsidR="008F2D51" w:rsidRDefault="008F2D51" w:rsidP="008F2D51">
      <w:pPr>
        <w:widowControl w:val="0"/>
        <w:rPr>
          <w:rFonts w:ascii="Times New Roman" w:hAnsi="Times New Roman"/>
          <w:sz w:val="22"/>
          <w:szCs w:val="22"/>
        </w:rPr>
      </w:pPr>
    </w:p>
    <w:p w14:paraId="586FCD5E" w14:textId="77777777" w:rsidR="008F2D51" w:rsidRDefault="008F2D51" w:rsidP="008F2D51">
      <w:pPr>
        <w:widowControl w:val="0"/>
        <w:rPr>
          <w:rFonts w:ascii="Times New Roman" w:hAnsi="Times New Roman"/>
          <w:sz w:val="22"/>
          <w:szCs w:val="22"/>
        </w:rPr>
      </w:pPr>
    </w:p>
    <w:p w14:paraId="586FCD5F" w14:textId="77777777" w:rsidR="008F2D51" w:rsidRDefault="008F2D51" w:rsidP="008F2D51">
      <w:pPr>
        <w:widowControl w:val="0"/>
        <w:rPr>
          <w:rFonts w:ascii="Times New Roman" w:hAnsi="Times New Roman"/>
          <w:sz w:val="22"/>
          <w:szCs w:val="22"/>
        </w:rPr>
      </w:pPr>
    </w:p>
    <w:p w14:paraId="586FCD60" w14:textId="77777777" w:rsidR="008F2D51" w:rsidRDefault="008F2D51" w:rsidP="008F2D51">
      <w:pPr>
        <w:widowControl w:val="0"/>
        <w:rPr>
          <w:rFonts w:ascii="Times New Roman" w:hAnsi="Times New Roman"/>
          <w:sz w:val="22"/>
          <w:szCs w:val="22"/>
        </w:rPr>
      </w:pPr>
    </w:p>
    <w:p w14:paraId="586FCD61" w14:textId="77777777" w:rsidR="008F2D51" w:rsidRDefault="008F2D51" w:rsidP="008F2D51">
      <w:pPr>
        <w:widowControl w:val="0"/>
        <w:rPr>
          <w:rFonts w:ascii="Times New Roman" w:hAnsi="Times New Roman"/>
          <w:sz w:val="22"/>
          <w:szCs w:val="22"/>
        </w:rPr>
      </w:pPr>
    </w:p>
    <w:p w14:paraId="586FCD62" w14:textId="77777777" w:rsidR="008F2D51" w:rsidRDefault="008F2D51" w:rsidP="008F2D51">
      <w:pPr>
        <w:widowControl w:val="0"/>
        <w:rPr>
          <w:rFonts w:ascii="Times New Roman" w:hAnsi="Times New Roman"/>
          <w:sz w:val="22"/>
          <w:szCs w:val="22"/>
        </w:rPr>
      </w:pPr>
    </w:p>
    <w:p w14:paraId="586FCD63" w14:textId="77777777" w:rsidR="008F2D51" w:rsidRDefault="008F2D51" w:rsidP="008F2D51">
      <w:pPr>
        <w:widowControl w:val="0"/>
        <w:rPr>
          <w:rFonts w:ascii="Times New Roman" w:hAnsi="Times New Roman"/>
          <w:sz w:val="22"/>
          <w:szCs w:val="22"/>
        </w:rPr>
      </w:pPr>
    </w:p>
    <w:p w14:paraId="586FCD64" w14:textId="77777777" w:rsidR="008F2D51" w:rsidRDefault="008F2D51" w:rsidP="008F2D51">
      <w:pPr>
        <w:widowControl w:val="0"/>
        <w:rPr>
          <w:rFonts w:ascii="Times New Roman" w:hAnsi="Times New Roman"/>
          <w:sz w:val="22"/>
          <w:szCs w:val="22"/>
        </w:rPr>
      </w:pPr>
    </w:p>
    <w:p w14:paraId="586FCD65" w14:textId="77777777" w:rsidR="008F2D51" w:rsidRDefault="008F2D51" w:rsidP="008F2D51">
      <w:pPr>
        <w:widowControl w:val="0"/>
        <w:rPr>
          <w:rFonts w:ascii="Times New Roman" w:hAnsi="Times New Roman"/>
          <w:sz w:val="22"/>
          <w:szCs w:val="22"/>
        </w:rPr>
      </w:pPr>
    </w:p>
    <w:p w14:paraId="586FCD66" w14:textId="77777777" w:rsidR="008F2D51" w:rsidRDefault="008F2D51" w:rsidP="008F2D51">
      <w:pPr>
        <w:widowControl w:val="0"/>
        <w:rPr>
          <w:rFonts w:ascii="Times New Roman" w:hAnsi="Times New Roman"/>
          <w:sz w:val="22"/>
          <w:szCs w:val="22"/>
        </w:rPr>
      </w:pPr>
    </w:p>
    <w:p w14:paraId="586FCD67" w14:textId="77777777" w:rsidR="00774A0B" w:rsidRDefault="00774A0B" w:rsidP="008F2D51">
      <w:pPr>
        <w:widowControl w:val="0"/>
        <w:rPr>
          <w:rFonts w:ascii="Times New Roman" w:hAnsi="Times New Roman"/>
          <w:sz w:val="22"/>
          <w:szCs w:val="22"/>
        </w:rPr>
      </w:pPr>
    </w:p>
    <w:p w14:paraId="586FCD68" w14:textId="77777777" w:rsidR="008F2D51" w:rsidRDefault="008F2D51" w:rsidP="00D24646">
      <w:pPr>
        <w:widowControl w:val="0"/>
        <w:tabs>
          <w:tab w:val="left" w:pos="2410"/>
        </w:tabs>
        <w:jc w:val="center"/>
        <w:rPr>
          <w:rFonts w:ascii="Times New Roman" w:hAnsi="Times New Roman"/>
          <w:sz w:val="22"/>
          <w:szCs w:val="22"/>
        </w:rPr>
      </w:pPr>
      <w:r>
        <w:rPr>
          <w:rFonts w:ascii="Times New Roman" w:hAnsi="Times New Roman"/>
          <w:b/>
          <w:sz w:val="22"/>
          <w:szCs w:val="22"/>
        </w:rPr>
        <w:t>B. PAKKAUSSELOSTE</w:t>
      </w:r>
    </w:p>
    <w:p w14:paraId="586FCEF4" w14:textId="77777777" w:rsidR="008F2D51" w:rsidRDefault="008F2D51" w:rsidP="008F2D51">
      <w:pPr>
        <w:widowControl w:val="0"/>
        <w:jc w:val="center"/>
        <w:rPr>
          <w:rFonts w:ascii="Times New Roman" w:hAnsi="Times New Roman"/>
          <w:sz w:val="22"/>
          <w:szCs w:val="22"/>
        </w:rPr>
      </w:pPr>
      <w:r>
        <w:rPr>
          <w:rFonts w:ascii="Times New Roman" w:hAnsi="Times New Roman"/>
          <w:sz w:val="22"/>
          <w:szCs w:val="22"/>
        </w:rPr>
        <w:br w:type="page"/>
      </w:r>
      <w:r>
        <w:rPr>
          <w:rFonts w:ascii="Times New Roman" w:hAnsi="Times New Roman"/>
          <w:b/>
          <w:sz w:val="22"/>
          <w:szCs w:val="22"/>
        </w:rPr>
        <w:lastRenderedPageBreak/>
        <w:t>P</w:t>
      </w:r>
      <w:r w:rsidR="003528FD">
        <w:rPr>
          <w:rFonts w:ascii="Times New Roman" w:hAnsi="Times New Roman"/>
          <w:b/>
          <w:sz w:val="22"/>
          <w:szCs w:val="22"/>
        </w:rPr>
        <w:t>akkausseloste: Tietoa käyttäjälle</w:t>
      </w:r>
    </w:p>
    <w:p w14:paraId="586FCEF5" w14:textId="77777777" w:rsidR="008F2D51" w:rsidRDefault="008F2D51" w:rsidP="008F2D51">
      <w:pPr>
        <w:widowControl w:val="0"/>
        <w:rPr>
          <w:rFonts w:ascii="Times New Roman" w:hAnsi="Times New Roman"/>
          <w:sz w:val="22"/>
          <w:szCs w:val="22"/>
        </w:rPr>
      </w:pPr>
    </w:p>
    <w:p w14:paraId="586FCEF6" w14:textId="77777777" w:rsidR="008F2D51" w:rsidRDefault="008F2D51" w:rsidP="008F2D51">
      <w:pPr>
        <w:widowControl w:val="0"/>
        <w:jc w:val="center"/>
        <w:rPr>
          <w:rFonts w:ascii="Times New Roman" w:hAnsi="Times New Roman"/>
          <w:b/>
          <w:sz w:val="22"/>
          <w:szCs w:val="22"/>
        </w:rPr>
      </w:pPr>
      <w:r>
        <w:rPr>
          <w:rFonts w:ascii="Times New Roman" w:hAnsi="Times New Roman"/>
          <w:b/>
          <w:sz w:val="22"/>
          <w:szCs w:val="22"/>
        </w:rPr>
        <w:t>Glivec 100 mg kovat kapselit</w:t>
      </w:r>
    </w:p>
    <w:p w14:paraId="586FCEF7" w14:textId="77777777" w:rsidR="008F2D51" w:rsidRDefault="003528FD" w:rsidP="008F2D51">
      <w:pPr>
        <w:widowControl w:val="0"/>
        <w:jc w:val="center"/>
        <w:rPr>
          <w:rFonts w:ascii="Times New Roman" w:hAnsi="Times New Roman"/>
          <w:sz w:val="22"/>
          <w:szCs w:val="22"/>
        </w:rPr>
      </w:pPr>
      <w:r>
        <w:rPr>
          <w:rFonts w:ascii="Times New Roman" w:hAnsi="Times New Roman"/>
          <w:sz w:val="22"/>
          <w:szCs w:val="22"/>
        </w:rPr>
        <w:t>i</w:t>
      </w:r>
      <w:r w:rsidR="008F2D51">
        <w:rPr>
          <w:rFonts w:ascii="Times New Roman" w:hAnsi="Times New Roman"/>
          <w:sz w:val="22"/>
          <w:szCs w:val="22"/>
        </w:rPr>
        <w:t>matinibi</w:t>
      </w:r>
    </w:p>
    <w:p w14:paraId="586FCEF8" w14:textId="77777777" w:rsidR="008F2D51" w:rsidRDefault="008F2D51" w:rsidP="008F2D51">
      <w:pPr>
        <w:widowControl w:val="0"/>
        <w:jc w:val="center"/>
        <w:rPr>
          <w:rFonts w:ascii="Times New Roman" w:hAnsi="Times New Roman"/>
          <w:sz w:val="22"/>
          <w:szCs w:val="22"/>
        </w:rPr>
      </w:pPr>
    </w:p>
    <w:p w14:paraId="586FCEF9" w14:textId="77777777" w:rsidR="00052289" w:rsidRPr="00CD3600" w:rsidRDefault="00CC29DC" w:rsidP="00052289">
      <w:pPr>
        <w:numPr>
          <w:ilvl w:val="12"/>
          <w:numId w:val="0"/>
        </w:numPr>
        <w:ind w:right="-2"/>
        <w:rPr>
          <w:rFonts w:ascii="Times New Roman" w:hAnsi="Times New Roman"/>
          <w:color w:val="auto"/>
          <w:sz w:val="22"/>
          <w:szCs w:val="22"/>
          <w:lang w:eastAsia="fr-LU"/>
        </w:rPr>
      </w:pPr>
      <w:r w:rsidRPr="00CD3600">
        <w:rPr>
          <w:rFonts w:ascii="Times New Roman" w:hAnsi="Times New Roman"/>
          <w:noProof/>
          <w:color w:val="auto"/>
          <w:sz w:val="20"/>
          <w:lang w:val="en-US"/>
        </w:rPr>
        <w:drawing>
          <wp:inline distT="0" distB="0" distL="0" distR="0" wp14:anchorId="586FD3CC" wp14:editId="586FD3CD">
            <wp:extent cx="198755" cy="174625"/>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052289" w:rsidRPr="00CD3600">
        <w:rPr>
          <w:rFonts w:ascii="Times New Roman" w:hAnsi="Times New Roman"/>
          <w:color w:val="auto"/>
          <w:sz w:val="22"/>
          <w:szCs w:val="22"/>
          <w:lang w:eastAsia="fr-LU"/>
        </w:rPr>
        <w:t>Tähän lääkkeeseen kohdistuu lisäseuranta. Tällä tavalla voidaan havaita nopeasti uutta turvallisuutta koskevaa tietoa. Voit auttaa ilmoittamalla kaikista mahdollisesti saamistasi haittavaikutuksista. Ks. kohdan 4 lopusta, miten haittavaikutuksista ilmoitetaan.</w:t>
      </w:r>
    </w:p>
    <w:p w14:paraId="586FCEFA" w14:textId="77777777" w:rsidR="008F2D51" w:rsidRDefault="008F2D51" w:rsidP="00AD3C39">
      <w:pPr>
        <w:widowControl w:val="0"/>
        <w:rPr>
          <w:rFonts w:ascii="Times New Roman" w:hAnsi="Times New Roman"/>
          <w:sz w:val="22"/>
          <w:szCs w:val="22"/>
        </w:rPr>
      </w:pPr>
    </w:p>
    <w:p w14:paraId="586FCEFB" w14:textId="77777777" w:rsidR="0076444C" w:rsidRDefault="0076444C" w:rsidP="0076444C">
      <w:pPr>
        <w:widowControl w:val="0"/>
        <w:ind w:right="-2"/>
        <w:rPr>
          <w:rFonts w:ascii="Times New Roman" w:hAnsi="Times New Roman"/>
          <w:sz w:val="22"/>
          <w:szCs w:val="22"/>
        </w:rPr>
      </w:pPr>
      <w:r>
        <w:rPr>
          <w:rFonts w:ascii="Times New Roman" w:hAnsi="Times New Roman"/>
          <w:b/>
          <w:sz w:val="22"/>
          <w:szCs w:val="22"/>
        </w:rPr>
        <w:t xml:space="preserve">Lue tämä pakkausseloste huolellisesti ennen kuin aloitat lääkkeen käyttämisen, </w:t>
      </w:r>
      <w:r>
        <w:rPr>
          <w:rFonts w:ascii="Times New Roman" w:hAnsi="Times New Roman"/>
          <w:b/>
          <w:snapToGrid w:val="0"/>
          <w:sz w:val="22"/>
          <w:szCs w:val="24"/>
        </w:rPr>
        <w:t>sillä se sisältää sinulle tärkeitä tietoja</w:t>
      </w:r>
      <w:r>
        <w:rPr>
          <w:rFonts w:ascii="Times New Roman" w:hAnsi="Times New Roman"/>
          <w:b/>
          <w:sz w:val="22"/>
          <w:szCs w:val="22"/>
        </w:rPr>
        <w:t>.</w:t>
      </w:r>
    </w:p>
    <w:p w14:paraId="586FCEFC" w14:textId="77777777" w:rsidR="0076444C" w:rsidRDefault="0076444C" w:rsidP="0076444C">
      <w:pPr>
        <w:widowControl w:val="0"/>
        <w:numPr>
          <w:ilvl w:val="0"/>
          <w:numId w:val="8"/>
        </w:numPr>
        <w:tabs>
          <w:tab w:val="clear" w:pos="927"/>
        </w:tabs>
        <w:ind w:left="567" w:right="-2" w:hanging="567"/>
        <w:rPr>
          <w:rFonts w:ascii="Times New Roman" w:hAnsi="Times New Roman"/>
          <w:sz w:val="22"/>
          <w:szCs w:val="22"/>
        </w:rPr>
      </w:pPr>
      <w:r>
        <w:rPr>
          <w:rFonts w:ascii="Times New Roman" w:hAnsi="Times New Roman"/>
          <w:sz w:val="22"/>
          <w:szCs w:val="22"/>
        </w:rPr>
        <w:t>Säilytä tämä pakkausseloste. Voit tarvita sitä myöhemmin.</w:t>
      </w:r>
    </w:p>
    <w:p w14:paraId="586FCEFD" w14:textId="77777777" w:rsidR="0076444C" w:rsidRDefault="0076444C" w:rsidP="0076444C">
      <w:pPr>
        <w:widowControl w:val="0"/>
        <w:numPr>
          <w:ilvl w:val="0"/>
          <w:numId w:val="8"/>
        </w:numPr>
        <w:tabs>
          <w:tab w:val="clear" w:pos="927"/>
        </w:tabs>
        <w:ind w:left="567" w:right="-2" w:hanging="567"/>
        <w:rPr>
          <w:rFonts w:ascii="Times New Roman" w:hAnsi="Times New Roman"/>
          <w:sz w:val="22"/>
          <w:szCs w:val="22"/>
        </w:rPr>
      </w:pPr>
      <w:r>
        <w:rPr>
          <w:rFonts w:ascii="Times New Roman" w:hAnsi="Times New Roman"/>
          <w:sz w:val="22"/>
          <w:szCs w:val="22"/>
        </w:rPr>
        <w:t>Jos sinulla on kysyttävää, käänny lääkärin, apteekkihenkilökunnan tai sairaanhoitajan puoleen.</w:t>
      </w:r>
    </w:p>
    <w:p w14:paraId="586FCEFE" w14:textId="77777777" w:rsidR="0076444C" w:rsidRDefault="0076444C" w:rsidP="0076444C">
      <w:pPr>
        <w:widowControl w:val="0"/>
        <w:numPr>
          <w:ilvl w:val="0"/>
          <w:numId w:val="8"/>
        </w:numPr>
        <w:tabs>
          <w:tab w:val="clear" w:pos="927"/>
        </w:tabs>
        <w:ind w:left="567" w:right="-2" w:hanging="567"/>
        <w:rPr>
          <w:rFonts w:ascii="Times New Roman" w:hAnsi="Times New Roman"/>
          <w:sz w:val="22"/>
          <w:szCs w:val="22"/>
        </w:rPr>
      </w:pPr>
      <w:r>
        <w:rPr>
          <w:rFonts w:ascii="Times New Roman" w:hAnsi="Times New Roman"/>
          <w:sz w:val="22"/>
          <w:szCs w:val="22"/>
        </w:rPr>
        <w:t xml:space="preserve">Tämä lääke on määrätty vain sinulle eikä sitä tule antaa muiden käyttöön. </w:t>
      </w:r>
      <w:r>
        <w:rPr>
          <w:rFonts w:ascii="Times New Roman" w:hAnsi="Times New Roman"/>
          <w:noProof/>
          <w:sz w:val="22"/>
          <w:szCs w:val="22"/>
        </w:rPr>
        <w:t>Se voi aiheuttaa haittaa muille, vaikka heillä olisikin samanlaiset oireet kuin sinulla</w:t>
      </w:r>
      <w:r>
        <w:rPr>
          <w:rFonts w:ascii="Times New Roman" w:hAnsi="Times New Roman"/>
          <w:sz w:val="22"/>
          <w:szCs w:val="22"/>
        </w:rPr>
        <w:t>.</w:t>
      </w:r>
    </w:p>
    <w:p w14:paraId="586FCEFF" w14:textId="77777777" w:rsidR="0076444C" w:rsidRDefault="0076444C" w:rsidP="0076444C">
      <w:pPr>
        <w:widowControl w:val="0"/>
        <w:numPr>
          <w:ilvl w:val="0"/>
          <w:numId w:val="8"/>
        </w:numPr>
        <w:tabs>
          <w:tab w:val="clear" w:pos="927"/>
        </w:tabs>
        <w:ind w:left="567" w:right="-2" w:hanging="567"/>
        <w:rPr>
          <w:rFonts w:ascii="Times New Roman" w:hAnsi="Times New Roman"/>
          <w:sz w:val="22"/>
          <w:szCs w:val="22"/>
        </w:rPr>
      </w:pPr>
      <w:r>
        <w:rPr>
          <w:rFonts w:ascii="Times New Roman" w:hAnsi="Times New Roman"/>
          <w:noProof/>
          <w:sz w:val="22"/>
          <w:szCs w:val="22"/>
        </w:rPr>
        <w:t>Jos havaitset haittavaikutuksia</w:t>
      </w:r>
      <w:r w:rsidR="00D31F9E">
        <w:rPr>
          <w:rFonts w:ascii="Times New Roman" w:hAnsi="Times New Roman"/>
          <w:noProof/>
          <w:sz w:val="22"/>
          <w:szCs w:val="22"/>
        </w:rPr>
        <w:t>,</w:t>
      </w:r>
      <w:r>
        <w:rPr>
          <w:rFonts w:ascii="Times New Roman" w:hAnsi="Times New Roman"/>
          <w:noProof/>
          <w:sz w:val="22"/>
          <w:szCs w:val="22"/>
        </w:rPr>
        <w:t xml:space="preserve"> käänny lääkärin, apteekkihenkilökunnan tai sairaanhoitajan puoleen</w:t>
      </w:r>
      <w:r>
        <w:rPr>
          <w:rFonts w:ascii="Times New Roman" w:hAnsi="Times New Roman"/>
          <w:sz w:val="22"/>
          <w:szCs w:val="22"/>
        </w:rPr>
        <w:t>.</w:t>
      </w:r>
      <w:r w:rsidR="008E4D4C" w:rsidRPr="008E4D4C">
        <w:rPr>
          <w:rFonts w:ascii="Times New Roman" w:hAnsi="Times New Roman"/>
          <w:noProof/>
          <w:sz w:val="22"/>
          <w:szCs w:val="22"/>
        </w:rPr>
        <w:t xml:space="preserve"> </w:t>
      </w:r>
      <w:r w:rsidR="008E4D4C" w:rsidRPr="003B78EE">
        <w:rPr>
          <w:rFonts w:ascii="Times New Roman" w:hAnsi="Times New Roman"/>
          <w:noProof/>
          <w:sz w:val="22"/>
          <w:szCs w:val="22"/>
        </w:rPr>
        <w:t>Tämä koskee myös sellaisia mahdollisia haittavaikutuksia, joita ei ole mainittu tässä pakkausselosteessa. Ks. kohta 4</w:t>
      </w:r>
      <w:r w:rsidR="008E4D4C">
        <w:rPr>
          <w:rFonts w:ascii="Times New Roman" w:hAnsi="Times New Roman"/>
          <w:noProof/>
          <w:sz w:val="22"/>
          <w:szCs w:val="22"/>
        </w:rPr>
        <w:t>.</w:t>
      </w:r>
    </w:p>
    <w:p w14:paraId="586FCF00" w14:textId="77777777" w:rsidR="0076444C" w:rsidRDefault="0076444C" w:rsidP="0076444C">
      <w:pPr>
        <w:widowControl w:val="0"/>
        <w:ind w:right="-2"/>
        <w:rPr>
          <w:rFonts w:ascii="Times New Roman" w:hAnsi="Times New Roman"/>
          <w:sz w:val="22"/>
          <w:szCs w:val="22"/>
        </w:rPr>
      </w:pPr>
    </w:p>
    <w:p w14:paraId="586FCF01" w14:textId="77777777" w:rsidR="0076444C" w:rsidRDefault="0076444C" w:rsidP="0076444C">
      <w:pPr>
        <w:widowControl w:val="0"/>
        <w:ind w:right="-2"/>
        <w:rPr>
          <w:rFonts w:ascii="Times New Roman" w:hAnsi="Times New Roman"/>
          <w:sz w:val="22"/>
          <w:szCs w:val="22"/>
        </w:rPr>
      </w:pPr>
    </w:p>
    <w:p w14:paraId="586FCF02" w14:textId="77777777" w:rsidR="0076444C" w:rsidRDefault="0076444C" w:rsidP="0076444C">
      <w:pPr>
        <w:widowControl w:val="0"/>
        <w:ind w:right="-2"/>
        <w:rPr>
          <w:rFonts w:ascii="Times New Roman" w:hAnsi="Times New Roman"/>
          <w:sz w:val="22"/>
          <w:szCs w:val="22"/>
        </w:rPr>
      </w:pPr>
      <w:r>
        <w:rPr>
          <w:rFonts w:ascii="Times New Roman" w:hAnsi="Times New Roman"/>
          <w:b/>
          <w:sz w:val="22"/>
          <w:szCs w:val="22"/>
        </w:rPr>
        <w:t>Tässä pakkausselosteessa kerrotaan</w:t>
      </w:r>
      <w:r w:rsidR="00D31F9E">
        <w:rPr>
          <w:rFonts w:ascii="Times New Roman" w:hAnsi="Times New Roman"/>
          <w:b/>
          <w:sz w:val="22"/>
          <w:szCs w:val="22"/>
        </w:rPr>
        <w:t>:</w:t>
      </w:r>
    </w:p>
    <w:p w14:paraId="586FCF03"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ab/>
        <w:t>Mitä Glivec on ja mihin sitä käytetään</w:t>
      </w:r>
    </w:p>
    <w:p w14:paraId="586FCF04"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ab/>
        <w:t>Mitä sinun on tiedettävä, ennen kuin käytät Gliveciä</w:t>
      </w:r>
    </w:p>
    <w:p w14:paraId="586FCF05"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ab/>
        <w:t>Miten Gliveciä käytetään</w:t>
      </w:r>
    </w:p>
    <w:p w14:paraId="586FCF06"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4.</w:t>
      </w:r>
      <w:r>
        <w:rPr>
          <w:rFonts w:ascii="Times New Roman" w:hAnsi="Times New Roman"/>
          <w:sz w:val="22"/>
          <w:szCs w:val="22"/>
        </w:rPr>
        <w:tab/>
        <w:t>Mahdolliset haittavaikutukset</w:t>
      </w:r>
    </w:p>
    <w:p w14:paraId="586FCF07"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5.</w:t>
      </w:r>
      <w:r>
        <w:rPr>
          <w:rFonts w:ascii="Times New Roman" w:hAnsi="Times New Roman"/>
          <w:sz w:val="22"/>
          <w:szCs w:val="22"/>
        </w:rPr>
        <w:tab/>
        <w:t>Glivecin säilyttäminen</w:t>
      </w:r>
    </w:p>
    <w:p w14:paraId="586FCF08" w14:textId="77777777" w:rsidR="0076444C" w:rsidRDefault="0076444C" w:rsidP="0076444C">
      <w:pPr>
        <w:widowControl w:val="0"/>
        <w:tabs>
          <w:tab w:val="left" w:pos="567"/>
        </w:tabs>
        <w:ind w:right="-28"/>
        <w:rPr>
          <w:rFonts w:ascii="Times New Roman" w:hAnsi="Times New Roman"/>
          <w:sz w:val="22"/>
          <w:szCs w:val="22"/>
        </w:rPr>
      </w:pPr>
      <w:r>
        <w:rPr>
          <w:rFonts w:ascii="Times New Roman" w:hAnsi="Times New Roman"/>
          <w:sz w:val="22"/>
          <w:szCs w:val="22"/>
        </w:rPr>
        <w:t>6.</w:t>
      </w:r>
      <w:r>
        <w:rPr>
          <w:rFonts w:ascii="Times New Roman" w:hAnsi="Times New Roman"/>
          <w:sz w:val="22"/>
          <w:szCs w:val="22"/>
        </w:rPr>
        <w:tab/>
        <w:t>Pakkauksen sisältö ja muuta tietoa</w:t>
      </w:r>
    </w:p>
    <w:p w14:paraId="586FCF09" w14:textId="77777777" w:rsidR="0076444C" w:rsidRDefault="0076444C" w:rsidP="0076444C">
      <w:pPr>
        <w:pStyle w:val="EndnoteText"/>
        <w:widowControl w:val="0"/>
        <w:tabs>
          <w:tab w:val="clear" w:pos="567"/>
        </w:tabs>
        <w:rPr>
          <w:color w:val="000000"/>
          <w:szCs w:val="22"/>
          <w:lang w:val="fi-FI"/>
        </w:rPr>
      </w:pPr>
    </w:p>
    <w:p w14:paraId="586FCF0A" w14:textId="77777777" w:rsidR="0076444C" w:rsidRDefault="0076444C" w:rsidP="0076444C">
      <w:pPr>
        <w:pStyle w:val="EndnoteText"/>
        <w:widowControl w:val="0"/>
        <w:tabs>
          <w:tab w:val="clear" w:pos="567"/>
        </w:tabs>
        <w:rPr>
          <w:color w:val="000000"/>
          <w:szCs w:val="22"/>
          <w:lang w:val="fi-FI"/>
        </w:rPr>
      </w:pPr>
    </w:p>
    <w:p w14:paraId="586FCF0B" w14:textId="77777777" w:rsidR="0076444C" w:rsidRDefault="0076444C" w:rsidP="0076444C">
      <w:pPr>
        <w:keepNext/>
        <w:widowControl w:val="0"/>
        <w:ind w:right="-2"/>
        <w:rPr>
          <w:rFonts w:ascii="Times New Roman" w:hAnsi="Times New Roman"/>
          <w:sz w:val="22"/>
          <w:szCs w:val="22"/>
        </w:rPr>
      </w:pPr>
      <w:r>
        <w:rPr>
          <w:rFonts w:ascii="Times New Roman" w:hAnsi="Times New Roman"/>
          <w:b/>
          <w:sz w:val="22"/>
          <w:szCs w:val="22"/>
        </w:rPr>
        <w:t>1.</w:t>
      </w:r>
      <w:r>
        <w:rPr>
          <w:rFonts w:ascii="Times New Roman" w:hAnsi="Times New Roman"/>
          <w:b/>
          <w:sz w:val="22"/>
          <w:szCs w:val="22"/>
        </w:rPr>
        <w:tab/>
        <w:t>Mitä Glivec on ja mihin sitä käytetään</w:t>
      </w:r>
    </w:p>
    <w:p w14:paraId="586FCF0C" w14:textId="77777777" w:rsidR="0076444C" w:rsidRDefault="0076444C" w:rsidP="0076444C">
      <w:pPr>
        <w:pStyle w:val="EndnoteText"/>
        <w:keepNext/>
        <w:widowControl w:val="0"/>
        <w:tabs>
          <w:tab w:val="clear" w:pos="567"/>
        </w:tabs>
        <w:rPr>
          <w:color w:val="000000"/>
          <w:szCs w:val="22"/>
          <w:lang w:val="fi-FI"/>
        </w:rPr>
      </w:pPr>
    </w:p>
    <w:p w14:paraId="586FCF0D" w14:textId="77777777" w:rsidR="0076444C" w:rsidRDefault="0076444C" w:rsidP="00774A0B">
      <w:pPr>
        <w:pStyle w:val="Text"/>
        <w:keepNext/>
        <w:widowControl w:val="0"/>
        <w:spacing w:before="0"/>
        <w:jc w:val="left"/>
        <w:rPr>
          <w:color w:val="000000"/>
          <w:sz w:val="22"/>
          <w:szCs w:val="22"/>
          <w:lang w:val="fi-FI"/>
        </w:rPr>
      </w:pPr>
      <w:r>
        <w:rPr>
          <w:color w:val="000000"/>
          <w:sz w:val="22"/>
          <w:szCs w:val="22"/>
          <w:lang w:val="fi-FI"/>
        </w:rPr>
        <w:t>Glivec sisältää vaikuttavana aineena imatinibia ja sen vaikutus perustuu poikkeavien solujen kasvun estoon alla luetelluissa sairauksissa, joihin kuuluu tietyntyyppisiä syöpäsairauksia.</w:t>
      </w:r>
    </w:p>
    <w:p w14:paraId="586FCF0E" w14:textId="77777777" w:rsidR="0076444C" w:rsidRDefault="0076444C" w:rsidP="00774A0B">
      <w:pPr>
        <w:pStyle w:val="Text"/>
        <w:keepNext/>
        <w:widowControl w:val="0"/>
        <w:spacing w:before="0"/>
        <w:jc w:val="left"/>
        <w:rPr>
          <w:color w:val="000000"/>
          <w:sz w:val="22"/>
          <w:szCs w:val="22"/>
          <w:lang w:val="fi-FI"/>
        </w:rPr>
      </w:pPr>
    </w:p>
    <w:p w14:paraId="586FCF0F" w14:textId="77777777" w:rsidR="0076444C" w:rsidRDefault="0076444C" w:rsidP="00774A0B">
      <w:pPr>
        <w:pStyle w:val="Text"/>
        <w:keepNext/>
        <w:widowControl w:val="0"/>
        <w:spacing w:before="0"/>
        <w:jc w:val="left"/>
        <w:rPr>
          <w:b/>
          <w:bCs/>
          <w:color w:val="000000"/>
          <w:sz w:val="22"/>
          <w:szCs w:val="22"/>
          <w:lang w:val="fi-FI"/>
        </w:rPr>
      </w:pPr>
      <w:r>
        <w:rPr>
          <w:b/>
          <w:bCs/>
          <w:color w:val="000000"/>
          <w:sz w:val="22"/>
          <w:szCs w:val="22"/>
          <w:lang w:val="fi-FI"/>
        </w:rPr>
        <w:t>Glivecillä hoidetaan seuraavia aikuisilla ja lapsilla esiintyviä sairauksia:</w:t>
      </w:r>
    </w:p>
    <w:p w14:paraId="586FCF10" w14:textId="77777777" w:rsidR="0076444C" w:rsidRDefault="0076444C" w:rsidP="00774A0B">
      <w:pPr>
        <w:pStyle w:val="Text"/>
        <w:keepNext/>
        <w:widowControl w:val="0"/>
        <w:spacing w:before="0"/>
        <w:jc w:val="left"/>
        <w:rPr>
          <w:color w:val="000000"/>
          <w:sz w:val="22"/>
          <w:szCs w:val="22"/>
          <w:lang w:val="fi-FI"/>
        </w:rPr>
      </w:pPr>
    </w:p>
    <w:p w14:paraId="586FCF11" w14:textId="77777777" w:rsidR="0076444C" w:rsidRDefault="0076444C" w:rsidP="0076444C">
      <w:pPr>
        <w:pStyle w:val="Text"/>
        <w:widowControl w:val="0"/>
        <w:numPr>
          <w:ilvl w:val="0"/>
          <w:numId w:val="18"/>
        </w:numPr>
        <w:tabs>
          <w:tab w:val="clear" w:pos="454"/>
        </w:tabs>
        <w:spacing w:before="0"/>
        <w:ind w:left="567" w:hanging="567"/>
        <w:jc w:val="left"/>
        <w:rPr>
          <w:color w:val="000000"/>
          <w:sz w:val="22"/>
          <w:szCs w:val="22"/>
          <w:lang w:val="fi-FI"/>
        </w:rPr>
      </w:pPr>
      <w:r>
        <w:rPr>
          <w:b/>
          <w:bCs/>
          <w:color w:val="000000"/>
          <w:sz w:val="22"/>
          <w:szCs w:val="22"/>
          <w:lang w:val="fi-FI"/>
        </w:rPr>
        <w:t>Krooninen myelooinen leukemia.</w:t>
      </w:r>
      <w:r>
        <w:rPr>
          <w:color w:val="000000"/>
          <w:sz w:val="22"/>
          <w:szCs w:val="22"/>
          <w:lang w:val="fi-FI"/>
        </w:rPr>
        <w:t xml:space="preserve"> Leukemia on veren valkosolujen syöpä. Normaalisti valkosolut auttavat elimistöä torjumaan infektioita. Krooninen myelooinen leukemia on leukemian muoto, jossa tietyt poikkeavat valkosolut (myelosyytit) alkavat kasvaa hallitsemattomasti.</w:t>
      </w:r>
    </w:p>
    <w:p w14:paraId="586FCF12" w14:textId="77777777" w:rsidR="00E35343" w:rsidRDefault="00E35343" w:rsidP="00E35343">
      <w:pPr>
        <w:pStyle w:val="Text"/>
        <w:widowControl w:val="0"/>
        <w:numPr>
          <w:ilvl w:val="0"/>
          <w:numId w:val="18"/>
        </w:numPr>
        <w:tabs>
          <w:tab w:val="clear" w:pos="454"/>
        </w:tabs>
        <w:spacing w:before="0"/>
        <w:ind w:left="567" w:hanging="567"/>
        <w:jc w:val="left"/>
        <w:rPr>
          <w:color w:val="000000"/>
          <w:sz w:val="22"/>
          <w:szCs w:val="22"/>
          <w:lang w:val="fi-FI"/>
        </w:rPr>
      </w:pPr>
      <w:r>
        <w:rPr>
          <w:b/>
          <w:bCs/>
          <w:sz w:val="22"/>
          <w:szCs w:val="22"/>
          <w:lang w:val="fi-FI"/>
        </w:rPr>
        <w:t>Philadelphia-kromosomipositiivinen akuutti lymfaattinen leukemia (Ph+ ALL).</w:t>
      </w:r>
      <w:r>
        <w:rPr>
          <w:color w:val="000000"/>
          <w:sz w:val="22"/>
          <w:szCs w:val="22"/>
          <w:lang w:val="fi-FI"/>
        </w:rPr>
        <w:t xml:space="preserve"> Leukemia on veren valkosolujen syöpä. Normaalisti valkosolut auttavat elimistöä torjumaan infektioita. Akuutti lymfaattinen leukemia on leukemian muoto, jossa tietyt poikkeavat valkosolut (lymfoblastit) alkavat kasvaa hallitsemattomasti. Glivec estää näiden solujen kasvua.</w:t>
      </w:r>
    </w:p>
    <w:p w14:paraId="586FCF13" w14:textId="77777777" w:rsidR="0076444C" w:rsidRDefault="0076444C" w:rsidP="0076444C">
      <w:pPr>
        <w:pStyle w:val="Text"/>
        <w:widowControl w:val="0"/>
        <w:spacing w:before="0"/>
        <w:jc w:val="left"/>
        <w:rPr>
          <w:color w:val="000000"/>
          <w:sz w:val="22"/>
          <w:szCs w:val="22"/>
          <w:lang w:val="fi-FI"/>
        </w:rPr>
      </w:pPr>
    </w:p>
    <w:p w14:paraId="586FCF14" w14:textId="77777777" w:rsidR="0076444C" w:rsidRDefault="0076444C" w:rsidP="00774A0B">
      <w:pPr>
        <w:pStyle w:val="Text"/>
        <w:keepNext/>
        <w:widowControl w:val="0"/>
        <w:spacing w:before="0"/>
        <w:jc w:val="left"/>
        <w:rPr>
          <w:b/>
          <w:bCs/>
          <w:color w:val="000000"/>
          <w:sz w:val="22"/>
          <w:szCs w:val="22"/>
          <w:lang w:val="fi-FI"/>
        </w:rPr>
      </w:pPr>
      <w:r>
        <w:rPr>
          <w:b/>
          <w:bCs/>
          <w:color w:val="000000"/>
          <w:sz w:val="22"/>
          <w:szCs w:val="22"/>
          <w:lang w:val="fi-FI"/>
        </w:rPr>
        <w:t>Gliveciä käytetään myös seuraavan sairauden hoitoon aikuisilla:</w:t>
      </w:r>
    </w:p>
    <w:p w14:paraId="586FCF15" w14:textId="77777777" w:rsidR="0076444C" w:rsidRDefault="0076444C" w:rsidP="00774A0B">
      <w:pPr>
        <w:pStyle w:val="Text"/>
        <w:keepNext/>
        <w:widowControl w:val="0"/>
        <w:spacing w:before="0"/>
        <w:jc w:val="left"/>
        <w:rPr>
          <w:color w:val="000000"/>
          <w:sz w:val="22"/>
          <w:szCs w:val="22"/>
          <w:lang w:val="fi-FI"/>
        </w:rPr>
      </w:pPr>
    </w:p>
    <w:p w14:paraId="586FCF16" w14:textId="77777777" w:rsidR="0076444C" w:rsidRDefault="0076444C" w:rsidP="0076444C">
      <w:pPr>
        <w:pStyle w:val="Text"/>
        <w:widowControl w:val="0"/>
        <w:numPr>
          <w:ilvl w:val="0"/>
          <w:numId w:val="18"/>
        </w:numPr>
        <w:tabs>
          <w:tab w:val="clear" w:pos="454"/>
        </w:tabs>
        <w:spacing w:before="0"/>
        <w:ind w:left="567" w:hanging="567"/>
        <w:jc w:val="left"/>
        <w:rPr>
          <w:color w:val="000000"/>
          <w:sz w:val="22"/>
          <w:szCs w:val="22"/>
          <w:lang w:val="fi-FI"/>
        </w:rPr>
      </w:pPr>
      <w:r>
        <w:rPr>
          <w:b/>
          <w:bCs/>
          <w:sz w:val="22"/>
          <w:szCs w:val="22"/>
          <w:lang w:val="fi-FI"/>
        </w:rPr>
        <w:t>Myelodysplastinen oireyhtymä tai myeloproliferatiivinen sairaus (MDS/MPD).</w:t>
      </w:r>
      <w:r>
        <w:rPr>
          <w:color w:val="000000"/>
          <w:sz w:val="22"/>
          <w:szCs w:val="22"/>
          <w:lang w:val="fi-FI"/>
        </w:rPr>
        <w:t xml:space="preserve"> Nämä ovat verisairauksia, joissa jotkut verisolut alkavat kasvaa hallitsemattomasti. Glivec estää näiden solujen kasvua tautien tietyissä alatyypeissä.</w:t>
      </w:r>
    </w:p>
    <w:p w14:paraId="586FCF17" w14:textId="77777777" w:rsidR="0076444C" w:rsidRDefault="0076444C" w:rsidP="0076444C">
      <w:pPr>
        <w:pStyle w:val="Text"/>
        <w:widowControl w:val="0"/>
        <w:numPr>
          <w:ilvl w:val="0"/>
          <w:numId w:val="18"/>
        </w:numPr>
        <w:tabs>
          <w:tab w:val="clear" w:pos="454"/>
        </w:tabs>
        <w:spacing w:before="0"/>
        <w:ind w:left="567" w:hanging="567"/>
        <w:jc w:val="left"/>
        <w:rPr>
          <w:color w:val="000000"/>
          <w:sz w:val="22"/>
          <w:szCs w:val="22"/>
          <w:lang w:val="fi-FI"/>
        </w:rPr>
      </w:pPr>
      <w:r>
        <w:rPr>
          <w:b/>
          <w:bCs/>
          <w:sz w:val="22"/>
          <w:szCs w:val="22"/>
          <w:lang w:val="fi-FI"/>
        </w:rPr>
        <w:t>Hypereosinofiilinen oireyhtymä (HES) ja/tai krooninen eosinofiilinen leukemia (CEL).</w:t>
      </w:r>
      <w:r>
        <w:rPr>
          <w:color w:val="000000"/>
          <w:sz w:val="22"/>
          <w:szCs w:val="22"/>
          <w:lang w:val="fi-FI"/>
        </w:rPr>
        <w:t xml:space="preserve"> Nämä ovat veritauteja, joissa tietyt verisolut (eosinofiilit) alkavat kasvaa hallitsemattomasti. Glivec estää näiden solujen kasvua tautien tietyissä alatyypeissä.</w:t>
      </w:r>
    </w:p>
    <w:p w14:paraId="586FCF18" w14:textId="77777777" w:rsidR="0076444C" w:rsidRDefault="0076444C" w:rsidP="0076444C">
      <w:pPr>
        <w:pStyle w:val="Text"/>
        <w:widowControl w:val="0"/>
        <w:numPr>
          <w:ilvl w:val="0"/>
          <w:numId w:val="18"/>
        </w:numPr>
        <w:tabs>
          <w:tab w:val="clear" w:pos="454"/>
        </w:tabs>
        <w:spacing w:before="0"/>
        <w:ind w:left="567" w:hanging="567"/>
        <w:jc w:val="left"/>
        <w:rPr>
          <w:color w:val="000000"/>
          <w:sz w:val="22"/>
          <w:szCs w:val="22"/>
          <w:lang w:val="fi-FI"/>
        </w:rPr>
      </w:pPr>
      <w:r>
        <w:rPr>
          <w:b/>
          <w:bCs/>
          <w:sz w:val="22"/>
          <w:szCs w:val="22"/>
          <w:lang w:val="fi-FI"/>
        </w:rPr>
        <w:t>Pahanlaatuiset ruuansulatuskanavan tukikudosten kasvaimet (GIST).</w:t>
      </w:r>
      <w:r>
        <w:rPr>
          <w:color w:val="000000"/>
          <w:sz w:val="22"/>
          <w:szCs w:val="22"/>
          <w:lang w:val="fi-FI"/>
        </w:rPr>
        <w:t xml:space="preserve"> GIST aiheutuu mahan ja suoliston tukikudosten solujen hallitsemattomasta kasvusta.</w:t>
      </w:r>
    </w:p>
    <w:p w14:paraId="586FCF19" w14:textId="77777777" w:rsidR="0076444C" w:rsidRDefault="0076444C" w:rsidP="00774A0B">
      <w:pPr>
        <w:pStyle w:val="Text"/>
        <w:keepNext/>
        <w:keepLines/>
        <w:widowControl w:val="0"/>
        <w:numPr>
          <w:ilvl w:val="0"/>
          <w:numId w:val="18"/>
        </w:numPr>
        <w:tabs>
          <w:tab w:val="clear" w:pos="454"/>
        </w:tabs>
        <w:spacing w:before="0"/>
        <w:ind w:left="567" w:hanging="567"/>
        <w:jc w:val="left"/>
        <w:rPr>
          <w:color w:val="000000"/>
          <w:sz w:val="22"/>
          <w:szCs w:val="22"/>
          <w:lang w:val="fi-FI"/>
        </w:rPr>
      </w:pPr>
      <w:r>
        <w:rPr>
          <w:b/>
          <w:bCs/>
          <w:color w:val="000000"/>
          <w:sz w:val="22"/>
          <w:szCs w:val="22"/>
          <w:lang w:val="fi-FI"/>
        </w:rPr>
        <w:lastRenderedPageBreak/>
        <w:t>Dermatofibrosarcoma protuberans (DFSP).</w:t>
      </w:r>
      <w:r>
        <w:rPr>
          <w:color w:val="000000"/>
          <w:sz w:val="22"/>
          <w:szCs w:val="22"/>
          <w:lang w:val="fi-FI"/>
        </w:rPr>
        <w:t xml:space="preserve"> DFSP on ihonalaiskudoksen syöpä, jossa tietyntyyppiset solut alkavat kasvaa hallitsemattomasti. Glivec estää näiden solujen kasvua.</w:t>
      </w:r>
    </w:p>
    <w:p w14:paraId="586FCF1A" w14:textId="77777777" w:rsidR="0076444C" w:rsidRDefault="0076444C" w:rsidP="0076444C">
      <w:pPr>
        <w:pStyle w:val="Text"/>
        <w:widowControl w:val="0"/>
        <w:spacing w:before="0"/>
        <w:jc w:val="left"/>
        <w:rPr>
          <w:color w:val="000000"/>
          <w:sz w:val="22"/>
          <w:szCs w:val="22"/>
          <w:lang w:val="fi-FI"/>
        </w:rPr>
      </w:pPr>
      <w:r>
        <w:rPr>
          <w:color w:val="000000"/>
          <w:sz w:val="22"/>
          <w:szCs w:val="22"/>
          <w:lang w:val="fi-FI"/>
        </w:rPr>
        <w:t>Jäljempänä tässä selosteessa käytetään lyhenteitä näistä sairauksista.</w:t>
      </w:r>
    </w:p>
    <w:p w14:paraId="586FCF1B" w14:textId="77777777" w:rsidR="0076444C" w:rsidRDefault="0076444C" w:rsidP="0076444C">
      <w:pPr>
        <w:pStyle w:val="Text"/>
        <w:widowControl w:val="0"/>
        <w:spacing w:before="0"/>
        <w:jc w:val="left"/>
        <w:rPr>
          <w:color w:val="000000"/>
          <w:sz w:val="22"/>
          <w:szCs w:val="22"/>
          <w:lang w:val="fi-FI"/>
        </w:rPr>
      </w:pPr>
    </w:p>
    <w:p w14:paraId="586FCF1C" w14:textId="77777777" w:rsidR="0076444C" w:rsidRDefault="0076444C" w:rsidP="0076444C">
      <w:pPr>
        <w:pStyle w:val="Text"/>
        <w:widowControl w:val="0"/>
        <w:spacing w:before="0"/>
        <w:jc w:val="left"/>
        <w:rPr>
          <w:color w:val="000000"/>
          <w:sz w:val="22"/>
          <w:szCs w:val="22"/>
          <w:lang w:val="fi-FI"/>
        </w:rPr>
      </w:pPr>
      <w:r>
        <w:rPr>
          <w:color w:val="000000"/>
          <w:sz w:val="22"/>
          <w:szCs w:val="22"/>
          <w:lang w:val="fi-FI"/>
        </w:rPr>
        <w:t>Jos sinulla on kysymyksiä siitä, miten Glivec toimii tai miksi sinulle on määrätty tätä lääkettä, käänny lääkärisi puoleen.</w:t>
      </w:r>
    </w:p>
    <w:p w14:paraId="586FCF1D" w14:textId="77777777" w:rsidR="0076444C" w:rsidRDefault="0076444C" w:rsidP="0076444C">
      <w:pPr>
        <w:pStyle w:val="EndnoteText"/>
        <w:widowControl w:val="0"/>
        <w:tabs>
          <w:tab w:val="clear" w:pos="567"/>
        </w:tabs>
        <w:rPr>
          <w:color w:val="000000"/>
          <w:szCs w:val="22"/>
          <w:lang w:val="fi-FI"/>
        </w:rPr>
      </w:pPr>
    </w:p>
    <w:p w14:paraId="586FCF1E" w14:textId="77777777" w:rsidR="0076444C" w:rsidRDefault="0076444C" w:rsidP="0076444C">
      <w:pPr>
        <w:pStyle w:val="EndnoteText"/>
        <w:widowControl w:val="0"/>
        <w:tabs>
          <w:tab w:val="clear" w:pos="567"/>
        </w:tabs>
        <w:rPr>
          <w:color w:val="000000"/>
          <w:szCs w:val="22"/>
          <w:lang w:val="fi-FI"/>
        </w:rPr>
      </w:pPr>
    </w:p>
    <w:p w14:paraId="586FCF1F" w14:textId="77777777" w:rsidR="0076444C" w:rsidRDefault="0076444C" w:rsidP="0076444C">
      <w:pPr>
        <w:keepNext/>
        <w:widowControl w:val="0"/>
        <w:ind w:left="567" w:hanging="567"/>
        <w:rPr>
          <w:rFonts w:ascii="Times New Roman" w:hAnsi="Times New Roman"/>
          <w:sz w:val="22"/>
          <w:szCs w:val="22"/>
        </w:rPr>
      </w:pPr>
      <w:r>
        <w:rPr>
          <w:rFonts w:ascii="Times New Roman" w:hAnsi="Times New Roman"/>
          <w:b/>
          <w:sz w:val="22"/>
          <w:szCs w:val="22"/>
        </w:rPr>
        <w:t>2.</w:t>
      </w:r>
      <w:r>
        <w:rPr>
          <w:rFonts w:ascii="Times New Roman" w:hAnsi="Times New Roman"/>
          <w:b/>
          <w:sz w:val="22"/>
          <w:szCs w:val="22"/>
        </w:rPr>
        <w:tab/>
        <w:t>Mitä sinun on tiedettävä, ennen kuin käytät Gliveciä</w:t>
      </w:r>
    </w:p>
    <w:p w14:paraId="586FCF20" w14:textId="77777777" w:rsidR="0076444C" w:rsidRDefault="0076444C" w:rsidP="0076444C">
      <w:pPr>
        <w:keepNext/>
        <w:widowControl w:val="0"/>
        <w:rPr>
          <w:rFonts w:ascii="Times New Roman" w:hAnsi="Times New Roman"/>
          <w:sz w:val="22"/>
          <w:szCs w:val="22"/>
        </w:rPr>
      </w:pPr>
    </w:p>
    <w:p w14:paraId="586FCF21" w14:textId="77777777" w:rsidR="0076444C" w:rsidRDefault="0076444C" w:rsidP="0076444C">
      <w:pPr>
        <w:pStyle w:val="EndnoteText"/>
        <w:widowControl w:val="0"/>
        <w:tabs>
          <w:tab w:val="clear" w:pos="567"/>
        </w:tabs>
        <w:rPr>
          <w:color w:val="000000"/>
          <w:szCs w:val="22"/>
          <w:lang w:val="fi-FI"/>
        </w:rPr>
      </w:pPr>
      <w:r>
        <w:rPr>
          <w:color w:val="000000"/>
          <w:szCs w:val="22"/>
          <w:lang w:val="fi-FI"/>
        </w:rPr>
        <w:t>Ainoastaan verisyöpien tai kiinteiden kasvainten lääkehoitoon perehtynyt lääkäri voi määrätä sinulle Gliveciä.</w:t>
      </w:r>
    </w:p>
    <w:p w14:paraId="586FCF22" w14:textId="77777777" w:rsidR="0076444C" w:rsidRDefault="0076444C" w:rsidP="0076444C">
      <w:pPr>
        <w:widowControl w:val="0"/>
        <w:ind w:right="-2"/>
        <w:rPr>
          <w:rFonts w:ascii="Times New Roman" w:hAnsi="Times New Roman"/>
          <w:sz w:val="22"/>
          <w:szCs w:val="22"/>
        </w:rPr>
      </w:pPr>
    </w:p>
    <w:p w14:paraId="586FCF23" w14:textId="77777777" w:rsidR="0076444C" w:rsidRDefault="0076444C" w:rsidP="0076444C">
      <w:pPr>
        <w:widowControl w:val="0"/>
        <w:ind w:right="-2"/>
        <w:rPr>
          <w:rFonts w:ascii="Times New Roman" w:hAnsi="Times New Roman"/>
          <w:sz w:val="22"/>
          <w:szCs w:val="22"/>
        </w:rPr>
      </w:pPr>
      <w:r>
        <w:rPr>
          <w:rFonts w:ascii="Times New Roman" w:hAnsi="Times New Roman"/>
          <w:sz w:val="22"/>
          <w:szCs w:val="22"/>
        </w:rPr>
        <w:t>Noudata tarkasti kaikkia lääkäriltäsi saamiasi ohjeita vaikka ne eroaisivat tässä pakkausselosteessa annetuista yleisistä ohjeista.</w:t>
      </w:r>
    </w:p>
    <w:p w14:paraId="586FCF24" w14:textId="77777777" w:rsidR="0076444C" w:rsidRDefault="0076444C" w:rsidP="0076444C">
      <w:pPr>
        <w:widowControl w:val="0"/>
        <w:ind w:right="-2"/>
        <w:rPr>
          <w:rFonts w:ascii="Times New Roman" w:hAnsi="Times New Roman"/>
          <w:sz w:val="22"/>
          <w:szCs w:val="22"/>
        </w:rPr>
      </w:pPr>
    </w:p>
    <w:p w14:paraId="586FCF25" w14:textId="77777777" w:rsidR="0076444C" w:rsidRDefault="0076444C" w:rsidP="0076444C">
      <w:pPr>
        <w:keepNext/>
        <w:widowControl w:val="0"/>
        <w:rPr>
          <w:rFonts w:ascii="Times New Roman" w:hAnsi="Times New Roman"/>
          <w:sz w:val="22"/>
          <w:szCs w:val="22"/>
        </w:rPr>
      </w:pPr>
      <w:r>
        <w:rPr>
          <w:rFonts w:ascii="Times New Roman" w:hAnsi="Times New Roman"/>
          <w:b/>
          <w:sz w:val="22"/>
          <w:szCs w:val="22"/>
        </w:rPr>
        <w:t>Älä käytä Gliveciä</w:t>
      </w:r>
    </w:p>
    <w:p w14:paraId="586FCF26" w14:textId="77777777" w:rsidR="0076444C" w:rsidRDefault="0076444C" w:rsidP="00774A0B">
      <w:pPr>
        <w:keepNext/>
        <w:widowControl w:val="0"/>
        <w:ind w:left="567" w:hanging="567"/>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ab/>
        <w:t>jos olet allerginen imatinibille tai tämän lääkkeen jollekin muulle aineelle (lueteltu kohdassa 6).</w:t>
      </w:r>
    </w:p>
    <w:p w14:paraId="586FCF27" w14:textId="77777777" w:rsidR="0076444C" w:rsidRDefault="0076444C" w:rsidP="0076444C">
      <w:pPr>
        <w:widowControl w:val="0"/>
        <w:ind w:left="567" w:right="-2" w:hanging="567"/>
        <w:rPr>
          <w:rFonts w:ascii="Times New Roman" w:hAnsi="Times New Roman"/>
          <w:b/>
          <w:sz w:val="22"/>
          <w:szCs w:val="22"/>
        </w:rPr>
      </w:pPr>
      <w:r>
        <w:rPr>
          <w:rFonts w:ascii="Times New Roman" w:hAnsi="Times New Roman"/>
          <w:sz w:val="22"/>
          <w:szCs w:val="22"/>
        </w:rPr>
        <w:t xml:space="preserve">Jos tämä koskee sinua, </w:t>
      </w:r>
      <w:r>
        <w:rPr>
          <w:rFonts w:ascii="Times New Roman" w:hAnsi="Times New Roman"/>
          <w:b/>
          <w:sz w:val="22"/>
          <w:szCs w:val="22"/>
        </w:rPr>
        <w:t>kerro lääkärillesi äläkä ota Gliveciä.</w:t>
      </w:r>
    </w:p>
    <w:p w14:paraId="586FCF28" w14:textId="77777777" w:rsidR="0076444C" w:rsidRDefault="0076444C" w:rsidP="0076444C">
      <w:pPr>
        <w:widowControl w:val="0"/>
        <w:ind w:left="567" w:right="-2" w:hanging="567"/>
        <w:rPr>
          <w:rFonts w:ascii="Times New Roman" w:hAnsi="Times New Roman"/>
          <w:sz w:val="22"/>
          <w:szCs w:val="22"/>
        </w:rPr>
      </w:pPr>
    </w:p>
    <w:p w14:paraId="586FCF29" w14:textId="77777777" w:rsidR="0076444C" w:rsidRDefault="0076444C" w:rsidP="0076444C">
      <w:pPr>
        <w:widowControl w:val="0"/>
        <w:ind w:left="567" w:right="-2" w:hanging="567"/>
        <w:rPr>
          <w:rFonts w:ascii="Times New Roman" w:hAnsi="Times New Roman"/>
          <w:sz w:val="22"/>
          <w:szCs w:val="22"/>
        </w:rPr>
      </w:pPr>
      <w:r>
        <w:rPr>
          <w:rFonts w:ascii="Times New Roman" w:hAnsi="Times New Roman"/>
          <w:sz w:val="22"/>
          <w:szCs w:val="22"/>
        </w:rPr>
        <w:t>Jos epäilet olevasi allerginen, mutta et ole varma asiasta, kysy neuvoa lääkäriltäsi.</w:t>
      </w:r>
    </w:p>
    <w:p w14:paraId="586FCF2A" w14:textId="77777777" w:rsidR="0076444C" w:rsidRDefault="0076444C" w:rsidP="0076444C">
      <w:pPr>
        <w:widowControl w:val="0"/>
        <w:ind w:right="-2"/>
        <w:rPr>
          <w:rFonts w:ascii="Times New Roman" w:hAnsi="Times New Roman"/>
          <w:sz w:val="22"/>
          <w:szCs w:val="22"/>
        </w:rPr>
      </w:pPr>
    </w:p>
    <w:p w14:paraId="586FCF2B" w14:textId="77777777" w:rsidR="0076444C" w:rsidRDefault="0076444C" w:rsidP="00774A0B">
      <w:pPr>
        <w:keepNext/>
        <w:widowControl w:val="0"/>
        <w:ind w:right="-2"/>
        <w:rPr>
          <w:rFonts w:ascii="Times New Roman" w:hAnsi="Times New Roman"/>
          <w:b/>
          <w:sz w:val="22"/>
          <w:szCs w:val="22"/>
        </w:rPr>
      </w:pPr>
      <w:r>
        <w:rPr>
          <w:rFonts w:ascii="Times New Roman" w:hAnsi="Times New Roman"/>
          <w:b/>
          <w:sz w:val="22"/>
          <w:szCs w:val="22"/>
        </w:rPr>
        <w:t>Varoitukset ja varotoimet</w:t>
      </w:r>
    </w:p>
    <w:p w14:paraId="586FCF2C" w14:textId="77777777" w:rsidR="0076444C" w:rsidRDefault="0076444C" w:rsidP="00774A0B">
      <w:pPr>
        <w:keepNext/>
        <w:widowControl w:val="0"/>
        <w:ind w:right="-2"/>
        <w:rPr>
          <w:rFonts w:ascii="Times New Roman" w:hAnsi="Times New Roman"/>
          <w:sz w:val="22"/>
          <w:szCs w:val="22"/>
        </w:rPr>
      </w:pPr>
      <w:r>
        <w:rPr>
          <w:rFonts w:ascii="Times New Roman" w:hAnsi="Times New Roman"/>
          <w:sz w:val="22"/>
          <w:szCs w:val="22"/>
        </w:rPr>
        <w:t>Keskustele lääkärin kanssa ennen kuin otat Gliveciä:</w:t>
      </w:r>
    </w:p>
    <w:p w14:paraId="586FCF2D" w14:textId="77777777" w:rsidR="0076444C" w:rsidRDefault="0076444C" w:rsidP="0076444C">
      <w:pPr>
        <w:pStyle w:val="BodyTextIndent"/>
        <w:widowControl w:val="0"/>
        <w:numPr>
          <w:ilvl w:val="0"/>
          <w:numId w:val="15"/>
        </w:numPr>
        <w:tabs>
          <w:tab w:val="clear" w:pos="927"/>
        </w:tabs>
        <w:ind w:left="567" w:hanging="567"/>
        <w:rPr>
          <w:szCs w:val="22"/>
        </w:rPr>
      </w:pPr>
      <w:r>
        <w:rPr>
          <w:szCs w:val="22"/>
        </w:rPr>
        <w:t>jos sinulla on tai on joskus ollut häiriöitä maksan, munuaisten tai sydämen toiminnassa.</w:t>
      </w:r>
    </w:p>
    <w:p w14:paraId="586FCF2E" w14:textId="77777777" w:rsidR="0076444C" w:rsidRDefault="0076444C" w:rsidP="0076444C">
      <w:pPr>
        <w:pStyle w:val="BodyTextIndent"/>
        <w:widowControl w:val="0"/>
        <w:numPr>
          <w:ilvl w:val="0"/>
          <w:numId w:val="15"/>
        </w:numPr>
        <w:tabs>
          <w:tab w:val="clear" w:pos="927"/>
        </w:tabs>
        <w:ind w:left="567" w:hanging="567"/>
        <w:rPr>
          <w:szCs w:val="22"/>
        </w:rPr>
      </w:pPr>
      <w:r>
        <w:rPr>
          <w:szCs w:val="22"/>
        </w:rPr>
        <w:t>jos saat levotyroksiinilääkitystä, koska kilpirauhasesi on poistettu.</w:t>
      </w:r>
    </w:p>
    <w:p w14:paraId="586FCF2F" w14:textId="77777777" w:rsidR="00D3756D" w:rsidRDefault="00D3756D" w:rsidP="00D3756D">
      <w:pPr>
        <w:pStyle w:val="BodyTextIndent"/>
        <w:widowControl w:val="0"/>
        <w:numPr>
          <w:ilvl w:val="0"/>
          <w:numId w:val="15"/>
        </w:numPr>
        <w:tabs>
          <w:tab w:val="clear" w:pos="927"/>
          <w:tab w:val="num" w:pos="567"/>
        </w:tabs>
        <w:ind w:left="567" w:hanging="567"/>
        <w:rPr>
          <w:szCs w:val="22"/>
        </w:rPr>
      </w:pPr>
      <w:r w:rsidRPr="00D51425">
        <w:rPr>
          <w:szCs w:val="22"/>
        </w:rPr>
        <w:t xml:space="preserve">jos sinulla on joskus ollut tai sinulla saattaa olla hepatiitti B -infektio. </w:t>
      </w:r>
      <w:r>
        <w:rPr>
          <w:szCs w:val="22"/>
        </w:rPr>
        <w:t xml:space="preserve">Glivec </w:t>
      </w:r>
      <w:r w:rsidRPr="00D51425">
        <w:rPr>
          <w:szCs w:val="22"/>
        </w:rPr>
        <w:t>voi aktivoida hepatiitti B:n uudelleen, mikä voi johtaa joissakin tapauksissa kuolemaan. Lääkäri tutkii potilaan huolellisesti tämän infektion oireiden varalta ennen hoidon aloittamista.</w:t>
      </w:r>
    </w:p>
    <w:p w14:paraId="586FCF30" w14:textId="77777777" w:rsidR="002B0CBF" w:rsidRDefault="002B0CBF" w:rsidP="00774A0B">
      <w:pPr>
        <w:pStyle w:val="BodyTextIndent"/>
        <w:keepNext/>
        <w:widowControl w:val="0"/>
        <w:numPr>
          <w:ilvl w:val="0"/>
          <w:numId w:val="15"/>
        </w:numPr>
        <w:tabs>
          <w:tab w:val="clear" w:pos="927"/>
          <w:tab w:val="num" w:pos="567"/>
        </w:tabs>
        <w:ind w:left="567" w:hanging="567"/>
        <w:rPr>
          <w:szCs w:val="22"/>
        </w:rPr>
      </w:pPr>
      <w:r w:rsidRPr="001E518D">
        <w:t>jos sinulla esiintyy mustelmanmuodostusta, verenvuotoa, kuumetta, väsymystä ja sekavuutta Glivec-hoidon aikana, ota yhteys lääkäriin. Tämä saattaa olla merkki verisuonivauriosta, jota kutsutaan tromboottiseksi mikroangiopatiaksi.</w:t>
      </w:r>
    </w:p>
    <w:p w14:paraId="586FCF31" w14:textId="77777777" w:rsidR="0076444C" w:rsidRDefault="0076444C" w:rsidP="0076444C">
      <w:pPr>
        <w:pStyle w:val="EndnoteText"/>
        <w:widowControl w:val="0"/>
        <w:tabs>
          <w:tab w:val="clear" w:pos="567"/>
        </w:tabs>
        <w:rPr>
          <w:color w:val="000000"/>
          <w:szCs w:val="22"/>
          <w:lang w:val="fi-FI"/>
        </w:rPr>
      </w:pPr>
      <w:r>
        <w:rPr>
          <w:color w:val="000000"/>
          <w:szCs w:val="22"/>
          <w:lang w:val="fi-FI"/>
        </w:rPr>
        <w:t xml:space="preserve">Mikäli jokin edellämainituista seikoista koskee sinua, </w:t>
      </w:r>
      <w:r>
        <w:rPr>
          <w:b/>
          <w:color w:val="000000"/>
          <w:szCs w:val="22"/>
          <w:lang w:val="fi-FI"/>
        </w:rPr>
        <w:t>kerro asiasta lääkärillesi ennen Glivecin käyttämistä.</w:t>
      </w:r>
    </w:p>
    <w:p w14:paraId="586FCF32" w14:textId="77777777" w:rsidR="00C21E86" w:rsidRDefault="00C21E86" w:rsidP="00C21E86">
      <w:pPr>
        <w:pStyle w:val="EndnoteText"/>
        <w:widowControl w:val="0"/>
        <w:tabs>
          <w:tab w:val="clear" w:pos="567"/>
        </w:tabs>
        <w:rPr>
          <w:color w:val="000000"/>
          <w:szCs w:val="22"/>
          <w:lang w:val="fi-FI"/>
        </w:rPr>
      </w:pPr>
    </w:p>
    <w:p w14:paraId="586FCF33" w14:textId="77777777" w:rsidR="00C21E86" w:rsidRDefault="00C21E86" w:rsidP="00C21E86">
      <w:pPr>
        <w:pStyle w:val="EndnoteText"/>
        <w:widowControl w:val="0"/>
        <w:tabs>
          <w:tab w:val="clear" w:pos="567"/>
        </w:tabs>
        <w:rPr>
          <w:color w:val="000000"/>
          <w:szCs w:val="22"/>
          <w:lang w:val="fi-FI"/>
        </w:rPr>
      </w:pPr>
      <w:r>
        <w:rPr>
          <w:color w:val="000000"/>
          <w:szCs w:val="22"/>
          <w:lang w:val="fi-FI"/>
        </w:rPr>
        <w:t>Saatat tulla entistä herkemmäksi auringonvalolle Glivec-hoidon aikana. On tärkeää peittää ihoalueet jotka altistuvat auringonvalolle ja käyttää aurinkosuojaa, jossa on korkea suojakerroin (SPF). Nämä varotoimet koskevat myös lapsia.</w:t>
      </w:r>
    </w:p>
    <w:p w14:paraId="586FCF34" w14:textId="77777777" w:rsidR="0076444C" w:rsidRDefault="0076444C" w:rsidP="0076444C">
      <w:pPr>
        <w:pStyle w:val="EndnoteText"/>
        <w:widowControl w:val="0"/>
        <w:tabs>
          <w:tab w:val="clear" w:pos="567"/>
        </w:tabs>
        <w:rPr>
          <w:color w:val="000000"/>
          <w:szCs w:val="22"/>
          <w:lang w:val="fi-FI"/>
        </w:rPr>
      </w:pPr>
    </w:p>
    <w:p w14:paraId="586FCF35" w14:textId="77777777" w:rsidR="0076444C" w:rsidRDefault="0076444C" w:rsidP="0076444C">
      <w:pPr>
        <w:pStyle w:val="EndnoteText"/>
        <w:widowControl w:val="0"/>
        <w:tabs>
          <w:tab w:val="clear" w:pos="567"/>
        </w:tabs>
        <w:rPr>
          <w:color w:val="000000"/>
          <w:szCs w:val="22"/>
          <w:lang w:val="fi-FI"/>
        </w:rPr>
      </w:pPr>
      <w:r>
        <w:rPr>
          <w:color w:val="000000"/>
          <w:szCs w:val="22"/>
          <w:lang w:val="fi-FI"/>
        </w:rPr>
        <w:t xml:space="preserve">Jos painosi nousee hyvin nopeasti </w:t>
      </w:r>
      <w:r>
        <w:rPr>
          <w:b/>
          <w:color w:val="000000"/>
          <w:szCs w:val="22"/>
          <w:lang w:val="fi-FI"/>
        </w:rPr>
        <w:t>Glivec-hoidon aikana,</w:t>
      </w:r>
      <w:r>
        <w:rPr>
          <w:color w:val="000000"/>
          <w:szCs w:val="22"/>
          <w:lang w:val="fi-FI"/>
        </w:rPr>
        <w:t xml:space="preserve"> </w:t>
      </w:r>
      <w:r>
        <w:rPr>
          <w:b/>
          <w:color w:val="000000"/>
          <w:szCs w:val="22"/>
          <w:lang w:val="fi-FI"/>
        </w:rPr>
        <w:t>kerro asiasta heti lääkärillesi</w:t>
      </w:r>
      <w:r>
        <w:rPr>
          <w:color w:val="000000"/>
          <w:szCs w:val="22"/>
          <w:lang w:val="fi-FI"/>
        </w:rPr>
        <w:t>. Glivec voi aiheuttaa nesteen kertymistä elimistöön (vaikeaa turvotusta).</w:t>
      </w:r>
    </w:p>
    <w:p w14:paraId="586FCF36" w14:textId="77777777" w:rsidR="0076444C" w:rsidRDefault="0076444C" w:rsidP="0076444C">
      <w:pPr>
        <w:pStyle w:val="EndnoteText"/>
        <w:widowControl w:val="0"/>
        <w:tabs>
          <w:tab w:val="clear" w:pos="567"/>
        </w:tabs>
        <w:rPr>
          <w:color w:val="000000"/>
          <w:szCs w:val="22"/>
          <w:lang w:val="fi-FI"/>
        </w:rPr>
      </w:pPr>
    </w:p>
    <w:p w14:paraId="586FCF37" w14:textId="77777777" w:rsidR="0076444C" w:rsidRDefault="0076444C" w:rsidP="0076444C">
      <w:pPr>
        <w:pStyle w:val="EndnoteText"/>
        <w:widowControl w:val="0"/>
        <w:tabs>
          <w:tab w:val="clear" w:pos="567"/>
        </w:tabs>
        <w:rPr>
          <w:color w:val="000000"/>
          <w:szCs w:val="22"/>
          <w:lang w:val="fi-FI"/>
        </w:rPr>
      </w:pPr>
      <w:r>
        <w:rPr>
          <w:color w:val="000000"/>
          <w:szCs w:val="22"/>
          <w:lang w:val="fi-FI"/>
        </w:rPr>
        <w:t>Lääkärisi seuraa Glivecin käytön aikana säännöllisesti, tehoaako lääkitys. Sinulta otetaan verikokeita ja sinut punnitaan säännöllisesti.</w:t>
      </w:r>
    </w:p>
    <w:p w14:paraId="586FCF38" w14:textId="77777777" w:rsidR="0076444C" w:rsidRDefault="0076444C" w:rsidP="0076444C">
      <w:pPr>
        <w:pStyle w:val="EndnoteText"/>
        <w:widowControl w:val="0"/>
        <w:tabs>
          <w:tab w:val="clear" w:pos="567"/>
        </w:tabs>
        <w:rPr>
          <w:color w:val="000000"/>
          <w:szCs w:val="22"/>
          <w:lang w:val="fi-FI"/>
        </w:rPr>
      </w:pPr>
    </w:p>
    <w:p w14:paraId="586FCF39" w14:textId="77777777" w:rsidR="0076444C" w:rsidRPr="00176737" w:rsidRDefault="0076444C" w:rsidP="0076444C">
      <w:pPr>
        <w:pStyle w:val="EndnoteText"/>
        <w:keepNext/>
        <w:widowControl w:val="0"/>
        <w:tabs>
          <w:tab w:val="clear" w:pos="567"/>
        </w:tabs>
        <w:rPr>
          <w:b/>
          <w:bCs/>
          <w:color w:val="000000"/>
          <w:szCs w:val="22"/>
          <w:lang w:val="fi-FI"/>
        </w:rPr>
      </w:pPr>
      <w:r>
        <w:rPr>
          <w:b/>
          <w:bCs/>
          <w:color w:val="000000"/>
          <w:szCs w:val="22"/>
          <w:lang w:val="fi-FI"/>
        </w:rPr>
        <w:t>Lapset ja nuoret</w:t>
      </w:r>
    </w:p>
    <w:p w14:paraId="586FCF3A" w14:textId="77777777" w:rsidR="0076444C" w:rsidRDefault="0076444C" w:rsidP="0076444C">
      <w:pPr>
        <w:pStyle w:val="EndnoteText"/>
        <w:widowControl w:val="0"/>
        <w:tabs>
          <w:tab w:val="clear" w:pos="567"/>
        </w:tabs>
        <w:rPr>
          <w:color w:val="000000"/>
          <w:szCs w:val="22"/>
          <w:lang w:val="fi-FI"/>
        </w:rPr>
      </w:pPr>
      <w:r>
        <w:rPr>
          <w:color w:val="000000"/>
          <w:szCs w:val="22"/>
          <w:lang w:val="fi-FI"/>
        </w:rPr>
        <w:t>Gliveciä käytetään myös hoitona lapsille, joilla on krooninen myelooinen leukemia. Tietoja käytöstä kroonista myelooista leukemiaa sairastaville alle 2-vuotiaille lapsille ei ole. Tietoja käytöstä Philadelphia-kromosomipositiivista akuuttia lymfaattista leukemiaa sairastaville lapsille on vähän</w:t>
      </w:r>
      <w:r w:rsidR="009F161A">
        <w:rPr>
          <w:color w:val="000000"/>
          <w:szCs w:val="22"/>
          <w:lang w:val="fi-FI"/>
        </w:rPr>
        <w:t>, ja tietoja käytöstä m</w:t>
      </w:r>
      <w:r w:rsidR="009F161A" w:rsidRPr="000B0771">
        <w:rPr>
          <w:color w:val="000000"/>
          <w:szCs w:val="22"/>
          <w:lang w:val="fi-FI"/>
        </w:rPr>
        <w:t>yelodysplasti</w:t>
      </w:r>
      <w:r w:rsidR="009F161A">
        <w:rPr>
          <w:color w:val="000000"/>
          <w:szCs w:val="22"/>
          <w:lang w:val="fi-FI"/>
        </w:rPr>
        <w:t>sta</w:t>
      </w:r>
      <w:r w:rsidR="009F161A" w:rsidRPr="000B0771">
        <w:rPr>
          <w:color w:val="000000"/>
          <w:szCs w:val="22"/>
          <w:lang w:val="fi-FI"/>
        </w:rPr>
        <w:t xml:space="preserve"> oireyhtymä</w:t>
      </w:r>
      <w:r w:rsidR="009F161A">
        <w:rPr>
          <w:color w:val="000000"/>
          <w:szCs w:val="22"/>
          <w:lang w:val="fi-FI"/>
        </w:rPr>
        <w:t>ä</w:t>
      </w:r>
      <w:r w:rsidR="009F161A" w:rsidRPr="000B0771">
        <w:rPr>
          <w:color w:val="000000"/>
          <w:szCs w:val="22"/>
          <w:lang w:val="fi-FI"/>
        </w:rPr>
        <w:t xml:space="preserve"> tai myeloproliferatiivi</w:t>
      </w:r>
      <w:r w:rsidR="009F161A">
        <w:rPr>
          <w:color w:val="000000"/>
          <w:szCs w:val="22"/>
          <w:lang w:val="fi-FI"/>
        </w:rPr>
        <w:t>sta</w:t>
      </w:r>
      <w:r w:rsidR="009F161A" w:rsidRPr="000B0771">
        <w:rPr>
          <w:color w:val="000000"/>
          <w:szCs w:val="22"/>
          <w:lang w:val="fi-FI"/>
        </w:rPr>
        <w:t xml:space="preserve"> sairau</w:t>
      </w:r>
      <w:r w:rsidR="009F161A">
        <w:rPr>
          <w:color w:val="000000"/>
          <w:szCs w:val="22"/>
          <w:lang w:val="fi-FI"/>
        </w:rPr>
        <w:t>tta,</w:t>
      </w:r>
      <w:r w:rsidR="009F161A" w:rsidRPr="000B0771">
        <w:rPr>
          <w:color w:val="000000"/>
          <w:szCs w:val="22"/>
          <w:lang w:val="fi-FI"/>
        </w:rPr>
        <w:t xml:space="preserve"> </w:t>
      </w:r>
      <w:r w:rsidR="009F161A">
        <w:rPr>
          <w:color w:val="000000"/>
          <w:szCs w:val="22"/>
          <w:lang w:val="fi-FI"/>
        </w:rPr>
        <w:t>d</w:t>
      </w:r>
      <w:r w:rsidR="009F161A" w:rsidRPr="000B0771">
        <w:rPr>
          <w:color w:val="000000"/>
          <w:szCs w:val="22"/>
          <w:lang w:val="fi-FI"/>
        </w:rPr>
        <w:t>ermatofibrosarcoma protuberans</w:t>
      </w:r>
      <w:r w:rsidR="009F161A">
        <w:rPr>
          <w:color w:val="000000"/>
          <w:szCs w:val="22"/>
          <w:lang w:val="fi-FI"/>
        </w:rPr>
        <w:t xml:space="preserve">ia, </w:t>
      </w:r>
      <w:r w:rsidR="009F161A" w:rsidRPr="00172DF9">
        <w:rPr>
          <w:bCs/>
          <w:szCs w:val="22"/>
          <w:lang w:val="fi-FI"/>
        </w:rPr>
        <w:t>pahanlaatuisia ruuansulatuskanavan tukikudosten kasvaimia</w:t>
      </w:r>
      <w:r w:rsidR="009F161A">
        <w:rPr>
          <w:color w:val="000000"/>
          <w:szCs w:val="22"/>
          <w:lang w:val="fi-FI"/>
        </w:rPr>
        <w:t>, h</w:t>
      </w:r>
      <w:r w:rsidR="009F161A" w:rsidRPr="000B0771">
        <w:rPr>
          <w:color w:val="000000"/>
          <w:szCs w:val="22"/>
          <w:lang w:val="fi-FI"/>
        </w:rPr>
        <w:t>ypereosinofiili</w:t>
      </w:r>
      <w:r w:rsidR="009F161A">
        <w:rPr>
          <w:color w:val="000000"/>
          <w:szCs w:val="22"/>
          <w:lang w:val="fi-FI"/>
        </w:rPr>
        <w:t>sta</w:t>
      </w:r>
      <w:r w:rsidR="009F161A" w:rsidRPr="000B0771">
        <w:rPr>
          <w:color w:val="000000"/>
          <w:szCs w:val="22"/>
          <w:lang w:val="fi-FI"/>
        </w:rPr>
        <w:t xml:space="preserve"> oireyhtymä</w:t>
      </w:r>
      <w:r w:rsidR="009F161A">
        <w:rPr>
          <w:color w:val="000000"/>
          <w:szCs w:val="22"/>
          <w:lang w:val="fi-FI"/>
        </w:rPr>
        <w:t>ä</w:t>
      </w:r>
      <w:r w:rsidR="009F161A" w:rsidRPr="000B0771">
        <w:rPr>
          <w:color w:val="000000"/>
          <w:szCs w:val="22"/>
          <w:lang w:val="fi-FI"/>
        </w:rPr>
        <w:t xml:space="preserve"> ja/tai krooni</w:t>
      </w:r>
      <w:r w:rsidR="009F161A">
        <w:rPr>
          <w:color w:val="000000"/>
          <w:szCs w:val="22"/>
          <w:lang w:val="fi-FI"/>
        </w:rPr>
        <w:t>sta</w:t>
      </w:r>
      <w:r w:rsidR="009F161A" w:rsidRPr="000B0771">
        <w:rPr>
          <w:color w:val="000000"/>
          <w:szCs w:val="22"/>
          <w:lang w:val="fi-FI"/>
        </w:rPr>
        <w:t xml:space="preserve"> eosinofiili</w:t>
      </w:r>
      <w:r w:rsidR="009F161A">
        <w:rPr>
          <w:color w:val="000000"/>
          <w:szCs w:val="22"/>
          <w:lang w:val="fi-FI"/>
        </w:rPr>
        <w:t>sta</w:t>
      </w:r>
      <w:r w:rsidR="009F161A" w:rsidRPr="000B0771">
        <w:rPr>
          <w:color w:val="000000"/>
          <w:szCs w:val="22"/>
          <w:lang w:val="fi-FI"/>
        </w:rPr>
        <w:t xml:space="preserve"> leukemia</w:t>
      </w:r>
      <w:r w:rsidR="009F161A">
        <w:rPr>
          <w:color w:val="000000"/>
          <w:szCs w:val="22"/>
          <w:lang w:val="fi-FI"/>
        </w:rPr>
        <w:t>a sairastaville lapsille on hyvin rajallisesti</w:t>
      </w:r>
      <w:r>
        <w:rPr>
          <w:color w:val="000000"/>
          <w:szCs w:val="22"/>
          <w:lang w:val="fi-FI"/>
        </w:rPr>
        <w:t>.</w:t>
      </w:r>
    </w:p>
    <w:p w14:paraId="586FCF3B" w14:textId="77777777" w:rsidR="0076444C" w:rsidRDefault="0076444C" w:rsidP="0076444C">
      <w:pPr>
        <w:pStyle w:val="EndnoteText"/>
        <w:widowControl w:val="0"/>
        <w:tabs>
          <w:tab w:val="clear" w:pos="567"/>
        </w:tabs>
        <w:rPr>
          <w:color w:val="000000"/>
          <w:szCs w:val="22"/>
          <w:lang w:val="fi-FI"/>
        </w:rPr>
      </w:pPr>
    </w:p>
    <w:p w14:paraId="586FCF3C" w14:textId="77777777" w:rsidR="0076444C" w:rsidRDefault="0076444C" w:rsidP="0076444C">
      <w:pPr>
        <w:pStyle w:val="EndnoteText"/>
        <w:widowControl w:val="0"/>
        <w:tabs>
          <w:tab w:val="clear" w:pos="567"/>
        </w:tabs>
        <w:rPr>
          <w:color w:val="000000"/>
          <w:szCs w:val="22"/>
          <w:lang w:val="fi-FI"/>
        </w:rPr>
      </w:pPr>
      <w:r>
        <w:rPr>
          <w:color w:val="000000"/>
          <w:szCs w:val="22"/>
          <w:lang w:val="fi-FI"/>
        </w:rPr>
        <w:t>Joidenkin Gliveciä saavien lasten tai nuorten kasvu voi olla normaalia hitaampaa. Lääkäri seuraa kasvua normaalikäynneillä.</w:t>
      </w:r>
    </w:p>
    <w:p w14:paraId="586FCF3D" w14:textId="77777777" w:rsidR="0076444C" w:rsidRDefault="0076444C" w:rsidP="0076444C">
      <w:pPr>
        <w:pStyle w:val="EndnoteText"/>
        <w:widowControl w:val="0"/>
        <w:tabs>
          <w:tab w:val="clear" w:pos="567"/>
        </w:tabs>
        <w:rPr>
          <w:color w:val="000000"/>
          <w:szCs w:val="22"/>
          <w:lang w:val="fi-FI"/>
        </w:rPr>
      </w:pPr>
    </w:p>
    <w:p w14:paraId="586FCF3E" w14:textId="77777777" w:rsidR="0076444C" w:rsidRDefault="0076444C" w:rsidP="0076444C">
      <w:pPr>
        <w:pStyle w:val="EndnoteText"/>
        <w:keepNext/>
        <w:widowControl w:val="0"/>
        <w:tabs>
          <w:tab w:val="clear" w:pos="567"/>
        </w:tabs>
        <w:rPr>
          <w:b/>
          <w:bCs/>
          <w:noProof/>
          <w:color w:val="000000"/>
          <w:szCs w:val="22"/>
          <w:lang w:val="fi-FI"/>
        </w:rPr>
      </w:pPr>
      <w:r>
        <w:rPr>
          <w:b/>
          <w:bCs/>
          <w:noProof/>
          <w:color w:val="000000"/>
          <w:szCs w:val="22"/>
          <w:lang w:val="fi-FI"/>
        </w:rPr>
        <w:lastRenderedPageBreak/>
        <w:t>Muut lääkevalmisteet ja Glivec</w:t>
      </w:r>
    </w:p>
    <w:p w14:paraId="586FCF3F" w14:textId="77777777" w:rsidR="0076444C" w:rsidRDefault="0076444C" w:rsidP="0076444C">
      <w:pPr>
        <w:pStyle w:val="EndnoteText"/>
        <w:widowControl w:val="0"/>
        <w:tabs>
          <w:tab w:val="clear" w:pos="567"/>
        </w:tabs>
        <w:rPr>
          <w:noProof/>
          <w:color w:val="000000"/>
          <w:szCs w:val="22"/>
          <w:lang w:val="fi-FI"/>
        </w:rPr>
      </w:pPr>
      <w:r>
        <w:rPr>
          <w:noProof/>
          <w:color w:val="000000"/>
          <w:szCs w:val="22"/>
          <w:lang w:val="fi-FI"/>
        </w:rPr>
        <w:t>Kerro lääkärille tai apteekkihenkilökunnalle, jos parhaillaan käytät tai olet äskettäin käyttänyt tai saatat käyttää muita lääkkeitä, myös lääkkeitä, joita lääkäri ei ole määrännyt (kuten parasetamoli), mukaan lukien rohdosvalmisteet (kuten mäkikuismavalmisteet). Jotkut lääkkeet voivat yhtä aikaa käytettynä häiritä Glivecin vaikutusta. Ne voivat lisätä tai vähentää Glivecin vaikutusta joko johtaen haittavaikutusten lisääntymiseen tai Glivecin vaikutuksen vähenemiseen. Glivec voi vaikuttaa samoin joihinkin muihin lääkkeisiin.</w:t>
      </w:r>
    </w:p>
    <w:p w14:paraId="586FCF40" w14:textId="77777777" w:rsidR="00042B71" w:rsidRDefault="00042B71" w:rsidP="0076444C">
      <w:pPr>
        <w:pStyle w:val="EndnoteText"/>
        <w:widowControl w:val="0"/>
        <w:tabs>
          <w:tab w:val="clear" w:pos="567"/>
        </w:tabs>
        <w:rPr>
          <w:color w:val="000000"/>
          <w:szCs w:val="22"/>
          <w:lang w:val="fi-FI"/>
        </w:rPr>
      </w:pPr>
    </w:p>
    <w:p w14:paraId="586FCF41" w14:textId="77777777" w:rsidR="0076444C" w:rsidRDefault="00042B71" w:rsidP="0076444C">
      <w:pPr>
        <w:pStyle w:val="EndnoteText"/>
        <w:widowControl w:val="0"/>
        <w:tabs>
          <w:tab w:val="clear" w:pos="567"/>
        </w:tabs>
        <w:rPr>
          <w:color w:val="000000"/>
          <w:szCs w:val="22"/>
          <w:lang w:val="fi-FI"/>
        </w:rPr>
      </w:pPr>
      <w:r>
        <w:rPr>
          <w:color w:val="000000"/>
          <w:szCs w:val="22"/>
          <w:lang w:val="fi-FI"/>
        </w:rPr>
        <w:t>Kerro lääkärille, jos käytät veritulppien muodostumista ehkäisevää lääkitystä.</w:t>
      </w:r>
    </w:p>
    <w:p w14:paraId="586FCF42" w14:textId="77777777" w:rsidR="00042B71" w:rsidRDefault="00042B71" w:rsidP="0076444C">
      <w:pPr>
        <w:pStyle w:val="EndnoteText"/>
        <w:widowControl w:val="0"/>
        <w:tabs>
          <w:tab w:val="clear" w:pos="567"/>
        </w:tabs>
        <w:rPr>
          <w:color w:val="000000"/>
          <w:szCs w:val="22"/>
          <w:lang w:val="fi-FI"/>
        </w:rPr>
      </w:pPr>
    </w:p>
    <w:p w14:paraId="586FCF43" w14:textId="77777777" w:rsidR="0076444C" w:rsidRDefault="0076444C" w:rsidP="0076444C">
      <w:pPr>
        <w:pStyle w:val="EndnoteText"/>
        <w:keepNext/>
        <w:widowControl w:val="0"/>
        <w:tabs>
          <w:tab w:val="clear" w:pos="567"/>
        </w:tabs>
        <w:rPr>
          <w:b/>
          <w:color w:val="000000"/>
          <w:szCs w:val="22"/>
          <w:lang w:val="fi-FI"/>
        </w:rPr>
      </w:pPr>
      <w:r>
        <w:rPr>
          <w:b/>
          <w:color w:val="000000"/>
          <w:szCs w:val="22"/>
          <w:lang w:val="fi-FI"/>
        </w:rPr>
        <w:t xml:space="preserve">Raskaus, imetys ja </w:t>
      </w:r>
      <w:r w:rsidR="008E4D4C">
        <w:rPr>
          <w:b/>
          <w:color w:val="000000"/>
          <w:szCs w:val="22"/>
          <w:lang w:val="fi-FI"/>
        </w:rPr>
        <w:t>hedelmällisyys</w:t>
      </w:r>
    </w:p>
    <w:p w14:paraId="586FCF44" w14:textId="77777777" w:rsidR="0076444C"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szCs w:val="22"/>
        </w:rPr>
        <w:t>Jos olet raskaana tai imetät, epäilet olevasi raskaana tai jos suunnittelet lapsen hankkimista, kysy lääkäriltä neuvoa ennen tämän lääkkeen käyttöä.</w:t>
      </w:r>
    </w:p>
    <w:p w14:paraId="586FCF45" w14:textId="77777777" w:rsidR="0076444C"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szCs w:val="22"/>
        </w:rPr>
        <w:t>Gliveciä ei suositella raskauden aikana ellei se ole selvästi välttämätöntä, sillä se saattaa vahingoittaa lasta. Lääkärisi keskustelee kanssasi Glivecin raskaudenaikaiseen käyttöön liittyvistä mahdollisista riskeistä.</w:t>
      </w:r>
    </w:p>
    <w:p w14:paraId="586FCF46" w14:textId="77777777" w:rsidR="0076444C" w:rsidRPr="00176737"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szCs w:val="22"/>
        </w:rPr>
        <w:t>Naisia, joilla on mahdollisuus tulla raskaaksi, neuvotaan käyttämään tehokasta raskaudenehkäisyä hoidon aikana</w:t>
      </w:r>
      <w:r w:rsidR="00CD1774">
        <w:rPr>
          <w:rFonts w:ascii="Times New Roman" w:hAnsi="Times New Roman"/>
          <w:sz w:val="22"/>
          <w:szCs w:val="22"/>
        </w:rPr>
        <w:t xml:space="preserve"> ja 15 päivän ajan hoidon lopettamisen jälkeen</w:t>
      </w:r>
      <w:r>
        <w:rPr>
          <w:rFonts w:ascii="Times New Roman" w:hAnsi="Times New Roman"/>
          <w:sz w:val="22"/>
          <w:szCs w:val="22"/>
        </w:rPr>
        <w:t>.</w:t>
      </w:r>
    </w:p>
    <w:p w14:paraId="586FCF47" w14:textId="77777777" w:rsidR="0076444C"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szCs w:val="22"/>
        </w:rPr>
        <w:t>Älä imetä Glivec-hoidon aikana</w:t>
      </w:r>
      <w:r w:rsidR="00AC4C4E">
        <w:rPr>
          <w:rFonts w:ascii="Times New Roman" w:hAnsi="Times New Roman"/>
          <w:sz w:val="22"/>
          <w:szCs w:val="22"/>
        </w:rPr>
        <w:t>, äläkä 15 päivään hoidon lopettamisen jälkeen, koska se voi olla vahingollista lapsellesi</w:t>
      </w:r>
      <w:r>
        <w:rPr>
          <w:rFonts w:ascii="Times New Roman" w:hAnsi="Times New Roman"/>
          <w:sz w:val="22"/>
          <w:szCs w:val="22"/>
        </w:rPr>
        <w:t>.</w:t>
      </w:r>
    </w:p>
    <w:p w14:paraId="586FCF48" w14:textId="77777777" w:rsidR="0076444C"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rPr>
        <w:t>Potilaiden, jotka ovat huolissaan Glivec-hoidon vaikutuksesta hedelmällisyyteen, tulee keskustella lääkärin kanssa.</w:t>
      </w:r>
    </w:p>
    <w:p w14:paraId="586FCF49" w14:textId="77777777" w:rsidR="0076444C" w:rsidRDefault="0076444C" w:rsidP="0076444C">
      <w:pPr>
        <w:widowControl w:val="0"/>
        <w:rPr>
          <w:rFonts w:ascii="Times New Roman" w:hAnsi="Times New Roman"/>
          <w:sz w:val="22"/>
          <w:szCs w:val="22"/>
        </w:rPr>
      </w:pPr>
    </w:p>
    <w:p w14:paraId="586FCF4A" w14:textId="77777777" w:rsidR="0076444C" w:rsidRDefault="0076444C" w:rsidP="0076444C">
      <w:pPr>
        <w:pStyle w:val="Heading1"/>
        <w:widowControl w:val="0"/>
        <w:rPr>
          <w:szCs w:val="22"/>
        </w:rPr>
      </w:pPr>
      <w:r>
        <w:rPr>
          <w:szCs w:val="22"/>
        </w:rPr>
        <w:t>Ajaminen ja koneiden käyttö</w:t>
      </w:r>
    </w:p>
    <w:p w14:paraId="586FCF4B" w14:textId="77777777" w:rsidR="0076444C" w:rsidRDefault="0076444C" w:rsidP="0076444C">
      <w:pPr>
        <w:widowControl w:val="0"/>
        <w:ind w:right="-29"/>
        <w:rPr>
          <w:rFonts w:ascii="Times New Roman" w:hAnsi="Times New Roman"/>
          <w:sz w:val="22"/>
          <w:szCs w:val="22"/>
        </w:rPr>
      </w:pPr>
      <w:r>
        <w:rPr>
          <w:rFonts w:ascii="Times New Roman" w:hAnsi="Times New Roman"/>
          <w:sz w:val="22"/>
          <w:szCs w:val="22"/>
        </w:rPr>
        <w:t>Voit kokea tämän lääkkeen käytön aikana huimausta, uneliaisuutta tai näön hämärtymistä. Jos saat näitä oireita, älä aja autoa tai käytä mitään työvälineitä tai koneita ennen kuin tunnet olosi taas hyväksi.</w:t>
      </w:r>
    </w:p>
    <w:p w14:paraId="586FCF4C" w14:textId="77777777" w:rsidR="008F2D51" w:rsidRDefault="008F2D51" w:rsidP="008F2D51">
      <w:pPr>
        <w:widowControl w:val="0"/>
        <w:ind w:right="-29"/>
        <w:rPr>
          <w:rFonts w:ascii="Times New Roman" w:hAnsi="Times New Roman"/>
          <w:sz w:val="22"/>
          <w:szCs w:val="22"/>
        </w:rPr>
      </w:pPr>
    </w:p>
    <w:p w14:paraId="586FCF4D" w14:textId="77777777" w:rsidR="008F2D51" w:rsidRDefault="008F2D51" w:rsidP="008F2D51">
      <w:pPr>
        <w:widowControl w:val="0"/>
        <w:ind w:right="-29"/>
        <w:rPr>
          <w:rFonts w:ascii="Times New Roman" w:hAnsi="Times New Roman"/>
          <w:sz w:val="22"/>
          <w:szCs w:val="22"/>
        </w:rPr>
      </w:pPr>
    </w:p>
    <w:p w14:paraId="586FCF4E" w14:textId="77777777" w:rsidR="008F2D51" w:rsidRDefault="008F2D51" w:rsidP="00774A0B">
      <w:pPr>
        <w:keepNext/>
        <w:widowControl w:val="0"/>
        <w:ind w:left="567" w:right="-2" w:hanging="567"/>
        <w:rPr>
          <w:rFonts w:ascii="Times New Roman" w:hAnsi="Times New Roman"/>
          <w:b/>
          <w:sz w:val="22"/>
          <w:szCs w:val="22"/>
        </w:rPr>
      </w:pPr>
      <w:r>
        <w:rPr>
          <w:rFonts w:ascii="Times New Roman" w:hAnsi="Times New Roman"/>
          <w:b/>
          <w:sz w:val="22"/>
          <w:szCs w:val="22"/>
        </w:rPr>
        <w:t>3.</w:t>
      </w:r>
      <w:r>
        <w:rPr>
          <w:rFonts w:ascii="Times New Roman" w:hAnsi="Times New Roman"/>
          <w:b/>
          <w:sz w:val="22"/>
          <w:szCs w:val="22"/>
        </w:rPr>
        <w:tab/>
        <w:t>M</w:t>
      </w:r>
      <w:r w:rsidR="008A0F84">
        <w:rPr>
          <w:rFonts w:ascii="Times New Roman" w:hAnsi="Times New Roman"/>
          <w:b/>
          <w:sz w:val="22"/>
          <w:szCs w:val="22"/>
        </w:rPr>
        <w:t>iten Gliveciä käytetään</w:t>
      </w:r>
    </w:p>
    <w:p w14:paraId="586FCF4F" w14:textId="77777777" w:rsidR="008F2D51" w:rsidRDefault="008F2D51" w:rsidP="00774A0B">
      <w:pPr>
        <w:keepNext/>
        <w:rPr>
          <w:rFonts w:ascii="Times New Roman" w:hAnsi="Times New Roman"/>
          <w:sz w:val="22"/>
          <w:szCs w:val="22"/>
        </w:rPr>
      </w:pPr>
    </w:p>
    <w:p w14:paraId="586FCF50" w14:textId="77777777" w:rsidR="008F2D51" w:rsidRDefault="008F2D51" w:rsidP="008F2D51">
      <w:pPr>
        <w:rPr>
          <w:rFonts w:ascii="Times New Roman" w:hAnsi="Times New Roman"/>
          <w:noProof/>
          <w:sz w:val="22"/>
          <w:szCs w:val="22"/>
        </w:rPr>
      </w:pPr>
      <w:r>
        <w:rPr>
          <w:rFonts w:ascii="Times New Roman" w:hAnsi="Times New Roman"/>
          <w:noProof/>
          <w:sz w:val="22"/>
          <w:szCs w:val="22"/>
        </w:rPr>
        <w:t>Lääkärisi on määrännyt sinulle Gliveciä, koska sinulla on vakava sairaus. Glivec voi auttaa sinua parantumaan tästä sairaudesta.</w:t>
      </w:r>
    </w:p>
    <w:p w14:paraId="586FCF51" w14:textId="77777777" w:rsidR="008F2D51" w:rsidRDefault="008F2D51" w:rsidP="008F2D51">
      <w:pPr>
        <w:rPr>
          <w:rFonts w:ascii="Times New Roman" w:hAnsi="Times New Roman"/>
          <w:noProof/>
          <w:sz w:val="22"/>
          <w:szCs w:val="22"/>
        </w:rPr>
      </w:pPr>
    </w:p>
    <w:p w14:paraId="586FCF52" w14:textId="77777777" w:rsidR="008F2D51" w:rsidRDefault="008F2D51" w:rsidP="008F2D51">
      <w:pPr>
        <w:rPr>
          <w:rFonts w:ascii="Times New Roman" w:hAnsi="Times New Roman"/>
          <w:noProof/>
          <w:sz w:val="22"/>
          <w:szCs w:val="22"/>
        </w:rPr>
      </w:pPr>
      <w:r>
        <w:rPr>
          <w:rFonts w:ascii="Times New Roman" w:hAnsi="Times New Roman"/>
          <w:noProof/>
          <w:sz w:val="22"/>
          <w:szCs w:val="22"/>
        </w:rPr>
        <w:t xml:space="preserve">Käytä </w:t>
      </w:r>
      <w:r w:rsidR="001B176A">
        <w:rPr>
          <w:rFonts w:ascii="Times New Roman" w:hAnsi="Times New Roman"/>
          <w:noProof/>
          <w:sz w:val="22"/>
          <w:szCs w:val="22"/>
        </w:rPr>
        <w:t>tätä lääkettä</w:t>
      </w:r>
      <w:r>
        <w:rPr>
          <w:rFonts w:ascii="Times New Roman" w:hAnsi="Times New Roman"/>
          <w:noProof/>
          <w:sz w:val="22"/>
          <w:szCs w:val="22"/>
        </w:rPr>
        <w:t xml:space="preserve"> kuitenkin juuri </w:t>
      </w:r>
      <w:r w:rsidR="001B176A">
        <w:rPr>
          <w:rFonts w:ascii="Times New Roman" w:hAnsi="Times New Roman"/>
          <w:noProof/>
          <w:sz w:val="22"/>
          <w:szCs w:val="22"/>
        </w:rPr>
        <w:t>siten</w:t>
      </w:r>
      <w:r>
        <w:rPr>
          <w:rFonts w:ascii="Times New Roman" w:hAnsi="Times New Roman"/>
          <w:noProof/>
          <w:sz w:val="22"/>
          <w:szCs w:val="22"/>
        </w:rPr>
        <w:t xml:space="preserve"> kuin lääkäri on määrännyt</w:t>
      </w:r>
      <w:r w:rsidR="001B176A">
        <w:rPr>
          <w:rFonts w:ascii="Times New Roman" w:hAnsi="Times New Roman"/>
          <w:noProof/>
          <w:sz w:val="22"/>
          <w:szCs w:val="22"/>
        </w:rPr>
        <w:t xml:space="preserve"> tai apteekkihenkilökunta on neuvonut</w:t>
      </w:r>
      <w:r>
        <w:rPr>
          <w:rFonts w:ascii="Times New Roman" w:hAnsi="Times New Roman"/>
          <w:noProof/>
          <w:sz w:val="22"/>
          <w:szCs w:val="22"/>
        </w:rPr>
        <w:t xml:space="preserve">. On tärkeää, että teet näin niin pitkään kuin lääkärisi </w:t>
      </w:r>
      <w:r w:rsidR="001B176A">
        <w:rPr>
          <w:rFonts w:ascii="Times New Roman" w:hAnsi="Times New Roman"/>
          <w:noProof/>
          <w:sz w:val="22"/>
          <w:szCs w:val="22"/>
        </w:rPr>
        <w:t xml:space="preserve">tai apteekkihenkilökunta </w:t>
      </w:r>
      <w:r>
        <w:rPr>
          <w:rFonts w:ascii="Times New Roman" w:hAnsi="Times New Roman"/>
          <w:noProof/>
          <w:sz w:val="22"/>
          <w:szCs w:val="22"/>
        </w:rPr>
        <w:t>neuvoo. Tarkista ohjeet lääkäriltä tai apteekista, jos olet epävarma.</w:t>
      </w:r>
    </w:p>
    <w:p w14:paraId="586FCF53" w14:textId="77777777" w:rsidR="008F2D51" w:rsidRDefault="008F2D51" w:rsidP="008F2D51">
      <w:pPr>
        <w:rPr>
          <w:rFonts w:ascii="Times New Roman" w:hAnsi="Times New Roman"/>
          <w:noProof/>
          <w:sz w:val="22"/>
          <w:szCs w:val="22"/>
        </w:rPr>
      </w:pPr>
    </w:p>
    <w:p w14:paraId="586FCF54" w14:textId="77777777" w:rsidR="008F2D51" w:rsidRDefault="008F2D51" w:rsidP="008F2D51">
      <w:pPr>
        <w:rPr>
          <w:rFonts w:ascii="Times New Roman" w:hAnsi="Times New Roman"/>
          <w:noProof/>
          <w:sz w:val="22"/>
          <w:szCs w:val="22"/>
        </w:rPr>
      </w:pPr>
      <w:r>
        <w:rPr>
          <w:rFonts w:ascii="Times New Roman" w:hAnsi="Times New Roman"/>
          <w:noProof/>
          <w:sz w:val="22"/>
          <w:szCs w:val="22"/>
        </w:rPr>
        <w:t>Älä lopeta Glivecin käyttöä, ellei lääkärisi neuvo sinua lopettamaan. Jos et pysty ottamaan lääkettä lääkärin ohjeiden mukaisesti tai jos et enää koe tarvitsevasi sitä, ota välittömästi yhteys lääkäriisi.</w:t>
      </w:r>
    </w:p>
    <w:p w14:paraId="586FCF55" w14:textId="77777777" w:rsidR="008F2D51" w:rsidRDefault="008F2D51" w:rsidP="008F2D51">
      <w:pPr>
        <w:rPr>
          <w:rFonts w:ascii="Times New Roman" w:hAnsi="Times New Roman"/>
          <w:sz w:val="22"/>
          <w:szCs w:val="22"/>
        </w:rPr>
      </w:pPr>
    </w:p>
    <w:p w14:paraId="586FCF56" w14:textId="77777777" w:rsidR="008F2D51" w:rsidRDefault="00FF0332" w:rsidP="00774A0B">
      <w:pPr>
        <w:pStyle w:val="Heading2"/>
        <w:widowControl w:val="0"/>
        <w:tabs>
          <w:tab w:val="clear" w:pos="567"/>
        </w:tabs>
        <w:spacing w:before="0" w:after="0" w:line="240" w:lineRule="auto"/>
        <w:rPr>
          <w:rFonts w:ascii="Times New Roman" w:hAnsi="Times New Roman"/>
          <w:i w:val="0"/>
          <w:color w:val="000000"/>
          <w:sz w:val="22"/>
          <w:szCs w:val="22"/>
          <w:lang w:val="fi-FI"/>
        </w:rPr>
      </w:pPr>
      <w:r>
        <w:rPr>
          <w:rFonts w:ascii="Times New Roman" w:hAnsi="Times New Roman"/>
          <w:i w:val="0"/>
          <w:color w:val="000000"/>
          <w:sz w:val="22"/>
          <w:szCs w:val="22"/>
          <w:lang w:val="fi-FI"/>
        </w:rPr>
        <w:t>Glivec-a</w:t>
      </w:r>
      <w:r w:rsidR="008F2D51">
        <w:rPr>
          <w:rFonts w:ascii="Times New Roman" w:hAnsi="Times New Roman"/>
          <w:i w:val="0"/>
          <w:color w:val="000000"/>
          <w:sz w:val="22"/>
          <w:szCs w:val="22"/>
          <w:lang w:val="fi-FI"/>
        </w:rPr>
        <w:t>nnostus</w:t>
      </w:r>
    </w:p>
    <w:p w14:paraId="586FCF57" w14:textId="77777777" w:rsidR="008F2D51" w:rsidRDefault="008F2D51" w:rsidP="00774A0B">
      <w:pPr>
        <w:keepNext/>
        <w:rPr>
          <w:rFonts w:ascii="Times New Roman" w:hAnsi="Times New Roman"/>
          <w:sz w:val="22"/>
          <w:szCs w:val="22"/>
        </w:rPr>
      </w:pPr>
    </w:p>
    <w:p w14:paraId="586FCF58" w14:textId="77777777" w:rsidR="008F2D51" w:rsidRDefault="008F2D51" w:rsidP="00774A0B">
      <w:pPr>
        <w:keepNext/>
        <w:rPr>
          <w:rFonts w:ascii="Times New Roman" w:hAnsi="Times New Roman"/>
          <w:b/>
          <w:sz w:val="22"/>
          <w:szCs w:val="22"/>
        </w:rPr>
      </w:pPr>
      <w:r>
        <w:rPr>
          <w:rFonts w:ascii="Times New Roman" w:hAnsi="Times New Roman"/>
          <w:b/>
          <w:sz w:val="22"/>
          <w:szCs w:val="22"/>
        </w:rPr>
        <w:t>Käyttö aikuisill</w:t>
      </w:r>
      <w:r w:rsidR="00FF0332">
        <w:rPr>
          <w:rFonts w:ascii="Times New Roman" w:hAnsi="Times New Roman"/>
          <w:b/>
          <w:sz w:val="22"/>
          <w:szCs w:val="22"/>
        </w:rPr>
        <w:t>e</w:t>
      </w:r>
    </w:p>
    <w:p w14:paraId="586FCF59" w14:textId="77777777" w:rsidR="008F2D51" w:rsidRDefault="008F2D51" w:rsidP="00774A0B">
      <w:pPr>
        <w:pStyle w:val="Text"/>
        <w:keepNext/>
        <w:widowControl w:val="0"/>
        <w:spacing w:before="0"/>
        <w:jc w:val="left"/>
        <w:rPr>
          <w:color w:val="000000"/>
          <w:sz w:val="22"/>
          <w:szCs w:val="22"/>
          <w:lang w:val="fi-FI"/>
        </w:rPr>
      </w:pPr>
      <w:r>
        <w:rPr>
          <w:color w:val="000000"/>
          <w:sz w:val="22"/>
          <w:szCs w:val="22"/>
          <w:lang w:val="fi-FI"/>
        </w:rPr>
        <w:t>Lääkärisi kertoo sinulle tarkalleen, kuinka monta Glivec-kapselia sinun tulee ottaa.</w:t>
      </w:r>
    </w:p>
    <w:p w14:paraId="586FCF5A" w14:textId="77777777" w:rsidR="008F2D51" w:rsidRDefault="008F2D51" w:rsidP="00774A0B">
      <w:pPr>
        <w:pStyle w:val="Text"/>
        <w:keepNext/>
        <w:widowControl w:val="0"/>
        <w:spacing w:before="0"/>
        <w:jc w:val="left"/>
        <w:rPr>
          <w:color w:val="000000"/>
          <w:sz w:val="22"/>
          <w:szCs w:val="22"/>
          <w:lang w:val="fi-FI"/>
        </w:rPr>
      </w:pPr>
    </w:p>
    <w:p w14:paraId="586FCF5B" w14:textId="77777777" w:rsidR="008F2D51" w:rsidRDefault="008F2D51" w:rsidP="00774A0B">
      <w:pPr>
        <w:pStyle w:val="Text"/>
        <w:keepNext/>
        <w:widowControl w:val="0"/>
        <w:numPr>
          <w:ilvl w:val="0"/>
          <w:numId w:val="19"/>
        </w:numPr>
        <w:tabs>
          <w:tab w:val="clear" w:pos="454"/>
        </w:tabs>
        <w:spacing w:before="0"/>
        <w:ind w:left="567" w:hanging="567"/>
        <w:jc w:val="left"/>
        <w:rPr>
          <w:b/>
          <w:color w:val="000000"/>
          <w:sz w:val="22"/>
          <w:szCs w:val="22"/>
          <w:lang w:val="fi-FI"/>
        </w:rPr>
      </w:pPr>
      <w:r>
        <w:rPr>
          <w:b/>
          <w:color w:val="000000"/>
          <w:sz w:val="22"/>
          <w:szCs w:val="22"/>
          <w:lang w:val="fi-FI"/>
        </w:rPr>
        <w:t>Jos saat hoitoa krooniseen myelooiseen leukemiaan:</w:t>
      </w:r>
    </w:p>
    <w:p w14:paraId="586FCF5C" w14:textId="77777777" w:rsidR="008F2D51" w:rsidRDefault="008F2D51" w:rsidP="00774A0B">
      <w:pPr>
        <w:pStyle w:val="Text"/>
        <w:keepNext/>
        <w:widowControl w:val="0"/>
        <w:spacing w:before="0"/>
        <w:ind w:firstLine="567"/>
        <w:jc w:val="left"/>
        <w:rPr>
          <w:color w:val="000000"/>
          <w:sz w:val="22"/>
          <w:szCs w:val="22"/>
          <w:lang w:val="fi-FI"/>
        </w:rPr>
      </w:pPr>
      <w:r>
        <w:rPr>
          <w:color w:val="000000"/>
          <w:sz w:val="22"/>
          <w:szCs w:val="22"/>
          <w:lang w:val="fi-FI"/>
        </w:rPr>
        <w:t>Voinnistasi riippuen tavanomainen aloitusannos on joko 400 mg tai 600 mg:</w:t>
      </w:r>
    </w:p>
    <w:p w14:paraId="586FCF5D" w14:textId="77777777" w:rsidR="008F2D51" w:rsidRDefault="008F2D51" w:rsidP="00774A0B">
      <w:pPr>
        <w:pStyle w:val="Text"/>
        <w:keepNext/>
        <w:widowControl w:val="0"/>
        <w:numPr>
          <w:ilvl w:val="0"/>
          <w:numId w:val="1"/>
        </w:numPr>
        <w:spacing w:before="0"/>
        <w:ind w:left="1134" w:hanging="567"/>
        <w:jc w:val="left"/>
        <w:rPr>
          <w:color w:val="000000"/>
          <w:sz w:val="22"/>
          <w:szCs w:val="22"/>
          <w:lang w:val="fi-FI"/>
        </w:rPr>
      </w:pPr>
      <w:r>
        <w:rPr>
          <w:b/>
          <w:color w:val="000000"/>
          <w:sz w:val="22"/>
          <w:szCs w:val="22"/>
          <w:lang w:val="fi-FI"/>
        </w:rPr>
        <w:t>400 mg</w:t>
      </w:r>
      <w:r>
        <w:rPr>
          <w:color w:val="000000"/>
          <w:sz w:val="22"/>
          <w:szCs w:val="22"/>
          <w:lang w:val="fi-FI"/>
        </w:rPr>
        <w:t xml:space="preserve"> eli 4 kapselia </w:t>
      </w:r>
      <w:r>
        <w:rPr>
          <w:b/>
          <w:color w:val="000000"/>
          <w:sz w:val="22"/>
          <w:szCs w:val="22"/>
          <w:lang w:val="fi-FI"/>
        </w:rPr>
        <w:t>kerran</w:t>
      </w:r>
      <w:r>
        <w:rPr>
          <w:color w:val="000000"/>
          <w:sz w:val="22"/>
          <w:szCs w:val="22"/>
          <w:lang w:val="fi-FI"/>
        </w:rPr>
        <w:t xml:space="preserve"> vuorokaudessa.</w:t>
      </w:r>
    </w:p>
    <w:p w14:paraId="586FCF5E" w14:textId="77777777" w:rsidR="008F2D51" w:rsidRDefault="008F2D51" w:rsidP="008F2D51">
      <w:pPr>
        <w:pStyle w:val="Text"/>
        <w:widowControl w:val="0"/>
        <w:numPr>
          <w:ilvl w:val="0"/>
          <w:numId w:val="1"/>
        </w:numPr>
        <w:spacing w:before="0"/>
        <w:ind w:left="1134" w:hanging="567"/>
        <w:jc w:val="left"/>
        <w:rPr>
          <w:color w:val="000000"/>
          <w:sz w:val="22"/>
          <w:szCs w:val="22"/>
          <w:lang w:val="fi-FI"/>
        </w:rPr>
      </w:pPr>
      <w:r>
        <w:rPr>
          <w:b/>
          <w:color w:val="000000"/>
          <w:sz w:val="22"/>
          <w:szCs w:val="22"/>
          <w:lang w:val="fi-FI"/>
        </w:rPr>
        <w:t>600 mg</w:t>
      </w:r>
      <w:r>
        <w:rPr>
          <w:color w:val="000000"/>
          <w:sz w:val="22"/>
          <w:szCs w:val="22"/>
          <w:lang w:val="fi-FI"/>
        </w:rPr>
        <w:t xml:space="preserve"> eli 6 kapselia </w:t>
      </w:r>
      <w:r>
        <w:rPr>
          <w:b/>
          <w:color w:val="000000"/>
          <w:sz w:val="22"/>
          <w:szCs w:val="22"/>
          <w:lang w:val="fi-FI"/>
        </w:rPr>
        <w:t>kerran</w:t>
      </w:r>
      <w:r>
        <w:rPr>
          <w:color w:val="000000"/>
          <w:sz w:val="22"/>
          <w:szCs w:val="22"/>
          <w:lang w:val="fi-FI"/>
        </w:rPr>
        <w:t xml:space="preserve"> vuorokaudessa.</w:t>
      </w:r>
    </w:p>
    <w:p w14:paraId="586FCF5F" w14:textId="77777777" w:rsidR="008F2D51" w:rsidRDefault="008F2D51" w:rsidP="008F2D51">
      <w:pPr>
        <w:pStyle w:val="Text"/>
        <w:widowControl w:val="0"/>
        <w:spacing w:before="0"/>
        <w:jc w:val="left"/>
        <w:rPr>
          <w:color w:val="000000"/>
          <w:sz w:val="22"/>
          <w:szCs w:val="22"/>
          <w:lang w:val="fi-FI"/>
        </w:rPr>
      </w:pPr>
    </w:p>
    <w:p w14:paraId="586FCF60" w14:textId="77777777" w:rsidR="008F2D51" w:rsidRDefault="008F2D51" w:rsidP="00774A0B">
      <w:pPr>
        <w:pStyle w:val="Text"/>
        <w:keepNext/>
        <w:widowControl w:val="0"/>
        <w:numPr>
          <w:ilvl w:val="0"/>
          <w:numId w:val="20"/>
        </w:numPr>
        <w:tabs>
          <w:tab w:val="clear" w:pos="454"/>
        </w:tabs>
        <w:spacing w:before="0"/>
        <w:ind w:left="567" w:hanging="567"/>
        <w:jc w:val="left"/>
        <w:rPr>
          <w:b/>
          <w:color w:val="000000"/>
          <w:sz w:val="22"/>
          <w:szCs w:val="22"/>
          <w:lang w:val="fi-FI"/>
        </w:rPr>
      </w:pPr>
      <w:r>
        <w:rPr>
          <w:b/>
          <w:color w:val="000000"/>
          <w:sz w:val="22"/>
          <w:szCs w:val="22"/>
          <w:lang w:val="fi-FI"/>
        </w:rPr>
        <w:t>Jos saat hoitoa ruuansulatuskanavan tukikudosten kasvaimiin:</w:t>
      </w:r>
    </w:p>
    <w:p w14:paraId="586FCF61" w14:textId="77777777" w:rsidR="008F2D51" w:rsidRDefault="008F2D51" w:rsidP="00774A0B">
      <w:pPr>
        <w:pStyle w:val="Text"/>
        <w:widowControl w:val="0"/>
        <w:spacing w:before="0"/>
        <w:ind w:firstLine="567"/>
        <w:jc w:val="left"/>
        <w:rPr>
          <w:color w:val="000000"/>
          <w:sz w:val="22"/>
          <w:szCs w:val="22"/>
          <w:lang w:val="fi-FI"/>
        </w:rPr>
      </w:pPr>
      <w:r>
        <w:rPr>
          <w:color w:val="000000"/>
          <w:sz w:val="22"/>
          <w:szCs w:val="22"/>
          <w:lang w:val="fi-FI"/>
        </w:rPr>
        <w:t xml:space="preserve">Aloitusannos on 400 mg eli 4 kapselia </w:t>
      </w:r>
      <w:r>
        <w:rPr>
          <w:b/>
          <w:color w:val="000000"/>
          <w:sz w:val="22"/>
          <w:szCs w:val="22"/>
          <w:lang w:val="fi-FI"/>
        </w:rPr>
        <w:t>kerran</w:t>
      </w:r>
      <w:r>
        <w:rPr>
          <w:color w:val="000000"/>
          <w:sz w:val="22"/>
          <w:szCs w:val="22"/>
          <w:lang w:val="fi-FI"/>
        </w:rPr>
        <w:t xml:space="preserve"> vuorokaudessa.</w:t>
      </w:r>
    </w:p>
    <w:p w14:paraId="586FCF62" w14:textId="77777777" w:rsidR="008F2D51" w:rsidRDefault="008F2D51" w:rsidP="008F2D51">
      <w:pPr>
        <w:pStyle w:val="Text"/>
        <w:widowControl w:val="0"/>
        <w:spacing w:before="0"/>
        <w:jc w:val="left"/>
        <w:rPr>
          <w:color w:val="000000"/>
          <w:sz w:val="22"/>
          <w:szCs w:val="22"/>
          <w:lang w:val="fi-FI"/>
        </w:rPr>
      </w:pPr>
    </w:p>
    <w:p w14:paraId="586FCF63" w14:textId="77777777" w:rsidR="008F2D51" w:rsidRDefault="008F2D51" w:rsidP="008F2D51">
      <w:pPr>
        <w:pStyle w:val="Text"/>
        <w:widowControl w:val="0"/>
        <w:spacing w:before="0"/>
        <w:jc w:val="left"/>
        <w:rPr>
          <w:color w:val="000000"/>
          <w:sz w:val="22"/>
          <w:szCs w:val="22"/>
          <w:lang w:val="fi-FI"/>
        </w:rPr>
      </w:pPr>
      <w:r>
        <w:rPr>
          <w:color w:val="000000"/>
          <w:sz w:val="22"/>
          <w:szCs w:val="22"/>
          <w:lang w:val="fi-FI"/>
        </w:rPr>
        <w:t>KML:n ja GIST:in hoidossa lääkärisi saattaa määrätä suuremman tai pienemmän annoksen hoitovasteen perusteella. Jos päivittäinen annoksesi on 800 mg (8 kapselia), sinun tulee ottaa 4 kapselia aamulla ja 4 kapselia illalla.</w:t>
      </w:r>
    </w:p>
    <w:p w14:paraId="586FCF64" w14:textId="77777777" w:rsidR="008F2D51" w:rsidRDefault="008F2D51" w:rsidP="008F2D51">
      <w:pPr>
        <w:pStyle w:val="Text"/>
        <w:widowControl w:val="0"/>
        <w:spacing w:before="0"/>
        <w:jc w:val="left"/>
        <w:rPr>
          <w:color w:val="000000"/>
          <w:sz w:val="22"/>
          <w:szCs w:val="22"/>
          <w:lang w:val="fi-FI"/>
        </w:rPr>
      </w:pPr>
    </w:p>
    <w:p w14:paraId="586FCF65" w14:textId="77777777" w:rsidR="008F2D51" w:rsidRDefault="008F2D51" w:rsidP="00774A0B">
      <w:pPr>
        <w:pStyle w:val="Text"/>
        <w:keepNext/>
        <w:keepLines/>
        <w:widowControl w:val="0"/>
        <w:numPr>
          <w:ilvl w:val="0"/>
          <w:numId w:val="20"/>
        </w:numPr>
        <w:tabs>
          <w:tab w:val="clear" w:pos="454"/>
        </w:tabs>
        <w:spacing w:before="0"/>
        <w:ind w:left="567" w:hanging="567"/>
        <w:jc w:val="left"/>
        <w:rPr>
          <w:b/>
          <w:color w:val="000000"/>
          <w:sz w:val="22"/>
          <w:szCs w:val="22"/>
          <w:lang w:val="fi-FI"/>
        </w:rPr>
      </w:pPr>
      <w:r>
        <w:rPr>
          <w:b/>
          <w:color w:val="000000"/>
          <w:sz w:val="22"/>
          <w:szCs w:val="22"/>
          <w:lang w:val="fi-FI"/>
        </w:rPr>
        <w:lastRenderedPageBreak/>
        <w:t>Jos saat hoitoa Philadelphia-kromosomipositiiviseen akuuttiin lymfaattiseen leukemiaan (Ph+ ALL):</w:t>
      </w:r>
    </w:p>
    <w:p w14:paraId="586FCF66" w14:textId="77777777" w:rsidR="008F2D51" w:rsidRDefault="008F2D51" w:rsidP="008F2D51">
      <w:pPr>
        <w:pStyle w:val="Text"/>
        <w:widowControl w:val="0"/>
        <w:spacing w:before="0"/>
        <w:ind w:firstLine="567"/>
        <w:jc w:val="left"/>
        <w:rPr>
          <w:color w:val="000000"/>
          <w:sz w:val="22"/>
          <w:szCs w:val="22"/>
          <w:lang w:val="fi-FI"/>
        </w:rPr>
      </w:pPr>
      <w:r>
        <w:rPr>
          <w:color w:val="000000"/>
          <w:sz w:val="22"/>
          <w:szCs w:val="22"/>
          <w:lang w:val="fi-FI"/>
        </w:rPr>
        <w:t xml:space="preserve">Aloitusannos on 600 mg eli 6 kapselia </w:t>
      </w:r>
      <w:r>
        <w:rPr>
          <w:b/>
          <w:color w:val="000000"/>
          <w:sz w:val="22"/>
          <w:szCs w:val="22"/>
          <w:lang w:val="fi-FI"/>
        </w:rPr>
        <w:t>kerran</w:t>
      </w:r>
      <w:r>
        <w:rPr>
          <w:color w:val="000000"/>
          <w:sz w:val="22"/>
          <w:szCs w:val="22"/>
          <w:lang w:val="fi-FI"/>
        </w:rPr>
        <w:t xml:space="preserve"> vuorokaudessa.</w:t>
      </w:r>
    </w:p>
    <w:p w14:paraId="586FCF67" w14:textId="77777777" w:rsidR="008F2D51" w:rsidRDefault="008F2D51" w:rsidP="008F2D51">
      <w:pPr>
        <w:pStyle w:val="Text"/>
        <w:widowControl w:val="0"/>
        <w:spacing w:before="0"/>
        <w:jc w:val="left"/>
        <w:rPr>
          <w:color w:val="000000"/>
          <w:sz w:val="22"/>
          <w:szCs w:val="22"/>
          <w:lang w:val="fi-FI"/>
        </w:rPr>
      </w:pPr>
    </w:p>
    <w:p w14:paraId="586FCF68" w14:textId="77777777" w:rsidR="008F2D51" w:rsidRDefault="008F2D51" w:rsidP="008F2D51">
      <w:pPr>
        <w:pStyle w:val="Text"/>
        <w:widowControl w:val="0"/>
        <w:numPr>
          <w:ilvl w:val="0"/>
          <w:numId w:val="20"/>
        </w:numPr>
        <w:tabs>
          <w:tab w:val="clear" w:pos="454"/>
        </w:tabs>
        <w:spacing w:before="0"/>
        <w:ind w:left="567" w:hanging="567"/>
        <w:jc w:val="left"/>
        <w:rPr>
          <w:color w:val="000000"/>
          <w:sz w:val="22"/>
          <w:szCs w:val="22"/>
          <w:lang w:val="fi-FI"/>
        </w:rPr>
      </w:pPr>
      <w:r>
        <w:rPr>
          <w:b/>
          <w:color w:val="000000"/>
          <w:sz w:val="22"/>
          <w:szCs w:val="22"/>
          <w:lang w:val="fi-FI"/>
        </w:rPr>
        <w:t>Jos saat hoitoa myelodysplastiseen oireyhtymään tai myeloproliferatiiviseen sairauteen (MDS/MPD):</w:t>
      </w:r>
    </w:p>
    <w:p w14:paraId="586FCF69" w14:textId="77777777" w:rsidR="008F2D51" w:rsidRDefault="008F2D51" w:rsidP="008F2D51">
      <w:pPr>
        <w:pStyle w:val="Text"/>
        <w:widowControl w:val="0"/>
        <w:spacing w:before="0"/>
        <w:ind w:firstLine="567"/>
        <w:jc w:val="left"/>
        <w:rPr>
          <w:color w:val="000000"/>
          <w:sz w:val="22"/>
          <w:szCs w:val="22"/>
          <w:lang w:val="fi-FI"/>
        </w:rPr>
      </w:pPr>
      <w:r>
        <w:rPr>
          <w:color w:val="000000"/>
          <w:sz w:val="22"/>
          <w:szCs w:val="22"/>
          <w:lang w:val="fi-FI"/>
        </w:rPr>
        <w:t xml:space="preserve">Aloitusannos on 400 mg eli 4 kapselia </w:t>
      </w:r>
      <w:r>
        <w:rPr>
          <w:b/>
          <w:color w:val="000000"/>
          <w:sz w:val="22"/>
          <w:szCs w:val="22"/>
          <w:lang w:val="fi-FI"/>
        </w:rPr>
        <w:t>kerran</w:t>
      </w:r>
      <w:r>
        <w:rPr>
          <w:color w:val="000000"/>
          <w:sz w:val="22"/>
          <w:szCs w:val="22"/>
          <w:lang w:val="fi-FI"/>
        </w:rPr>
        <w:t xml:space="preserve"> vuorokaudessa.</w:t>
      </w:r>
    </w:p>
    <w:p w14:paraId="586FCF6A" w14:textId="77777777" w:rsidR="008F2D51" w:rsidRDefault="008F2D51" w:rsidP="008F2D51">
      <w:pPr>
        <w:pStyle w:val="Text"/>
        <w:widowControl w:val="0"/>
        <w:spacing w:before="0"/>
        <w:jc w:val="left"/>
        <w:rPr>
          <w:color w:val="000000"/>
          <w:sz w:val="22"/>
          <w:szCs w:val="22"/>
          <w:lang w:val="fi-FI"/>
        </w:rPr>
      </w:pPr>
    </w:p>
    <w:p w14:paraId="586FCF6B" w14:textId="77777777" w:rsidR="008F2D51" w:rsidRDefault="008F2D51" w:rsidP="008F2D51">
      <w:pPr>
        <w:pStyle w:val="Text"/>
        <w:widowControl w:val="0"/>
        <w:numPr>
          <w:ilvl w:val="0"/>
          <w:numId w:val="20"/>
        </w:numPr>
        <w:tabs>
          <w:tab w:val="clear" w:pos="454"/>
        </w:tabs>
        <w:spacing w:before="0"/>
        <w:ind w:left="567" w:hanging="567"/>
        <w:jc w:val="left"/>
        <w:rPr>
          <w:b/>
          <w:color w:val="000000"/>
          <w:sz w:val="22"/>
          <w:szCs w:val="22"/>
          <w:lang w:val="fi-FI"/>
        </w:rPr>
      </w:pPr>
      <w:r>
        <w:rPr>
          <w:b/>
          <w:bCs/>
          <w:color w:val="000000"/>
          <w:sz w:val="22"/>
          <w:szCs w:val="22"/>
          <w:lang w:val="fi-FI"/>
        </w:rPr>
        <w:t xml:space="preserve">Jos saat hoitoa </w:t>
      </w:r>
      <w:r>
        <w:rPr>
          <w:b/>
          <w:color w:val="000000"/>
          <w:sz w:val="22"/>
          <w:szCs w:val="22"/>
          <w:lang w:val="fi-FI"/>
        </w:rPr>
        <w:t>hypereosinofiiliseen oireyhtymään/krooniseen eosinofiiliseen leukemiaan:</w:t>
      </w:r>
    </w:p>
    <w:p w14:paraId="586FCF6C" w14:textId="77777777" w:rsidR="008F2D51" w:rsidRDefault="008F2D51" w:rsidP="008F2D51">
      <w:pPr>
        <w:pStyle w:val="Text"/>
        <w:widowControl w:val="0"/>
        <w:spacing w:before="0"/>
        <w:ind w:left="567"/>
        <w:jc w:val="left"/>
        <w:rPr>
          <w:color w:val="000000"/>
          <w:sz w:val="22"/>
          <w:szCs w:val="22"/>
          <w:lang w:val="fi-FI"/>
        </w:rPr>
      </w:pPr>
      <w:r>
        <w:rPr>
          <w:color w:val="000000"/>
          <w:sz w:val="22"/>
          <w:szCs w:val="22"/>
          <w:lang w:val="fi-FI"/>
        </w:rPr>
        <w:t xml:space="preserve">Aloitusannos on 100 mg eli yksi kapseli </w:t>
      </w:r>
      <w:r>
        <w:rPr>
          <w:b/>
          <w:color w:val="000000"/>
          <w:sz w:val="22"/>
          <w:szCs w:val="22"/>
          <w:lang w:val="fi-FI"/>
        </w:rPr>
        <w:t>kerran</w:t>
      </w:r>
      <w:r>
        <w:rPr>
          <w:color w:val="000000"/>
          <w:sz w:val="22"/>
          <w:szCs w:val="22"/>
          <w:lang w:val="fi-FI"/>
        </w:rPr>
        <w:t xml:space="preserve"> vuorokaudessa. Lääkärisi voi suurentaa annoksen hoitovasteen perusteella tasolle 400 mg eli 4 kapselia </w:t>
      </w:r>
      <w:r>
        <w:rPr>
          <w:b/>
          <w:color w:val="000000"/>
          <w:sz w:val="22"/>
          <w:szCs w:val="22"/>
          <w:lang w:val="fi-FI"/>
        </w:rPr>
        <w:t>kerran</w:t>
      </w:r>
      <w:r>
        <w:rPr>
          <w:color w:val="000000"/>
          <w:sz w:val="22"/>
          <w:szCs w:val="22"/>
          <w:lang w:val="fi-FI"/>
        </w:rPr>
        <w:t xml:space="preserve"> vuorokaudessa.</w:t>
      </w:r>
    </w:p>
    <w:p w14:paraId="586FCF6D" w14:textId="77777777" w:rsidR="008F2D51" w:rsidRDefault="008F2D51" w:rsidP="008F2D51">
      <w:pPr>
        <w:pStyle w:val="Text"/>
        <w:widowControl w:val="0"/>
        <w:spacing w:before="0"/>
        <w:jc w:val="left"/>
        <w:rPr>
          <w:color w:val="000000"/>
          <w:sz w:val="22"/>
          <w:szCs w:val="22"/>
          <w:lang w:val="fi-FI"/>
        </w:rPr>
      </w:pPr>
    </w:p>
    <w:p w14:paraId="586FCF6E" w14:textId="77777777" w:rsidR="008F2D51" w:rsidRDefault="008F2D51" w:rsidP="008F2D51">
      <w:pPr>
        <w:pStyle w:val="Text"/>
        <w:widowControl w:val="0"/>
        <w:numPr>
          <w:ilvl w:val="0"/>
          <w:numId w:val="20"/>
        </w:numPr>
        <w:tabs>
          <w:tab w:val="clear" w:pos="454"/>
        </w:tabs>
        <w:spacing w:before="0"/>
        <w:ind w:left="567" w:hanging="567"/>
        <w:jc w:val="left"/>
        <w:rPr>
          <w:b/>
          <w:color w:val="000000"/>
          <w:sz w:val="22"/>
          <w:szCs w:val="22"/>
          <w:lang w:val="fi-FI"/>
        </w:rPr>
      </w:pPr>
      <w:r>
        <w:rPr>
          <w:b/>
          <w:color w:val="000000"/>
          <w:sz w:val="22"/>
          <w:szCs w:val="22"/>
          <w:lang w:val="fi-FI"/>
        </w:rPr>
        <w:t>Jos saat hoitoa dermatofibrosarcoma protuberansiin (DFSP):</w:t>
      </w:r>
    </w:p>
    <w:p w14:paraId="586FCF6F" w14:textId="77777777" w:rsidR="008F2D51" w:rsidRDefault="008F2D51" w:rsidP="008F2D51">
      <w:pPr>
        <w:pStyle w:val="Text"/>
        <w:widowControl w:val="0"/>
        <w:spacing w:before="0"/>
        <w:ind w:firstLine="567"/>
        <w:jc w:val="left"/>
        <w:rPr>
          <w:color w:val="000000"/>
          <w:sz w:val="22"/>
          <w:szCs w:val="22"/>
          <w:lang w:val="fi-FI"/>
        </w:rPr>
      </w:pPr>
      <w:r>
        <w:rPr>
          <w:color w:val="000000"/>
          <w:sz w:val="22"/>
          <w:szCs w:val="22"/>
          <w:lang w:val="fi-FI"/>
        </w:rPr>
        <w:t>Annos on 800 mg vuorokaudessa (8 kapselia) eli 4 kapselia aamulla ja 4 kapselia illalla.</w:t>
      </w:r>
    </w:p>
    <w:p w14:paraId="586FCF70" w14:textId="77777777" w:rsidR="008F2D51" w:rsidRDefault="008F2D51" w:rsidP="008F2D51">
      <w:pPr>
        <w:pStyle w:val="Text"/>
        <w:widowControl w:val="0"/>
        <w:spacing w:before="0"/>
        <w:jc w:val="left"/>
        <w:rPr>
          <w:color w:val="000000"/>
          <w:sz w:val="22"/>
          <w:szCs w:val="22"/>
          <w:lang w:val="fi-FI"/>
        </w:rPr>
      </w:pPr>
    </w:p>
    <w:p w14:paraId="586FCF71" w14:textId="77777777" w:rsidR="008F2D51" w:rsidRDefault="008F2D51" w:rsidP="00774A0B">
      <w:pPr>
        <w:pStyle w:val="Text"/>
        <w:keepNext/>
        <w:widowControl w:val="0"/>
        <w:spacing w:before="0"/>
        <w:jc w:val="left"/>
        <w:rPr>
          <w:b/>
          <w:color w:val="000000"/>
          <w:sz w:val="22"/>
          <w:szCs w:val="22"/>
          <w:lang w:val="fi-FI"/>
        </w:rPr>
      </w:pPr>
      <w:r>
        <w:rPr>
          <w:b/>
          <w:color w:val="000000"/>
          <w:sz w:val="22"/>
          <w:szCs w:val="22"/>
          <w:lang w:val="fi-FI"/>
        </w:rPr>
        <w:t>Käyttö lapsill</w:t>
      </w:r>
      <w:r w:rsidR="00FF0332">
        <w:rPr>
          <w:b/>
          <w:color w:val="000000"/>
          <w:sz w:val="22"/>
          <w:szCs w:val="22"/>
          <w:lang w:val="fi-FI"/>
        </w:rPr>
        <w:t>e ja nuorille</w:t>
      </w:r>
    </w:p>
    <w:p w14:paraId="586FCF72" w14:textId="77777777" w:rsidR="008F2D51" w:rsidRDefault="008F2D51" w:rsidP="008F2D51">
      <w:pPr>
        <w:pStyle w:val="Text"/>
        <w:widowControl w:val="0"/>
        <w:spacing w:before="0"/>
        <w:jc w:val="left"/>
        <w:rPr>
          <w:color w:val="000000"/>
          <w:sz w:val="22"/>
          <w:szCs w:val="22"/>
          <w:lang w:val="fi-FI"/>
        </w:rPr>
      </w:pPr>
      <w:r>
        <w:rPr>
          <w:color w:val="000000"/>
          <w:sz w:val="22"/>
          <w:szCs w:val="22"/>
          <w:lang w:val="fi-FI"/>
        </w:rPr>
        <w:t xml:space="preserve">Lääkäri kertoo sinulle kuinka monta kapselia Gliveciä lapsellesi tulee antaa. Glivecin annos määräytyy lapsen yleistilan, painon ja pituuden mukaan. Lapselle annettava päivittäinen kokonaisannos ei saa olla </w:t>
      </w:r>
      <w:r w:rsidR="00D07DCE">
        <w:rPr>
          <w:color w:val="000000"/>
          <w:sz w:val="22"/>
          <w:szCs w:val="22"/>
          <w:lang w:val="fi-FI"/>
        </w:rPr>
        <w:t xml:space="preserve">kroonisen myelooisen leukemian hoidossa </w:t>
      </w:r>
      <w:r>
        <w:rPr>
          <w:color w:val="000000"/>
          <w:sz w:val="22"/>
          <w:szCs w:val="22"/>
          <w:lang w:val="fi-FI"/>
        </w:rPr>
        <w:t>suurempi kuin 800 mg</w:t>
      </w:r>
      <w:r w:rsidR="00D07DCE">
        <w:rPr>
          <w:color w:val="000000"/>
          <w:sz w:val="22"/>
          <w:szCs w:val="22"/>
          <w:lang w:val="fi-FI"/>
        </w:rPr>
        <w:t>, eikä Ph-positiivisen akuutin lymfaattisen leukemian hoidossa suurempi kuin 600</w:t>
      </w:r>
      <w:r w:rsidR="00F105E0">
        <w:rPr>
          <w:color w:val="000000"/>
          <w:sz w:val="22"/>
          <w:szCs w:val="22"/>
          <w:lang w:val="fi-FI"/>
        </w:rPr>
        <w:t> </w:t>
      </w:r>
      <w:r w:rsidR="00D07DCE">
        <w:rPr>
          <w:color w:val="000000"/>
          <w:sz w:val="22"/>
          <w:szCs w:val="22"/>
          <w:lang w:val="fi-FI"/>
        </w:rPr>
        <w:t>mg</w:t>
      </w:r>
      <w:r>
        <w:rPr>
          <w:color w:val="000000"/>
          <w:sz w:val="22"/>
          <w:szCs w:val="22"/>
          <w:lang w:val="fi-FI"/>
        </w:rPr>
        <w:t>. Lääke voidaan antaa lapsellesi joko kerran päivässä tai vaihtoehtoisesti päiväannos voidaan jakaa kahteen annostelukertaan (puolet aamulla ja puolet illalla).</w:t>
      </w:r>
    </w:p>
    <w:p w14:paraId="586FCF73" w14:textId="77777777" w:rsidR="008F2D51" w:rsidRDefault="008F2D51" w:rsidP="008F2D51">
      <w:pPr>
        <w:pStyle w:val="Text"/>
        <w:widowControl w:val="0"/>
        <w:spacing w:before="0"/>
        <w:jc w:val="left"/>
        <w:rPr>
          <w:color w:val="000000"/>
          <w:sz w:val="22"/>
          <w:szCs w:val="22"/>
          <w:lang w:val="fi-FI"/>
        </w:rPr>
      </w:pPr>
    </w:p>
    <w:p w14:paraId="586FCF74" w14:textId="77777777" w:rsidR="008F2D51" w:rsidRDefault="008F2D51" w:rsidP="00774A0B">
      <w:pPr>
        <w:pStyle w:val="Text"/>
        <w:keepNext/>
        <w:widowControl w:val="0"/>
        <w:spacing w:before="0"/>
        <w:jc w:val="left"/>
        <w:rPr>
          <w:b/>
          <w:color w:val="000000"/>
          <w:sz w:val="22"/>
          <w:szCs w:val="22"/>
          <w:lang w:val="fi-FI"/>
        </w:rPr>
      </w:pPr>
      <w:r>
        <w:rPr>
          <w:b/>
          <w:color w:val="000000"/>
          <w:sz w:val="22"/>
          <w:szCs w:val="22"/>
          <w:lang w:val="fi-FI"/>
        </w:rPr>
        <w:t>Milloin ja miten Gliveciä käytetään</w:t>
      </w:r>
    </w:p>
    <w:p w14:paraId="586FCF75" w14:textId="77777777" w:rsidR="008F2D51" w:rsidRDefault="008F2D51" w:rsidP="008F2D51">
      <w:pPr>
        <w:pStyle w:val="Text"/>
        <w:widowControl w:val="0"/>
        <w:numPr>
          <w:ilvl w:val="0"/>
          <w:numId w:val="22"/>
        </w:numPr>
        <w:tabs>
          <w:tab w:val="clear" w:pos="927"/>
        </w:tabs>
        <w:spacing w:before="0"/>
        <w:ind w:left="567" w:hanging="567"/>
        <w:jc w:val="left"/>
        <w:rPr>
          <w:color w:val="000000"/>
          <w:sz w:val="22"/>
          <w:szCs w:val="22"/>
          <w:lang w:val="fi-FI"/>
        </w:rPr>
      </w:pPr>
      <w:r>
        <w:rPr>
          <w:b/>
          <w:color w:val="000000"/>
          <w:sz w:val="22"/>
          <w:szCs w:val="22"/>
          <w:lang w:val="fi-FI"/>
        </w:rPr>
        <w:t xml:space="preserve">Ota Glivec ruokailun yhteydessä. </w:t>
      </w:r>
      <w:r>
        <w:rPr>
          <w:color w:val="000000"/>
          <w:sz w:val="22"/>
          <w:szCs w:val="22"/>
          <w:lang w:val="fi-FI"/>
        </w:rPr>
        <w:t>Tämä auttaa sinua välttymään vatsaongelmilta Glivecin käytön aikana.</w:t>
      </w:r>
    </w:p>
    <w:p w14:paraId="586FCF76" w14:textId="77777777" w:rsidR="008F2D51" w:rsidRDefault="008F2D51" w:rsidP="008F2D51">
      <w:pPr>
        <w:pStyle w:val="Text"/>
        <w:widowControl w:val="0"/>
        <w:numPr>
          <w:ilvl w:val="0"/>
          <w:numId w:val="22"/>
        </w:numPr>
        <w:tabs>
          <w:tab w:val="clear" w:pos="927"/>
        </w:tabs>
        <w:spacing w:before="0"/>
        <w:ind w:left="567" w:hanging="567"/>
        <w:jc w:val="left"/>
        <w:rPr>
          <w:color w:val="000000"/>
          <w:sz w:val="22"/>
          <w:szCs w:val="22"/>
          <w:lang w:val="fi-FI"/>
        </w:rPr>
      </w:pPr>
      <w:r>
        <w:rPr>
          <w:b/>
          <w:color w:val="000000"/>
          <w:sz w:val="22"/>
          <w:szCs w:val="22"/>
          <w:lang w:val="fi-FI"/>
        </w:rPr>
        <w:t xml:space="preserve">Nielaise kapselit kokonaisina ison vesilasillisen kera. </w:t>
      </w:r>
      <w:r>
        <w:rPr>
          <w:color w:val="000000"/>
          <w:sz w:val="22"/>
          <w:szCs w:val="22"/>
          <w:lang w:val="fi-FI"/>
        </w:rPr>
        <w:t>Älä avaa tai murskaa kapseleita, ellei sinulla ole nielemisvaikeuksia (esim. lapset).</w:t>
      </w:r>
    </w:p>
    <w:p w14:paraId="586FCF77" w14:textId="77777777" w:rsidR="008F2D51" w:rsidRDefault="008F2D51" w:rsidP="008F2D51">
      <w:pPr>
        <w:pStyle w:val="Text"/>
        <w:widowControl w:val="0"/>
        <w:numPr>
          <w:ilvl w:val="0"/>
          <w:numId w:val="22"/>
        </w:numPr>
        <w:tabs>
          <w:tab w:val="clear" w:pos="927"/>
        </w:tabs>
        <w:spacing w:before="0"/>
        <w:ind w:left="567" w:hanging="567"/>
        <w:jc w:val="left"/>
        <w:rPr>
          <w:color w:val="000000"/>
          <w:sz w:val="22"/>
          <w:szCs w:val="22"/>
          <w:lang w:val="fi-FI"/>
        </w:rPr>
      </w:pPr>
      <w:r>
        <w:rPr>
          <w:color w:val="000000"/>
          <w:sz w:val="22"/>
          <w:szCs w:val="22"/>
          <w:lang w:val="fi-FI"/>
        </w:rPr>
        <w:t>Jos et pysty nielemään kapseleita, voit avata ne ja sekoittaa jauheen lasilliseen vettä tai omenamehua.</w:t>
      </w:r>
    </w:p>
    <w:p w14:paraId="586FCF78" w14:textId="77777777" w:rsidR="008F2D51" w:rsidRDefault="008F2D51" w:rsidP="008F2D51">
      <w:pPr>
        <w:pStyle w:val="Text"/>
        <w:widowControl w:val="0"/>
        <w:numPr>
          <w:ilvl w:val="0"/>
          <w:numId w:val="22"/>
        </w:numPr>
        <w:tabs>
          <w:tab w:val="clear" w:pos="927"/>
        </w:tabs>
        <w:spacing w:before="0"/>
        <w:ind w:left="567" w:hanging="567"/>
        <w:jc w:val="left"/>
        <w:rPr>
          <w:color w:val="000000"/>
          <w:sz w:val="22"/>
          <w:szCs w:val="22"/>
          <w:lang w:val="fi-FI"/>
        </w:rPr>
      </w:pPr>
      <w:r>
        <w:rPr>
          <w:color w:val="000000"/>
          <w:sz w:val="22"/>
          <w:szCs w:val="22"/>
          <w:lang w:val="fi-FI"/>
        </w:rPr>
        <w:t>Jos olet raskaana tai suunnittelet raskautta ja aiot avata kapselin, sinun tulee käsitellä kapselin sisältöä varoen välttääksesi sen joutumista iholle, silmiin tai hengitysteihin. Sinun tulee pestä kätesi välittömästi kapseleiden avaamisen jälkeen.</w:t>
      </w:r>
    </w:p>
    <w:p w14:paraId="586FCF79" w14:textId="77777777" w:rsidR="008F2D51" w:rsidRDefault="008F2D51" w:rsidP="008F2D51">
      <w:pPr>
        <w:pStyle w:val="Text"/>
        <w:widowControl w:val="0"/>
        <w:spacing w:before="0"/>
        <w:jc w:val="left"/>
        <w:rPr>
          <w:color w:val="000000"/>
          <w:sz w:val="22"/>
          <w:szCs w:val="22"/>
          <w:lang w:val="fi-FI"/>
        </w:rPr>
      </w:pPr>
    </w:p>
    <w:p w14:paraId="586FCF7A" w14:textId="77777777" w:rsidR="008F2D51" w:rsidRDefault="008F2D51" w:rsidP="00774A0B">
      <w:pPr>
        <w:pStyle w:val="Text"/>
        <w:keepNext/>
        <w:widowControl w:val="0"/>
        <w:spacing w:before="0"/>
        <w:jc w:val="left"/>
        <w:rPr>
          <w:b/>
          <w:color w:val="000000"/>
          <w:sz w:val="22"/>
          <w:szCs w:val="22"/>
          <w:lang w:val="fi-FI"/>
        </w:rPr>
      </w:pPr>
      <w:r>
        <w:rPr>
          <w:b/>
          <w:color w:val="000000"/>
          <w:sz w:val="22"/>
          <w:szCs w:val="22"/>
          <w:lang w:val="fi-FI"/>
        </w:rPr>
        <w:t>Miten pitkään Gliveciä käytetään</w:t>
      </w:r>
    </w:p>
    <w:p w14:paraId="586FCF7B" w14:textId="77777777" w:rsidR="008F2D51" w:rsidRDefault="008F2D51" w:rsidP="008F2D51">
      <w:pPr>
        <w:pStyle w:val="Text"/>
        <w:widowControl w:val="0"/>
        <w:spacing w:before="0"/>
        <w:jc w:val="left"/>
        <w:rPr>
          <w:color w:val="000000"/>
          <w:sz w:val="22"/>
          <w:szCs w:val="22"/>
          <w:lang w:val="fi-FI"/>
        </w:rPr>
      </w:pPr>
      <w:r>
        <w:rPr>
          <w:color w:val="000000"/>
          <w:sz w:val="22"/>
          <w:szCs w:val="22"/>
          <w:lang w:val="fi-FI"/>
        </w:rPr>
        <w:t>Jatka Glivecin käyttöä joka päivä niin pitkään kuin lääkärisi neuvoo.</w:t>
      </w:r>
    </w:p>
    <w:p w14:paraId="586FCF7C" w14:textId="77777777" w:rsidR="008F2D51" w:rsidRDefault="008F2D51" w:rsidP="008F2D51">
      <w:pPr>
        <w:pStyle w:val="Text"/>
        <w:widowControl w:val="0"/>
        <w:spacing w:before="0"/>
        <w:jc w:val="left"/>
        <w:rPr>
          <w:color w:val="000000"/>
          <w:sz w:val="22"/>
          <w:szCs w:val="22"/>
          <w:lang w:val="fi-FI"/>
        </w:rPr>
      </w:pPr>
    </w:p>
    <w:p w14:paraId="586FCF7D" w14:textId="77777777" w:rsidR="008F2D51" w:rsidRDefault="008F2D51" w:rsidP="00774A0B">
      <w:pPr>
        <w:keepNext/>
        <w:widowControl w:val="0"/>
        <w:ind w:right="-2"/>
        <w:rPr>
          <w:rFonts w:ascii="Times New Roman" w:hAnsi="Times New Roman"/>
          <w:sz w:val="22"/>
          <w:szCs w:val="22"/>
        </w:rPr>
      </w:pPr>
      <w:r>
        <w:rPr>
          <w:rFonts w:ascii="Times New Roman" w:hAnsi="Times New Roman"/>
          <w:b/>
          <w:sz w:val="22"/>
          <w:szCs w:val="22"/>
        </w:rPr>
        <w:t>Jos otat enemmän Gliveciä kuin sinun pitäisi</w:t>
      </w:r>
    </w:p>
    <w:p w14:paraId="586FCF7E" w14:textId="77777777" w:rsidR="008F2D51" w:rsidRDefault="008F2D51" w:rsidP="008F2D51">
      <w:pPr>
        <w:pStyle w:val="Text"/>
        <w:widowControl w:val="0"/>
        <w:spacing w:before="0"/>
        <w:jc w:val="left"/>
        <w:rPr>
          <w:color w:val="000000"/>
          <w:sz w:val="22"/>
          <w:szCs w:val="22"/>
          <w:lang w:val="fi-FI"/>
        </w:rPr>
      </w:pPr>
      <w:r>
        <w:rPr>
          <w:color w:val="000000"/>
          <w:sz w:val="22"/>
          <w:szCs w:val="22"/>
          <w:lang w:val="fi-FI"/>
        </w:rPr>
        <w:t xml:space="preserve">Ota </w:t>
      </w:r>
      <w:r>
        <w:rPr>
          <w:b/>
          <w:color w:val="000000"/>
          <w:sz w:val="22"/>
          <w:szCs w:val="22"/>
          <w:lang w:val="fi-FI"/>
        </w:rPr>
        <w:t>heti</w:t>
      </w:r>
      <w:r>
        <w:rPr>
          <w:color w:val="000000"/>
          <w:sz w:val="22"/>
          <w:szCs w:val="22"/>
          <w:lang w:val="fi-FI"/>
        </w:rPr>
        <w:t xml:space="preserve"> yhteys lääkäriisi, jos olet vahingossa ottanut liian monta kapselia. Saatat tarvita lääkärin hoitoa. Ota lääkepakkaus mukaasi lääkäriin.</w:t>
      </w:r>
    </w:p>
    <w:p w14:paraId="586FCF7F" w14:textId="77777777" w:rsidR="008F2D51" w:rsidRDefault="008F2D51" w:rsidP="008F2D51">
      <w:pPr>
        <w:ind w:right="-2"/>
        <w:rPr>
          <w:rFonts w:ascii="Times New Roman" w:hAnsi="Times New Roman"/>
          <w:noProof/>
          <w:sz w:val="22"/>
          <w:szCs w:val="22"/>
        </w:rPr>
      </w:pPr>
    </w:p>
    <w:p w14:paraId="586FCF80" w14:textId="77777777" w:rsidR="008F2D51" w:rsidRDefault="008F2D51" w:rsidP="00774A0B">
      <w:pPr>
        <w:keepNext/>
        <w:ind w:right="-2"/>
        <w:rPr>
          <w:rFonts w:ascii="Times New Roman" w:hAnsi="Times New Roman"/>
          <w:noProof/>
          <w:sz w:val="22"/>
          <w:szCs w:val="22"/>
        </w:rPr>
      </w:pPr>
      <w:r>
        <w:rPr>
          <w:rFonts w:ascii="Times New Roman" w:hAnsi="Times New Roman"/>
          <w:b/>
          <w:noProof/>
          <w:sz w:val="22"/>
          <w:szCs w:val="22"/>
        </w:rPr>
        <w:t>Jos unohdat ottaa Gliveciä</w:t>
      </w:r>
    </w:p>
    <w:p w14:paraId="586FCF81" w14:textId="77777777" w:rsidR="008F2D51" w:rsidRDefault="008F2D51" w:rsidP="008F2D51">
      <w:pPr>
        <w:widowControl w:val="0"/>
        <w:numPr>
          <w:ilvl w:val="0"/>
          <w:numId w:val="23"/>
        </w:numPr>
        <w:tabs>
          <w:tab w:val="clear" w:pos="927"/>
        </w:tabs>
        <w:ind w:left="567" w:right="-2" w:hanging="567"/>
        <w:rPr>
          <w:rFonts w:ascii="Times New Roman" w:hAnsi="Times New Roman"/>
          <w:noProof/>
          <w:sz w:val="22"/>
          <w:szCs w:val="22"/>
        </w:rPr>
      </w:pPr>
      <w:r>
        <w:rPr>
          <w:rFonts w:ascii="Times New Roman" w:hAnsi="Times New Roman"/>
          <w:noProof/>
          <w:sz w:val="22"/>
          <w:szCs w:val="22"/>
        </w:rPr>
        <w:t>Jos unohdat ottaa yhden annoksen, ota se heti kun muistat. Jos on kuitenkin jo melkein aika ottaa seuraava annos, jätä unohtunut annos väliin.</w:t>
      </w:r>
    </w:p>
    <w:p w14:paraId="586FCF82" w14:textId="77777777" w:rsidR="008F2D51" w:rsidRDefault="008F2D51" w:rsidP="008F2D51">
      <w:pPr>
        <w:widowControl w:val="0"/>
        <w:numPr>
          <w:ilvl w:val="0"/>
          <w:numId w:val="23"/>
        </w:numPr>
        <w:tabs>
          <w:tab w:val="clear" w:pos="927"/>
        </w:tabs>
        <w:ind w:left="567" w:right="-2" w:hanging="567"/>
        <w:rPr>
          <w:rFonts w:ascii="Times New Roman" w:hAnsi="Times New Roman"/>
          <w:noProof/>
          <w:sz w:val="22"/>
          <w:szCs w:val="22"/>
        </w:rPr>
      </w:pPr>
      <w:r>
        <w:rPr>
          <w:rFonts w:ascii="Times New Roman" w:hAnsi="Times New Roman"/>
          <w:noProof/>
          <w:sz w:val="22"/>
          <w:szCs w:val="22"/>
        </w:rPr>
        <w:t>Sen jälkeen jatka normaalin aikataulun mukaisesti.</w:t>
      </w:r>
    </w:p>
    <w:p w14:paraId="586FCF83" w14:textId="77777777" w:rsidR="008F2D51" w:rsidRDefault="008F2D51" w:rsidP="008F2D51">
      <w:pPr>
        <w:widowControl w:val="0"/>
        <w:numPr>
          <w:ilvl w:val="0"/>
          <w:numId w:val="23"/>
        </w:numPr>
        <w:tabs>
          <w:tab w:val="clear" w:pos="927"/>
        </w:tabs>
        <w:ind w:left="567" w:right="-2" w:hanging="567"/>
        <w:rPr>
          <w:rFonts w:ascii="Times New Roman" w:hAnsi="Times New Roman"/>
          <w:noProof/>
          <w:sz w:val="22"/>
          <w:szCs w:val="22"/>
        </w:rPr>
      </w:pPr>
      <w:r>
        <w:rPr>
          <w:rFonts w:ascii="Times New Roman" w:hAnsi="Times New Roman"/>
          <w:noProof/>
          <w:sz w:val="22"/>
          <w:szCs w:val="22"/>
        </w:rPr>
        <w:t>Älä ota kaksinkertaista annosta korvataksesi unohtamasi kerta-annoksen.</w:t>
      </w:r>
    </w:p>
    <w:p w14:paraId="586FCF84" w14:textId="77777777" w:rsidR="008F2D51" w:rsidRDefault="008F2D51" w:rsidP="008F2D51">
      <w:pPr>
        <w:widowControl w:val="0"/>
        <w:ind w:right="-2"/>
        <w:rPr>
          <w:rFonts w:ascii="Times New Roman" w:hAnsi="Times New Roman"/>
          <w:sz w:val="22"/>
          <w:szCs w:val="22"/>
        </w:rPr>
      </w:pPr>
    </w:p>
    <w:p w14:paraId="586FCF85" w14:textId="77777777" w:rsidR="008F2D51" w:rsidRDefault="008F2D51" w:rsidP="008F2D51">
      <w:pPr>
        <w:ind w:right="-2"/>
        <w:rPr>
          <w:rFonts w:ascii="Times New Roman" w:hAnsi="Times New Roman"/>
          <w:noProof/>
          <w:sz w:val="22"/>
          <w:szCs w:val="22"/>
        </w:rPr>
      </w:pPr>
      <w:r>
        <w:rPr>
          <w:rFonts w:ascii="Times New Roman" w:hAnsi="Times New Roman"/>
          <w:noProof/>
          <w:sz w:val="22"/>
          <w:szCs w:val="22"/>
        </w:rPr>
        <w:t>Jos sinulla on kysymyksiä tämän lääkkeen käytöstä, käänny lääkärin</w:t>
      </w:r>
      <w:r w:rsidR="009320BD">
        <w:rPr>
          <w:rFonts w:ascii="Times New Roman" w:hAnsi="Times New Roman"/>
          <w:noProof/>
          <w:sz w:val="22"/>
          <w:szCs w:val="22"/>
        </w:rPr>
        <w:t>,</w:t>
      </w:r>
      <w:r>
        <w:rPr>
          <w:rFonts w:ascii="Times New Roman" w:hAnsi="Times New Roman"/>
          <w:noProof/>
          <w:sz w:val="22"/>
          <w:szCs w:val="22"/>
        </w:rPr>
        <w:t xml:space="preserve"> apteekkihenkilökunnan </w:t>
      </w:r>
      <w:r w:rsidR="009320BD">
        <w:rPr>
          <w:rFonts w:ascii="Times New Roman" w:hAnsi="Times New Roman"/>
          <w:noProof/>
          <w:sz w:val="22"/>
          <w:szCs w:val="22"/>
        </w:rPr>
        <w:t xml:space="preserve">tai sairaanhoitajan </w:t>
      </w:r>
      <w:r>
        <w:rPr>
          <w:rFonts w:ascii="Times New Roman" w:hAnsi="Times New Roman"/>
          <w:noProof/>
          <w:sz w:val="22"/>
          <w:szCs w:val="22"/>
        </w:rPr>
        <w:t>puoleen.</w:t>
      </w:r>
    </w:p>
    <w:p w14:paraId="586FCF86" w14:textId="77777777" w:rsidR="008F2D51" w:rsidRDefault="008F2D51" w:rsidP="008F2D51">
      <w:pPr>
        <w:widowControl w:val="0"/>
        <w:ind w:right="-2"/>
        <w:rPr>
          <w:rFonts w:ascii="Times New Roman" w:hAnsi="Times New Roman"/>
          <w:sz w:val="22"/>
          <w:szCs w:val="22"/>
        </w:rPr>
      </w:pPr>
    </w:p>
    <w:p w14:paraId="586FCF87" w14:textId="77777777" w:rsidR="008F2D51" w:rsidRDefault="008F2D51" w:rsidP="008F2D51">
      <w:pPr>
        <w:widowControl w:val="0"/>
        <w:ind w:right="-2"/>
        <w:rPr>
          <w:rFonts w:ascii="Times New Roman" w:hAnsi="Times New Roman"/>
          <w:sz w:val="22"/>
          <w:szCs w:val="22"/>
        </w:rPr>
      </w:pPr>
    </w:p>
    <w:p w14:paraId="586FCF88" w14:textId="77777777" w:rsidR="00311DC5" w:rsidRDefault="00311DC5" w:rsidP="00311DC5">
      <w:pPr>
        <w:keepNext/>
        <w:widowControl w:val="0"/>
        <w:ind w:left="567" w:right="-2" w:hanging="567"/>
        <w:rPr>
          <w:rFonts w:ascii="Times New Roman" w:hAnsi="Times New Roman"/>
          <w:sz w:val="22"/>
          <w:szCs w:val="22"/>
        </w:rPr>
      </w:pPr>
      <w:r>
        <w:rPr>
          <w:rFonts w:ascii="Times New Roman" w:hAnsi="Times New Roman"/>
          <w:b/>
          <w:sz w:val="22"/>
          <w:szCs w:val="22"/>
        </w:rPr>
        <w:lastRenderedPageBreak/>
        <w:t>4.</w:t>
      </w:r>
      <w:r>
        <w:rPr>
          <w:rFonts w:ascii="Times New Roman" w:hAnsi="Times New Roman"/>
          <w:b/>
          <w:sz w:val="22"/>
          <w:szCs w:val="22"/>
        </w:rPr>
        <w:tab/>
        <w:t>Mahdolliset haittavaikutukset</w:t>
      </w:r>
    </w:p>
    <w:p w14:paraId="586FCF89" w14:textId="77777777" w:rsidR="00311DC5" w:rsidRDefault="00311DC5" w:rsidP="00311DC5">
      <w:pPr>
        <w:pStyle w:val="Text"/>
        <w:keepNext/>
        <w:widowControl w:val="0"/>
        <w:spacing w:before="0"/>
        <w:jc w:val="left"/>
        <w:rPr>
          <w:color w:val="000000"/>
          <w:sz w:val="22"/>
          <w:szCs w:val="22"/>
          <w:lang w:val="fi-FI"/>
        </w:rPr>
      </w:pPr>
    </w:p>
    <w:p w14:paraId="586FCF8A" w14:textId="77777777" w:rsidR="00311DC5" w:rsidRDefault="00311DC5" w:rsidP="00774A0B">
      <w:pPr>
        <w:keepNext/>
        <w:keepLines/>
        <w:widowControl w:val="0"/>
        <w:ind w:right="-28"/>
        <w:rPr>
          <w:rFonts w:ascii="Times New Roman" w:hAnsi="Times New Roman"/>
          <w:sz w:val="22"/>
          <w:szCs w:val="22"/>
        </w:rPr>
      </w:pPr>
      <w:r>
        <w:rPr>
          <w:rFonts w:ascii="Times New Roman" w:hAnsi="Times New Roman"/>
          <w:noProof/>
          <w:sz w:val="22"/>
          <w:szCs w:val="22"/>
        </w:rPr>
        <w:t>Kuten kaikki lääkkeet, tämäkin lääke voi aiheuttaa haittavaikutuksia. Kaikki eivät kuitenkaan niitä saa</w:t>
      </w:r>
      <w:r>
        <w:rPr>
          <w:rFonts w:ascii="Times New Roman" w:hAnsi="Times New Roman"/>
          <w:sz w:val="22"/>
          <w:szCs w:val="22"/>
        </w:rPr>
        <w:t>. Ne ovat tavallisesti lieviä tai kohtalaisia.</w:t>
      </w:r>
    </w:p>
    <w:p w14:paraId="586FCF8B" w14:textId="77777777" w:rsidR="00311DC5" w:rsidRDefault="00311DC5" w:rsidP="00774A0B">
      <w:pPr>
        <w:pStyle w:val="Text"/>
        <w:keepNext/>
        <w:widowControl w:val="0"/>
        <w:spacing w:before="0"/>
        <w:ind w:left="567" w:hanging="567"/>
        <w:jc w:val="left"/>
        <w:rPr>
          <w:color w:val="000000"/>
          <w:sz w:val="22"/>
          <w:szCs w:val="22"/>
          <w:lang w:val="fi-FI"/>
        </w:rPr>
      </w:pPr>
    </w:p>
    <w:p w14:paraId="586FCF8C" w14:textId="77777777" w:rsidR="00311DC5" w:rsidRDefault="00311DC5" w:rsidP="00774A0B">
      <w:pPr>
        <w:keepNext/>
        <w:keepLines/>
        <w:widowControl w:val="0"/>
        <w:ind w:right="-28"/>
        <w:rPr>
          <w:rFonts w:ascii="Times New Roman" w:hAnsi="Times New Roman"/>
          <w:sz w:val="22"/>
          <w:szCs w:val="22"/>
        </w:rPr>
      </w:pPr>
      <w:r>
        <w:rPr>
          <w:rFonts w:ascii="Times New Roman" w:hAnsi="Times New Roman"/>
          <w:b/>
          <w:sz w:val="22"/>
          <w:szCs w:val="22"/>
        </w:rPr>
        <w:t>Osa haittavaikutuksista voi olla vakavia. Mikäli saat jonkin seuraavista haittavaikutuksista,</w:t>
      </w:r>
      <w:r>
        <w:rPr>
          <w:rFonts w:ascii="Times New Roman" w:hAnsi="Times New Roman"/>
          <w:sz w:val="22"/>
          <w:szCs w:val="22"/>
        </w:rPr>
        <w:t xml:space="preserve"> </w:t>
      </w:r>
      <w:r>
        <w:rPr>
          <w:rFonts w:ascii="Times New Roman" w:hAnsi="Times New Roman"/>
          <w:b/>
          <w:sz w:val="22"/>
          <w:szCs w:val="22"/>
        </w:rPr>
        <w:t>kerro heti asiasta lääkärillesi:</w:t>
      </w:r>
    </w:p>
    <w:p w14:paraId="586FCF8D" w14:textId="77777777" w:rsidR="00311DC5" w:rsidRPr="00774A0B" w:rsidRDefault="00311DC5" w:rsidP="00774A0B">
      <w:pPr>
        <w:pStyle w:val="Text"/>
        <w:keepNext/>
        <w:widowControl w:val="0"/>
        <w:spacing w:before="0"/>
        <w:jc w:val="left"/>
        <w:rPr>
          <w:color w:val="000000"/>
          <w:sz w:val="22"/>
          <w:szCs w:val="22"/>
          <w:lang w:val="fi-FI"/>
        </w:rPr>
      </w:pPr>
    </w:p>
    <w:p w14:paraId="586FCF8E" w14:textId="77777777" w:rsidR="00311DC5" w:rsidRPr="00BD27A3" w:rsidRDefault="00311DC5" w:rsidP="00774A0B">
      <w:pPr>
        <w:pStyle w:val="Text"/>
        <w:keepNext/>
        <w:widowControl w:val="0"/>
        <w:spacing w:before="0"/>
        <w:jc w:val="left"/>
        <w:rPr>
          <w:bCs/>
          <w:iCs/>
          <w:color w:val="000000"/>
          <w:sz w:val="22"/>
          <w:szCs w:val="22"/>
          <w:lang w:val="fi-FI"/>
        </w:rPr>
      </w:pPr>
      <w:r>
        <w:rPr>
          <w:b/>
          <w:bCs/>
          <w:iCs/>
          <w:color w:val="000000"/>
          <w:sz w:val="22"/>
          <w:szCs w:val="22"/>
          <w:lang w:val="fi-FI"/>
        </w:rPr>
        <w:t>Hyvin yleisiä</w:t>
      </w:r>
      <w:r w:rsidRPr="001F41C8">
        <w:rPr>
          <w:bCs/>
          <w:iCs/>
          <w:color w:val="000000"/>
          <w:sz w:val="22"/>
          <w:szCs w:val="22"/>
          <w:lang w:val="fi-FI"/>
        </w:rPr>
        <w:t xml:space="preserve"> </w:t>
      </w:r>
      <w:r w:rsidRPr="003B78EE">
        <w:rPr>
          <w:bCs/>
          <w:iCs/>
          <w:color w:val="000000"/>
          <w:sz w:val="22"/>
          <w:szCs w:val="22"/>
          <w:lang w:val="fi-FI"/>
        </w:rPr>
        <w:t>(yli 1 käyttäjällä 10:stä)</w:t>
      </w:r>
      <w:r>
        <w:rPr>
          <w:b/>
          <w:bCs/>
          <w:iCs/>
          <w:color w:val="000000"/>
          <w:sz w:val="22"/>
          <w:szCs w:val="22"/>
          <w:lang w:val="fi-FI"/>
        </w:rPr>
        <w:t xml:space="preserve"> tai yleisiä </w:t>
      </w:r>
      <w:r w:rsidRPr="003B78EE">
        <w:rPr>
          <w:bCs/>
          <w:iCs/>
          <w:color w:val="000000"/>
          <w:sz w:val="22"/>
          <w:szCs w:val="22"/>
          <w:lang w:val="fi-FI"/>
        </w:rPr>
        <w:t>(enintään 1 käyttäjällä 10:stä)</w:t>
      </w:r>
      <w:r w:rsidRPr="00BD27A3">
        <w:rPr>
          <w:bCs/>
          <w:iCs/>
          <w:color w:val="000000"/>
          <w:sz w:val="22"/>
          <w:szCs w:val="22"/>
          <w:lang w:val="fi-FI"/>
        </w:rPr>
        <w:t>:</w:t>
      </w:r>
    </w:p>
    <w:p w14:paraId="586FCF8F" w14:textId="77777777" w:rsidR="00311DC5" w:rsidRDefault="00311DC5" w:rsidP="00311DC5">
      <w:pPr>
        <w:pStyle w:val="Text"/>
        <w:widowControl w:val="0"/>
        <w:numPr>
          <w:ilvl w:val="0"/>
          <w:numId w:val="3"/>
        </w:numPr>
        <w:tabs>
          <w:tab w:val="clear" w:pos="360"/>
        </w:tabs>
        <w:spacing w:before="0"/>
        <w:ind w:left="567" w:hanging="567"/>
        <w:jc w:val="left"/>
        <w:rPr>
          <w:color w:val="000000"/>
          <w:sz w:val="22"/>
          <w:szCs w:val="22"/>
          <w:lang w:val="fi-FI"/>
        </w:rPr>
      </w:pPr>
      <w:r>
        <w:rPr>
          <w:bCs/>
          <w:color w:val="000000"/>
          <w:sz w:val="22"/>
          <w:szCs w:val="22"/>
          <w:lang w:val="fi-FI"/>
        </w:rPr>
        <w:t xml:space="preserve">Nopea painon nousu. </w:t>
      </w:r>
      <w:r>
        <w:rPr>
          <w:color w:val="000000"/>
          <w:sz w:val="22"/>
          <w:szCs w:val="22"/>
          <w:lang w:val="fi-FI"/>
        </w:rPr>
        <w:t>Glivec-hoito voi aiheuttaa nesteen kertymistä elimistöön (vaikea turvotus).</w:t>
      </w:r>
    </w:p>
    <w:p w14:paraId="586FCF90" w14:textId="77777777" w:rsidR="00311DC5" w:rsidRDefault="00311DC5" w:rsidP="00311DC5">
      <w:pPr>
        <w:pStyle w:val="Text"/>
        <w:widowControl w:val="0"/>
        <w:numPr>
          <w:ilvl w:val="0"/>
          <w:numId w:val="4"/>
        </w:numPr>
        <w:tabs>
          <w:tab w:val="clear" w:pos="360"/>
        </w:tabs>
        <w:spacing w:before="0"/>
        <w:ind w:left="567" w:hanging="567"/>
        <w:jc w:val="left"/>
        <w:rPr>
          <w:color w:val="000000"/>
          <w:sz w:val="22"/>
          <w:szCs w:val="22"/>
          <w:lang w:val="fi-FI"/>
        </w:rPr>
      </w:pPr>
      <w:r>
        <w:rPr>
          <w:color w:val="000000"/>
          <w:sz w:val="22"/>
          <w:szCs w:val="22"/>
          <w:lang w:val="fi-FI"/>
        </w:rPr>
        <w:t>Infektion oireet, kuten kuume, pahat vilunväristykset, kurkkukipu tai suun haavaumat. Glivec voi vähentää veren valkosolujen määrää, joten voit saada infektioita herkemmin.</w:t>
      </w:r>
    </w:p>
    <w:p w14:paraId="586FCF91"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Yllättävä verenvuoto tai mustelmat (jotka eivät johdu loukkaantumisesta).</w:t>
      </w:r>
    </w:p>
    <w:p w14:paraId="586FCF92" w14:textId="77777777" w:rsidR="00311DC5" w:rsidRDefault="00311DC5" w:rsidP="00311DC5">
      <w:pPr>
        <w:pStyle w:val="Text"/>
        <w:widowControl w:val="0"/>
        <w:spacing w:before="0"/>
        <w:jc w:val="left"/>
        <w:rPr>
          <w:color w:val="000000"/>
          <w:sz w:val="22"/>
          <w:szCs w:val="22"/>
          <w:lang w:val="fi-FI"/>
        </w:rPr>
      </w:pPr>
    </w:p>
    <w:p w14:paraId="586FCF93" w14:textId="77777777" w:rsidR="00311DC5" w:rsidRPr="00BD27A3" w:rsidRDefault="00311DC5" w:rsidP="00774A0B">
      <w:pPr>
        <w:pStyle w:val="Text"/>
        <w:keepNext/>
        <w:widowControl w:val="0"/>
        <w:spacing w:before="0"/>
        <w:jc w:val="left"/>
        <w:rPr>
          <w:bCs/>
          <w:iCs/>
          <w:color w:val="000000"/>
          <w:sz w:val="22"/>
          <w:szCs w:val="22"/>
          <w:lang w:val="fi-FI"/>
        </w:rPr>
      </w:pPr>
      <w:r>
        <w:rPr>
          <w:b/>
          <w:bCs/>
          <w:iCs/>
          <w:color w:val="000000"/>
          <w:sz w:val="22"/>
          <w:szCs w:val="22"/>
          <w:lang w:val="fi-FI"/>
        </w:rPr>
        <w:t>Melko harvinaisia</w:t>
      </w:r>
      <w:r w:rsidRPr="001F41C8">
        <w:rPr>
          <w:bCs/>
          <w:iCs/>
          <w:color w:val="000000"/>
          <w:sz w:val="22"/>
          <w:szCs w:val="22"/>
          <w:lang w:val="fi-FI"/>
        </w:rPr>
        <w:t xml:space="preserve"> </w:t>
      </w:r>
      <w:r w:rsidRPr="003B78EE">
        <w:rPr>
          <w:bCs/>
          <w:iCs/>
          <w:color w:val="000000"/>
          <w:sz w:val="22"/>
          <w:szCs w:val="22"/>
          <w:lang w:val="fi-FI"/>
        </w:rPr>
        <w:t xml:space="preserve">(enintään 1 käyttäjällä 100:sta) </w:t>
      </w:r>
      <w:r>
        <w:rPr>
          <w:b/>
          <w:bCs/>
          <w:iCs/>
          <w:color w:val="000000"/>
          <w:sz w:val="22"/>
          <w:szCs w:val="22"/>
          <w:lang w:val="fi-FI"/>
        </w:rPr>
        <w:t xml:space="preserve">tai harvinaisia </w:t>
      </w:r>
      <w:r w:rsidRPr="003B78EE">
        <w:rPr>
          <w:bCs/>
          <w:iCs/>
          <w:color w:val="000000"/>
          <w:sz w:val="22"/>
          <w:szCs w:val="22"/>
          <w:lang w:val="fi-FI"/>
        </w:rPr>
        <w:t>(enintään 1 käyttäjällä 1 000:sta)</w:t>
      </w:r>
      <w:r w:rsidRPr="00BD27A3">
        <w:rPr>
          <w:bCs/>
          <w:iCs/>
          <w:color w:val="000000"/>
          <w:sz w:val="22"/>
          <w:szCs w:val="22"/>
          <w:lang w:val="fi-FI"/>
        </w:rPr>
        <w:t>:</w:t>
      </w:r>
    </w:p>
    <w:p w14:paraId="586FCF94" w14:textId="77777777" w:rsidR="00311DC5" w:rsidRDefault="00311DC5" w:rsidP="00311DC5">
      <w:pPr>
        <w:pStyle w:val="Text"/>
        <w:widowControl w:val="0"/>
        <w:numPr>
          <w:ilvl w:val="0"/>
          <w:numId w:val="3"/>
        </w:numPr>
        <w:tabs>
          <w:tab w:val="clear" w:pos="360"/>
        </w:tabs>
        <w:spacing w:before="0"/>
        <w:ind w:left="567" w:hanging="567"/>
        <w:jc w:val="left"/>
        <w:rPr>
          <w:color w:val="000000"/>
          <w:sz w:val="22"/>
          <w:szCs w:val="22"/>
          <w:lang w:val="fi-FI"/>
        </w:rPr>
      </w:pPr>
      <w:r>
        <w:rPr>
          <w:color w:val="000000"/>
          <w:sz w:val="22"/>
          <w:szCs w:val="22"/>
          <w:lang w:val="fi-FI"/>
        </w:rPr>
        <w:t>Rintakipu, sydämen rytmihäiriöt (merkkejä sydänongelmista).</w:t>
      </w:r>
    </w:p>
    <w:p w14:paraId="586FCF95" w14:textId="77777777" w:rsidR="00311DC5" w:rsidRDefault="00311DC5" w:rsidP="00311DC5">
      <w:pPr>
        <w:pStyle w:val="Text"/>
        <w:widowControl w:val="0"/>
        <w:numPr>
          <w:ilvl w:val="0"/>
          <w:numId w:val="3"/>
        </w:numPr>
        <w:tabs>
          <w:tab w:val="clear" w:pos="360"/>
        </w:tabs>
        <w:spacing w:before="0"/>
        <w:ind w:left="567" w:hanging="567"/>
        <w:jc w:val="left"/>
        <w:rPr>
          <w:color w:val="000000"/>
          <w:sz w:val="22"/>
          <w:szCs w:val="22"/>
          <w:lang w:val="fi-FI"/>
        </w:rPr>
      </w:pPr>
      <w:r>
        <w:rPr>
          <w:color w:val="000000"/>
          <w:sz w:val="22"/>
          <w:szCs w:val="22"/>
          <w:lang w:val="fi-FI"/>
        </w:rPr>
        <w:t>Yskä, hengitysvaikeudet tai kipu hengittämisen yhteydessä (merkkejä keuhko-ongelmista).</w:t>
      </w:r>
    </w:p>
    <w:p w14:paraId="586FCF96" w14:textId="77777777" w:rsidR="00311DC5" w:rsidRDefault="00311DC5" w:rsidP="00311DC5">
      <w:pPr>
        <w:pStyle w:val="Text"/>
        <w:widowControl w:val="0"/>
        <w:numPr>
          <w:ilvl w:val="0"/>
          <w:numId w:val="3"/>
        </w:numPr>
        <w:tabs>
          <w:tab w:val="clear" w:pos="360"/>
        </w:tabs>
        <w:spacing w:before="0"/>
        <w:ind w:left="567" w:hanging="567"/>
        <w:jc w:val="left"/>
        <w:rPr>
          <w:color w:val="000000"/>
          <w:sz w:val="22"/>
          <w:szCs w:val="22"/>
          <w:lang w:val="fi-FI"/>
        </w:rPr>
      </w:pPr>
      <w:r>
        <w:rPr>
          <w:color w:val="000000"/>
          <w:sz w:val="22"/>
          <w:szCs w:val="22"/>
          <w:lang w:val="fi-FI"/>
        </w:rPr>
        <w:t>Pyörrytyksen tunne, huimaus tai pyörtyminen (alhaisen verenpaineen merkkejä).</w:t>
      </w:r>
    </w:p>
    <w:p w14:paraId="586FCF97"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 xml:space="preserve">Huonovointisuus (pahoinvointi), johon liittyy ruokahaluttomuus, tumma virtsa tai </w:t>
      </w:r>
      <w:r>
        <w:rPr>
          <w:bCs/>
          <w:color w:val="000000"/>
          <w:sz w:val="22"/>
          <w:szCs w:val="22"/>
          <w:lang w:val="fi-FI"/>
        </w:rPr>
        <w:t>ihon tai silmien keltaisuus (merkkejä maksaongelmista)</w:t>
      </w:r>
      <w:r>
        <w:rPr>
          <w:color w:val="000000"/>
          <w:sz w:val="22"/>
          <w:szCs w:val="22"/>
          <w:lang w:val="fi-FI"/>
        </w:rPr>
        <w:t>.</w:t>
      </w:r>
    </w:p>
    <w:p w14:paraId="586FCF98"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Ihottuma, ihon punoitus, johon liittyy rakkuloita huulilla, silmien alueella, iholla tai suussa, ihon kuoriutuminen, kuume, kohollaan olevat punaiset tai sinipunaiset läiskät iholla, kutina, polte, rakkulainen ihottuma (merkkejä iho-ongelmista).</w:t>
      </w:r>
    </w:p>
    <w:p w14:paraId="586FCF99"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Vaikea vatsakipu, verta oksennuksessa, ulosteessa tai virtsassa tai mustat ulosteet (ruoansulatuskanavan häiriöiden merkkejä).</w:t>
      </w:r>
    </w:p>
    <w:p w14:paraId="586FCF9A"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Huomattavasti vähentynyt virtsaneritys, janon tunne (merkkejä munuaisongelmista).</w:t>
      </w:r>
    </w:p>
    <w:p w14:paraId="586FCF9B"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Huonovointisuus (pahoinvointi), johon liittyy ripulia ja oksentelua, vatsakipu tai kuume (suolisto-ongelmien merkkejä).</w:t>
      </w:r>
    </w:p>
    <w:p w14:paraId="586FCF9C"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Vaikea päänsärky, raajojen tai kasvojen heikkous tai halvaantuminen, puhumisvaikeudet, äkillinen tajunnan menetys (hermoston häiriöiden, kuten kallonsisäisen/aivojen verenvuodon tai turvotuksen merkkejä).</w:t>
      </w:r>
    </w:p>
    <w:p w14:paraId="586FCF9D"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Kalpeus, väsymyksen tunne ja hengästyminen ja tummavirtsaisuus (alhaisen veren punasolumäärän merkkejä).</w:t>
      </w:r>
    </w:p>
    <w:p w14:paraId="586FCF9E"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Silmäkipu tai näön huonontuminen, silmien verenvuotoa.</w:t>
      </w:r>
    </w:p>
    <w:p w14:paraId="586FCF9F"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Kipu lantiolla tai kävelyvaikeudet.</w:t>
      </w:r>
    </w:p>
    <w:p w14:paraId="586FCFA0"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Sormien ja varpaiden kylmyys tai tunnottomuus (Raynaudin oireyhtymän merkkejä).</w:t>
      </w:r>
    </w:p>
    <w:p w14:paraId="586FCFA1"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Äkillinen ihon turvotus ja punoitus (selluliitiksi kutsutun ihotulehduksen merkkejä).</w:t>
      </w:r>
    </w:p>
    <w:p w14:paraId="586FCFA2"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Kuulon heikkeneminen.</w:t>
      </w:r>
    </w:p>
    <w:p w14:paraId="586FCFA3"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Lihasheikkous ja lihaskrampit, joihin liittyy sydämen epäsäännöllinen rytmi (merkki veressäsi olevan kaliumin määrän muutoksesta).</w:t>
      </w:r>
    </w:p>
    <w:p w14:paraId="586FCFA4"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Mustelmat.</w:t>
      </w:r>
    </w:p>
    <w:p w14:paraId="586FCFA5"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Vatsakipu, johon liittyy huonovointisuus (pahoinvointi).</w:t>
      </w:r>
    </w:p>
    <w:p w14:paraId="586FCFA6"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Lihaskouristuksia, joihin liittyy kuume, punaruskea virtsa, kipua tai heikkoutta lihaksissasi (lihasongelmien merkkejä).</w:t>
      </w:r>
    </w:p>
    <w:p w14:paraId="586FCFA7"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Lantion kipu, johon liittyy joskus pahoinvointia ja oksentelua, odottamatonta verenvuotoa emättimestä, verenpaineen alenemisesta johtuva huimauksen tunne tai pyörtyminen (merkkejä munasarjojen tai kohdun ongelmista).</w:t>
      </w:r>
    </w:p>
    <w:p w14:paraId="586FCFA8"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 xml:space="preserve">Pahoinvointi, hengästyneisyys, epäsäännöllinen sydämen rytmi, sameavirtsaisuus, väsymys ja/tai nivelvaivat, joihin liittyy poikkeavia laboratoriokoetuloksia (esim. veren korkeat kalium-, virtsahappo- ja </w:t>
      </w:r>
      <w:r w:rsidR="00D5691E">
        <w:rPr>
          <w:color w:val="000000"/>
          <w:sz w:val="22"/>
          <w:szCs w:val="22"/>
          <w:lang w:val="fi-FI"/>
        </w:rPr>
        <w:t>kalsium</w:t>
      </w:r>
      <w:r>
        <w:rPr>
          <w:color w:val="000000"/>
          <w:sz w:val="22"/>
          <w:szCs w:val="22"/>
          <w:lang w:val="fi-FI"/>
        </w:rPr>
        <w:t xml:space="preserve">pitoisuudet ja matalat </w:t>
      </w:r>
      <w:r w:rsidR="00D5691E">
        <w:rPr>
          <w:color w:val="000000"/>
          <w:sz w:val="22"/>
          <w:szCs w:val="22"/>
          <w:lang w:val="fi-FI"/>
        </w:rPr>
        <w:t>fosfaatti</w:t>
      </w:r>
      <w:r>
        <w:rPr>
          <w:color w:val="000000"/>
          <w:sz w:val="22"/>
          <w:szCs w:val="22"/>
          <w:lang w:val="fi-FI"/>
        </w:rPr>
        <w:t>pitoisuudet).</w:t>
      </w:r>
    </w:p>
    <w:p w14:paraId="586FCFA9" w14:textId="77777777" w:rsidR="002C6E31" w:rsidRDefault="002C6E31" w:rsidP="00311DC5">
      <w:pPr>
        <w:pStyle w:val="Text"/>
        <w:widowControl w:val="0"/>
        <w:numPr>
          <w:ilvl w:val="0"/>
          <w:numId w:val="5"/>
        </w:numPr>
        <w:tabs>
          <w:tab w:val="clear" w:pos="360"/>
        </w:tabs>
        <w:spacing w:before="0"/>
        <w:ind w:left="567" w:hanging="567"/>
        <w:jc w:val="left"/>
        <w:rPr>
          <w:color w:val="000000"/>
          <w:sz w:val="22"/>
          <w:szCs w:val="22"/>
          <w:lang w:val="fi-FI"/>
        </w:rPr>
      </w:pPr>
      <w:r w:rsidRPr="008E1A3F">
        <w:rPr>
          <w:color w:val="000000"/>
          <w:sz w:val="22"/>
          <w:szCs w:val="22"/>
          <w:lang w:val="fi-FI"/>
        </w:rPr>
        <w:t>Veritulpat pienissä verisuonissa (ns. tromboottinen mikroangiopatia).</w:t>
      </w:r>
    </w:p>
    <w:p w14:paraId="586FCFAA" w14:textId="77777777" w:rsidR="00D07DCE" w:rsidRPr="00F105E0" w:rsidRDefault="00D07DCE" w:rsidP="00D07DCE">
      <w:pPr>
        <w:pStyle w:val="Text"/>
        <w:widowControl w:val="0"/>
        <w:spacing w:before="0"/>
        <w:jc w:val="left"/>
        <w:rPr>
          <w:color w:val="000000"/>
          <w:sz w:val="22"/>
          <w:szCs w:val="22"/>
          <w:lang w:val="fi-FI"/>
        </w:rPr>
      </w:pPr>
    </w:p>
    <w:p w14:paraId="586FCFAB" w14:textId="77777777" w:rsidR="00D07DCE" w:rsidRPr="004677BE" w:rsidRDefault="00D07DCE" w:rsidP="00C54CAD">
      <w:pPr>
        <w:pStyle w:val="Text"/>
        <w:keepNext/>
        <w:widowControl w:val="0"/>
        <w:spacing w:before="0"/>
        <w:jc w:val="left"/>
        <w:rPr>
          <w:color w:val="000000"/>
          <w:sz w:val="22"/>
          <w:szCs w:val="22"/>
          <w:lang w:val="fi-FI"/>
        </w:rPr>
      </w:pPr>
      <w:r>
        <w:rPr>
          <w:b/>
          <w:color w:val="000000"/>
          <w:sz w:val="22"/>
          <w:szCs w:val="22"/>
          <w:lang w:val="fi-FI"/>
        </w:rPr>
        <w:lastRenderedPageBreak/>
        <w:t>Tuntematon</w:t>
      </w:r>
      <w:r w:rsidR="005D1290">
        <w:rPr>
          <w:b/>
          <w:color w:val="000000"/>
          <w:sz w:val="22"/>
          <w:szCs w:val="22"/>
          <w:lang w:val="fi-FI"/>
        </w:rPr>
        <w:t xml:space="preserve"> </w:t>
      </w:r>
      <w:r w:rsidR="005D1290">
        <w:rPr>
          <w:color w:val="000000"/>
          <w:sz w:val="22"/>
          <w:szCs w:val="22"/>
          <w:lang w:val="fi-FI"/>
        </w:rPr>
        <w:t>(</w:t>
      </w:r>
      <w:r w:rsidR="005D1290" w:rsidRPr="00577BC6">
        <w:rPr>
          <w:sz w:val="22"/>
          <w:szCs w:val="22"/>
          <w:lang w:val="fi-FI"/>
        </w:rPr>
        <w:t>saatavissa oleva tieto ei riitä arviointiin</w:t>
      </w:r>
      <w:r w:rsidR="005D1290">
        <w:rPr>
          <w:sz w:val="22"/>
          <w:szCs w:val="22"/>
          <w:lang w:val="fi-FI"/>
        </w:rPr>
        <w:t>)</w:t>
      </w:r>
      <w:r w:rsidRPr="004677BE">
        <w:rPr>
          <w:color w:val="000000"/>
          <w:sz w:val="22"/>
          <w:szCs w:val="22"/>
          <w:lang w:val="fi-FI"/>
        </w:rPr>
        <w:t>:</w:t>
      </w:r>
    </w:p>
    <w:p w14:paraId="586FCFAC" w14:textId="77777777" w:rsidR="00D07DCE" w:rsidRDefault="00D07DCE" w:rsidP="00774A0B">
      <w:pPr>
        <w:pStyle w:val="Text"/>
        <w:keepLines/>
        <w:widowControl w:val="0"/>
        <w:numPr>
          <w:ilvl w:val="1"/>
          <w:numId w:val="31"/>
        </w:numPr>
        <w:spacing w:before="0"/>
        <w:ind w:left="567" w:hanging="567"/>
        <w:jc w:val="left"/>
        <w:rPr>
          <w:color w:val="000000"/>
          <w:sz w:val="22"/>
          <w:szCs w:val="22"/>
          <w:lang w:val="fi-FI"/>
        </w:rPr>
      </w:pPr>
      <w:r>
        <w:rPr>
          <w:color w:val="000000"/>
          <w:sz w:val="22"/>
          <w:szCs w:val="22"/>
          <w:lang w:val="fi-FI"/>
        </w:rPr>
        <w:t>Samanaikainen laaja-alainen vaikea ihottuma, huonovointisuus, kuume, tiettyjen veren valkosolujen runsaus tai ihon tai silmien keltaisuus (ikteruksen merkkejä), joihin liittyy hengästyneisyys, kipu tai epämiellyttävä tunne rinnassa, voimakkaasti vähentynyt virtsaneritys ja janon tunne ym. (merkkejä hoitoon liittyvästä allergisesta reaktiosta).</w:t>
      </w:r>
    </w:p>
    <w:p w14:paraId="586FCFAD" w14:textId="77777777" w:rsidR="0019509E" w:rsidRDefault="0019509E" w:rsidP="0019509E">
      <w:pPr>
        <w:pStyle w:val="Text"/>
        <w:widowControl w:val="0"/>
        <w:numPr>
          <w:ilvl w:val="0"/>
          <w:numId w:val="29"/>
        </w:numPr>
        <w:spacing w:before="0"/>
        <w:ind w:left="567" w:hanging="567"/>
        <w:jc w:val="left"/>
        <w:rPr>
          <w:color w:val="000000"/>
          <w:sz w:val="22"/>
          <w:szCs w:val="22"/>
          <w:lang w:val="fi-FI"/>
        </w:rPr>
      </w:pPr>
      <w:r>
        <w:rPr>
          <w:sz w:val="22"/>
          <w:szCs w:val="22"/>
        </w:rPr>
        <w:t>Krooninen munuaisten vajaatoiminta</w:t>
      </w:r>
      <w:r w:rsidR="006E726C">
        <w:rPr>
          <w:sz w:val="22"/>
          <w:szCs w:val="22"/>
        </w:rPr>
        <w:t>.</w:t>
      </w:r>
    </w:p>
    <w:p w14:paraId="586FCFAE" w14:textId="77777777" w:rsidR="00D51425" w:rsidRPr="00D51425" w:rsidRDefault="00D51425" w:rsidP="00D51425">
      <w:pPr>
        <w:widowControl w:val="0"/>
        <w:numPr>
          <w:ilvl w:val="0"/>
          <w:numId w:val="29"/>
        </w:numPr>
        <w:ind w:left="567" w:hanging="567"/>
        <w:rPr>
          <w:rFonts w:ascii="Times New Roman" w:hAnsi="Times New Roman"/>
          <w:sz w:val="22"/>
          <w:szCs w:val="22"/>
        </w:rPr>
      </w:pPr>
      <w:r w:rsidRPr="00D51425">
        <w:rPr>
          <w:rFonts w:ascii="Times New Roman" w:hAnsi="Times New Roman"/>
          <w:sz w:val="22"/>
          <w:szCs w:val="22"/>
        </w:rPr>
        <w:t>Hepatiitti B -infektion uudelleen aktivoituminen, kun potilaalla on ollut aiemmin hepatiitti B (maksatulehdus).</w:t>
      </w:r>
    </w:p>
    <w:p w14:paraId="586FCFAF" w14:textId="77777777" w:rsidR="00D07DCE" w:rsidRDefault="00D07DCE" w:rsidP="00D07DCE">
      <w:pPr>
        <w:pStyle w:val="Text"/>
        <w:widowControl w:val="0"/>
        <w:spacing w:before="0"/>
        <w:jc w:val="left"/>
        <w:rPr>
          <w:color w:val="000000"/>
          <w:sz w:val="22"/>
          <w:szCs w:val="22"/>
          <w:lang w:val="fi-FI"/>
        </w:rPr>
      </w:pPr>
    </w:p>
    <w:p w14:paraId="586FCFB0" w14:textId="77777777" w:rsidR="00311DC5" w:rsidRDefault="00311DC5" w:rsidP="00D07DCE">
      <w:pPr>
        <w:pStyle w:val="Text"/>
        <w:widowControl w:val="0"/>
        <w:spacing w:before="0"/>
        <w:jc w:val="left"/>
        <w:rPr>
          <w:b/>
          <w:color w:val="000000"/>
          <w:sz w:val="22"/>
          <w:szCs w:val="22"/>
          <w:lang w:val="fi-FI"/>
        </w:rPr>
      </w:pPr>
      <w:r>
        <w:rPr>
          <w:color w:val="000000"/>
          <w:sz w:val="22"/>
          <w:szCs w:val="22"/>
          <w:lang w:val="fi-FI"/>
        </w:rPr>
        <w:t xml:space="preserve">Jos saat jonkin yllämainituista oireista, </w:t>
      </w:r>
      <w:r>
        <w:rPr>
          <w:b/>
          <w:color w:val="000000"/>
          <w:sz w:val="22"/>
          <w:szCs w:val="22"/>
          <w:lang w:val="fi-FI"/>
        </w:rPr>
        <w:t>kerro siitä heti lääkärillesi.</w:t>
      </w:r>
    </w:p>
    <w:p w14:paraId="586FCFB1" w14:textId="77777777" w:rsidR="00311DC5" w:rsidRDefault="00311DC5" w:rsidP="00311DC5">
      <w:pPr>
        <w:pStyle w:val="Text"/>
        <w:widowControl w:val="0"/>
        <w:spacing w:before="0"/>
        <w:jc w:val="left"/>
        <w:rPr>
          <w:color w:val="000000"/>
          <w:sz w:val="22"/>
          <w:szCs w:val="22"/>
          <w:lang w:val="fi-FI"/>
        </w:rPr>
      </w:pPr>
    </w:p>
    <w:p w14:paraId="586FCFB2" w14:textId="77777777" w:rsidR="00311DC5" w:rsidRDefault="00311DC5" w:rsidP="00774A0B">
      <w:pPr>
        <w:pStyle w:val="Text"/>
        <w:keepNext/>
        <w:widowControl w:val="0"/>
        <w:spacing w:before="0"/>
        <w:jc w:val="left"/>
        <w:rPr>
          <w:b/>
          <w:color w:val="000000"/>
          <w:sz w:val="22"/>
          <w:szCs w:val="22"/>
          <w:lang w:val="fi-FI"/>
        </w:rPr>
      </w:pPr>
      <w:r>
        <w:rPr>
          <w:b/>
          <w:color w:val="000000"/>
          <w:sz w:val="22"/>
          <w:szCs w:val="22"/>
          <w:lang w:val="fi-FI"/>
        </w:rPr>
        <w:t>Muita haittavaikutuksia ovat:</w:t>
      </w:r>
    </w:p>
    <w:p w14:paraId="586FCFB3" w14:textId="77777777" w:rsidR="00311DC5" w:rsidRDefault="00311DC5" w:rsidP="00774A0B">
      <w:pPr>
        <w:pStyle w:val="Text"/>
        <w:keepNext/>
        <w:widowControl w:val="0"/>
        <w:spacing w:before="0"/>
        <w:jc w:val="left"/>
        <w:rPr>
          <w:bCs/>
          <w:color w:val="000000"/>
          <w:sz w:val="22"/>
          <w:szCs w:val="22"/>
          <w:lang w:val="fi-FI"/>
        </w:rPr>
      </w:pPr>
    </w:p>
    <w:p w14:paraId="586FCFB4" w14:textId="77777777" w:rsidR="00311DC5" w:rsidRPr="00BD27A3" w:rsidRDefault="00311DC5" w:rsidP="00774A0B">
      <w:pPr>
        <w:pStyle w:val="Text"/>
        <w:keepNext/>
        <w:widowControl w:val="0"/>
        <w:spacing w:before="0"/>
        <w:jc w:val="left"/>
        <w:rPr>
          <w:color w:val="000000"/>
          <w:sz w:val="22"/>
          <w:szCs w:val="22"/>
          <w:lang w:val="fi-FI"/>
        </w:rPr>
      </w:pPr>
      <w:r>
        <w:rPr>
          <w:b/>
          <w:color w:val="000000"/>
          <w:sz w:val="22"/>
          <w:szCs w:val="22"/>
          <w:lang w:val="fi-FI"/>
        </w:rPr>
        <w:t>Hyvin yleisiä</w:t>
      </w:r>
      <w:r w:rsidRPr="00BD27A3">
        <w:rPr>
          <w:color w:val="000000"/>
          <w:sz w:val="22"/>
          <w:szCs w:val="22"/>
          <w:lang w:val="fi-FI"/>
        </w:rPr>
        <w:t xml:space="preserve"> </w:t>
      </w:r>
      <w:r w:rsidRPr="003B78EE">
        <w:rPr>
          <w:bCs/>
          <w:iCs/>
          <w:color w:val="000000"/>
          <w:sz w:val="22"/>
          <w:szCs w:val="22"/>
          <w:lang w:val="fi-FI"/>
        </w:rPr>
        <w:t>(yli 1 käyttäjällä 10:stä)</w:t>
      </w:r>
      <w:r w:rsidRPr="00BD27A3">
        <w:rPr>
          <w:color w:val="000000"/>
          <w:sz w:val="22"/>
          <w:szCs w:val="22"/>
          <w:lang w:val="fi-FI"/>
        </w:rPr>
        <w:t>:</w:t>
      </w:r>
    </w:p>
    <w:p w14:paraId="586FCFB5"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Päänsärky tai väsymyksen tunne.</w:t>
      </w:r>
    </w:p>
    <w:p w14:paraId="586FCFB6"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Huonovointisuus (pahoinvointi), oksentelu, ripuli tai ruuansulatushäiriöt.</w:t>
      </w:r>
    </w:p>
    <w:p w14:paraId="586FCFB7"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Ihottuma.</w:t>
      </w:r>
    </w:p>
    <w:p w14:paraId="586FCFB8" w14:textId="77777777" w:rsidR="00311DC5" w:rsidRPr="004B2D62"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sidRPr="004B2D62">
        <w:rPr>
          <w:color w:val="000000"/>
          <w:sz w:val="22"/>
          <w:szCs w:val="22"/>
          <w:lang w:val="fi-FI"/>
        </w:rPr>
        <w:t>Lihaskouristukset tai kipu nivelissä, lihaksissa tai luustossa</w:t>
      </w:r>
      <w:r w:rsidR="0057782D" w:rsidRPr="004B2D62">
        <w:rPr>
          <w:color w:val="000000"/>
          <w:sz w:val="22"/>
          <w:szCs w:val="22"/>
          <w:lang w:val="fi-FI"/>
        </w:rPr>
        <w:t xml:space="preserve"> Glivec-hoidon aikana tai sen lopettamisen jälkeen</w:t>
      </w:r>
      <w:r w:rsidRPr="004B2D62">
        <w:rPr>
          <w:color w:val="000000"/>
          <w:sz w:val="22"/>
          <w:szCs w:val="22"/>
          <w:lang w:val="fi-FI"/>
        </w:rPr>
        <w:t>.</w:t>
      </w:r>
    </w:p>
    <w:p w14:paraId="586FCFB9"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Turvotus (esimerkiksi turvonneet silmäluomet ja nilkat).</w:t>
      </w:r>
    </w:p>
    <w:p w14:paraId="586FCFBA" w14:textId="77777777" w:rsidR="00311DC5" w:rsidRDefault="00311DC5" w:rsidP="00774A0B">
      <w:pPr>
        <w:pStyle w:val="Text"/>
        <w:keepN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Painon nousu.</w:t>
      </w:r>
    </w:p>
    <w:p w14:paraId="586FCFBB" w14:textId="77777777" w:rsidR="00311DC5" w:rsidRDefault="00311DC5" w:rsidP="00311DC5">
      <w:pPr>
        <w:pStyle w:val="Text"/>
        <w:widowControl w:val="0"/>
        <w:spacing w:before="0"/>
        <w:jc w:val="left"/>
        <w:rPr>
          <w:color w:val="000000"/>
          <w:sz w:val="22"/>
          <w:szCs w:val="22"/>
          <w:lang w:val="fi-FI"/>
        </w:rPr>
      </w:pPr>
      <w:r>
        <w:rPr>
          <w:b/>
          <w:color w:val="000000"/>
          <w:sz w:val="22"/>
          <w:szCs w:val="22"/>
          <w:lang w:val="fi-FI"/>
        </w:rPr>
        <w:t>Kerro lääkärillesi</w:t>
      </w:r>
      <w:r>
        <w:rPr>
          <w:color w:val="000000"/>
          <w:sz w:val="22"/>
          <w:szCs w:val="22"/>
          <w:lang w:val="fi-FI"/>
        </w:rPr>
        <w:t>, jos sinulla on jokin näistä sivuvaikutuksista vaikeana.</w:t>
      </w:r>
    </w:p>
    <w:p w14:paraId="586FCFBC" w14:textId="77777777" w:rsidR="00311DC5" w:rsidRDefault="00311DC5" w:rsidP="00311DC5">
      <w:pPr>
        <w:pStyle w:val="Text"/>
        <w:widowControl w:val="0"/>
        <w:spacing w:before="0"/>
        <w:jc w:val="left"/>
        <w:rPr>
          <w:color w:val="000000"/>
          <w:sz w:val="22"/>
          <w:szCs w:val="22"/>
          <w:lang w:val="fi-FI"/>
        </w:rPr>
      </w:pPr>
    </w:p>
    <w:p w14:paraId="586FCFBD" w14:textId="77777777" w:rsidR="00311DC5" w:rsidRPr="00BD27A3" w:rsidRDefault="00311DC5" w:rsidP="00774A0B">
      <w:pPr>
        <w:pStyle w:val="Text"/>
        <w:keepNext/>
        <w:widowControl w:val="0"/>
        <w:spacing w:before="0"/>
        <w:jc w:val="left"/>
        <w:rPr>
          <w:color w:val="000000"/>
          <w:sz w:val="22"/>
          <w:szCs w:val="22"/>
          <w:lang w:val="fi-FI"/>
        </w:rPr>
      </w:pPr>
      <w:r>
        <w:rPr>
          <w:b/>
          <w:color w:val="000000"/>
          <w:sz w:val="22"/>
          <w:szCs w:val="22"/>
          <w:lang w:val="fi-FI"/>
        </w:rPr>
        <w:t>Yleisiä</w:t>
      </w:r>
      <w:r w:rsidRPr="00BD27A3">
        <w:rPr>
          <w:color w:val="000000"/>
          <w:sz w:val="22"/>
          <w:szCs w:val="22"/>
          <w:lang w:val="fi-FI"/>
        </w:rPr>
        <w:t xml:space="preserve"> </w:t>
      </w:r>
      <w:r w:rsidRPr="003B78EE">
        <w:rPr>
          <w:bCs/>
          <w:iCs/>
          <w:color w:val="000000"/>
          <w:sz w:val="22"/>
          <w:szCs w:val="22"/>
          <w:lang w:val="fi-FI"/>
        </w:rPr>
        <w:t>(</w:t>
      </w:r>
      <w:r>
        <w:rPr>
          <w:bCs/>
          <w:iCs/>
          <w:color w:val="000000"/>
          <w:sz w:val="22"/>
          <w:szCs w:val="22"/>
          <w:lang w:val="fi-FI"/>
        </w:rPr>
        <w:t>enintään</w:t>
      </w:r>
      <w:r w:rsidRPr="003B78EE">
        <w:rPr>
          <w:bCs/>
          <w:iCs/>
          <w:color w:val="000000"/>
          <w:sz w:val="22"/>
          <w:szCs w:val="22"/>
          <w:lang w:val="fi-FI"/>
        </w:rPr>
        <w:t xml:space="preserve"> 1 käyttäjällä 10:stä)</w:t>
      </w:r>
      <w:r w:rsidRPr="00BD27A3">
        <w:rPr>
          <w:color w:val="000000"/>
          <w:sz w:val="22"/>
          <w:szCs w:val="22"/>
          <w:lang w:val="fi-FI"/>
        </w:rPr>
        <w:t>:</w:t>
      </w:r>
    </w:p>
    <w:p w14:paraId="586FCFBE"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Ruokahaluttomuus, painon lasku tai makuaistin häiriöt.</w:t>
      </w:r>
    </w:p>
    <w:p w14:paraId="586FCFBF"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Huimauksen tai heikotuksen tunne.</w:t>
      </w:r>
    </w:p>
    <w:p w14:paraId="586FCFC0"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Nukkumisvaikeudet (unettomuus)</w:t>
      </w:r>
    </w:p>
    <w:p w14:paraId="586FCFC1"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Silmän rähmiminen, johon liittyy kutinaa, punoitusta ja turvotusta (sidekalvon tulehdus), kyynelerityksen lisääntyminen tai näön hämärtyminen.</w:t>
      </w:r>
    </w:p>
    <w:p w14:paraId="586FCFC2"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Nenäverenvuoto.</w:t>
      </w:r>
    </w:p>
    <w:p w14:paraId="586FCFC3"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Vatsan kipu tai turvotus, ilmavaivat, närästys tai ummetus.</w:t>
      </w:r>
    </w:p>
    <w:p w14:paraId="586FCFC4"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Kutina.</w:t>
      </w:r>
    </w:p>
    <w:p w14:paraId="586FCFC5"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Epätavallinen hiustenlähtö tai hiusten oheneminen.</w:t>
      </w:r>
    </w:p>
    <w:p w14:paraId="586FCFC6"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Käsien tai jalkojen puutuminen.</w:t>
      </w:r>
    </w:p>
    <w:p w14:paraId="586FCFC7"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Suun haavaumat.</w:t>
      </w:r>
    </w:p>
    <w:p w14:paraId="586FCFC8"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Nivelkipu, johon liittyy turvotusta.</w:t>
      </w:r>
    </w:p>
    <w:p w14:paraId="586FCFC9"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Suun, ihon tai silmän kuivuus.</w:t>
      </w:r>
    </w:p>
    <w:p w14:paraId="586FCFCA"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Ihon tuntoherkkyyden heikkeneminen tai voimistuminen.</w:t>
      </w:r>
    </w:p>
    <w:p w14:paraId="586FCFCB" w14:textId="77777777" w:rsidR="00311DC5" w:rsidRDefault="00311DC5" w:rsidP="00774A0B">
      <w:pPr>
        <w:pStyle w:val="Text"/>
        <w:keepN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Kuumat aallot, vilunväreet tai yöllinen hikoilu.</w:t>
      </w:r>
    </w:p>
    <w:p w14:paraId="586FCFCC" w14:textId="77777777" w:rsidR="00311DC5" w:rsidRDefault="00311DC5" w:rsidP="00311DC5">
      <w:pPr>
        <w:pStyle w:val="Text"/>
        <w:widowControl w:val="0"/>
        <w:spacing w:before="0"/>
        <w:jc w:val="left"/>
        <w:rPr>
          <w:color w:val="000000"/>
          <w:sz w:val="22"/>
          <w:szCs w:val="22"/>
          <w:lang w:val="fi-FI"/>
        </w:rPr>
      </w:pPr>
      <w:r>
        <w:rPr>
          <w:b/>
          <w:color w:val="000000"/>
          <w:sz w:val="22"/>
          <w:szCs w:val="22"/>
          <w:lang w:val="fi-FI"/>
        </w:rPr>
        <w:t>Kerro lääkärillesi,</w:t>
      </w:r>
      <w:r>
        <w:rPr>
          <w:color w:val="000000"/>
          <w:sz w:val="22"/>
          <w:szCs w:val="22"/>
          <w:lang w:val="fi-FI"/>
        </w:rPr>
        <w:t xml:space="preserve"> jos sinulla on jokin edellämainituista haittavaikutuksista vaikeana.</w:t>
      </w:r>
    </w:p>
    <w:p w14:paraId="586FCFCD" w14:textId="77777777" w:rsidR="00311DC5" w:rsidRDefault="00311DC5" w:rsidP="00311DC5">
      <w:pPr>
        <w:pStyle w:val="Text"/>
        <w:widowControl w:val="0"/>
        <w:spacing w:before="0"/>
        <w:jc w:val="left"/>
        <w:rPr>
          <w:color w:val="000000"/>
          <w:sz w:val="22"/>
          <w:szCs w:val="22"/>
          <w:lang w:val="fi-FI"/>
        </w:rPr>
      </w:pPr>
    </w:p>
    <w:p w14:paraId="586FCFCE" w14:textId="77777777" w:rsidR="00311DC5" w:rsidRPr="00BD27A3" w:rsidRDefault="00311DC5" w:rsidP="00774A0B">
      <w:pPr>
        <w:pStyle w:val="Text"/>
        <w:keepNext/>
        <w:widowControl w:val="0"/>
        <w:spacing w:before="0"/>
        <w:jc w:val="left"/>
        <w:rPr>
          <w:color w:val="000000"/>
          <w:sz w:val="22"/>
          <w:szCs w:val="22"/>
          <w:lang w:val="fi-FI"/>
        </w:rPr>
      </w:pPr>
      <w:r>
        <w:rPr>
          <w:b/>
          <w:color w:val="000000"/>
          <w:sz w:val="22"/>
          <w:szCs w:val="22"/>
          <w:lang w:val="fi-FI"/>
        </w:rPr>
        <w:t>Tuntematon</w:t>
      </w:r>
      <w:r>
        <w:rPr>
          <w:color w:val="000000"/>
          <w:sz w:val="22"/>
          <w:szCs w:val="22"/>
          <w:lang w:val="fi-FI"/>
        </w:rPr>
        <w:t xml:space="preserve"> (</w:t>
      </w:r>
      <w:r w:rsidRPr="00577BC6">
        <w:rPr>
          <w:sz w:val="22"/>
          <w:szCs w:val="22"/>
          <w:lang w:val="fi-FI"/>
        </w:rPr>
        <w:t>saatavissa oleva tieto ei riitä arviointiin</w:t>
      </w:r>
      <w:r>
        <w:rPr>
          <w:sz w:val="22"/>
          <w:szCs w:val="22"/>
          <w:lang w:val="fi-FI"/>
        </w:rPr>
        <w:t>)</w:t>
      </w:r>
      <w:r w:rsidRPr="00BD27A3">
        <w:rPr>
          <w:color w:val="000000"/>
          <w:sz w:val="22"/>
          <w:szCs w:val="22"/>
          <w:lang w:val="fi-FI"/>
        </w:rPr>
        <w:t>:</w:t>
      </w:r>
    </w:p>
    <w:p w14:paraId="586FCFCF"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Kämmenten ja jalkapohjien punoitus ja/tai turvotus, johon voi liittyä kihelmöintiä ja polttavaa kipua.</w:t>
      </w:r>
    </w:p>
    <w:p w14:paraId="586FCFD0" w14:textId="77777777" w:rsidR="00AB26B9" w:rsidRDefault="00AB26B9"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Kivuliaat ja/tai rakkulaiset ihovauriot.</w:t>
      </w:r>
    </w:p>
    <w:p w14:paraId="586FCFD1" w14:textId="77777777" w:rsidR="00311DC5" w:rsidRDefault="00311DC5" w:rsidP="00774A0B">
      <w:pPr>
        <w:pStyle w:val="Text"/>
        <w:keepN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Kasvun hidastuminen lapsilla ja nuorilla.</w:t>
      </w:r>
    </w:p>
    <w:p w14:paraId="586FCFD2" w14:textId="77777777" w:rsidR="00311DC5" w:rsidRDefault="00311DC5" w:rsidP="00311DC5">
      <w:pPr>
        <w:pStyle w:val="Text"/>
        <w:widowControl w:val="0"/>
        <w:spacing w:before="0"/>
        <w:jc w:val="left"/>
        <w:rPr>
          <w:color w:val="000000"/>
          <w:sz w:val="22"/>
          <w:szCs w:val="22"/>
          <w:lang w:val="fi-FI"/>
        </w:rPr>
      </w:pPr>
      <w:r>
        <w:rPr>
          <w:b/>
          <w:color w:val="000000"/>
          <w:sz w:val="22"/>
          <w:szCs w:val="22"/>
          <w:lang w:val="fi-FI"/>
        </w:rPr>
        <w:t>Kerro lääkärillesi,</w:t>
      </w:r>
      <w:r>
        <w:rPr>
          <w:color w:val="000000"/>
          <w:sz w:val="22"/>
          <w:szCs w:val="22"/>
          <w:lang w:val="fi-FI"/>
        </w:rPr>
        <w:t xml:space="preserve"> jos sinulla on jokin edellämainituista haittavaikutuksista vaikeana.</w:t>
      </w:r>
    </w:p>
    <w:p w14:paraId="586FCFD3" w14:textId="77777777" w:rsidR="00311DC5" w:rsidRPr="00852285" w:rsidRDefault="00311DC5" w:rsidP="00311DC5">
      <w:pPr>
        <w:pStyle w:val="Text"/>
        <w:widowControl w:val="0"/>
        <w:spacing w:before="0"/>
        <w:jc w:val="left"/>
        <w:rPr>
          <w:color w:val="000000"/>
          <w:sz w:val="22"/>
          <w:szCs w:val="22"/>
          <w:lang w:val="fi-FI"/>
        </w:rPr>
      </w:pPr>
    </w:p>
    <w:p w14:paraId="586FCFD4" w14:textId="77777777" w:rsidR="00311DC5" w:rsidRPr="00852285" w:rsidRDefault="00311DC5" w:rsidP="00774A0B">
      <w:pPr>
        <w:keepNext/>
        <w:rPr>
          <w:rFonts w:ascii="Times New Roman" w:hAnsi="Times New Roman"/>
          <w:b/>
          <w:noProof/>
          <w:sz w:val="22"/>
          <w:szCs w:val="22"/>
        </w:rPr>
      </w:pPr>
      <w:r w:rsidRPr="00852285">
        <w:rPr>
          <w:rFonts w:ascii="Times New Roman" w:hAnsi="Times New Roman"/>
          <w:b/>
          <w:noProof/>
          <w:sz w:val="22"/>
          <w:szCs w:val="22"/>
        </w:rPr>
        <w:t>Haittavaikutuksista ilmoittaminen</w:t>
      </w:r>
    </w:p>
    <w:p w14:paraId="586FCFD5" w14:textId="77777777" w:rsidR="00311DC5" w:rsidRPr="00852285" w:rsidRDefault="00311DC5" w:rsidP="00311DC5">
      <w:pPr>
        <w:ind w:right="-2"/>
        <w:rPr>
          <w:rFonts w:ascii="Times New Roman" w:hAnsi="Times New Roman"/>
          <w:sz w:val="22"/>
          <w:szCs w:val="22"/>
        </w:rPr>
      </w:pPr>
      <w:r w:rsidRPr="00852285">
        <w:rPr>
          <w:rFonts w:ascii="Times New Roman" w:hAnsi="Times New Roman"/>
          <w:sz w:val="22"/>
          <w:szCs w:val="22"/>
        </w:rPr>
        <w:t>Jos havaitset h</w:t>
      </w:r>
      <w:r>
        <w:rPr>
          <w:rFonts w:ascii="Times New Roman" w:hAnsi="Times New Roman"/>
          <w:sz w:val="22"/>
          <w:szCs w:val="22"/>
        </w:rPr>
        <w:t xml:space="preserve">aittavaikutuksia, kerro niistä </w:t>
      </w:r>
      <w:r w:rsidRPr="00852285">
        <w:rPr>
          <w:rFonts w:ascii="Times New Roman" w:hAnsi="Times New Roman"/>
          <w:sz w:val="22"/>
          <w:szCs w:val="22"/>
        </w:rPr>
        <w:t>lääkärille,</w:t>
      </w:r>
      <w:r>
        <w:rPr>
          <w:rFonts w:ascii="Times New Roman" w:hAnsi="Times New Roman"/>
          <w:sz w:val="22"/>
          <w:szCs w:val="22"/>
        </w:rPr>
        <w:t xml:space="preserve"> </w:t>
      </w:r>
      <w:r w:rsidRPr="00852285">
        <w:rPr>
          <w:rFonts w:ascii="Times New Roman" w:hAnsi="Times New Roman"/>
          <w:sz w:val="22"/>
          <w:szCs w:val="22"/>
        </w:rPr>
        <w:t xml:space="preserve">apteekkihenkilökunnalle tai sairaanhoitajalle. Tämä koskee myös </w:t>
      </w:r>
      <w:r w:rsidRPr="00852285">
        <w:rPr>
          <w:rFonts w:ascii="Times New Roman" w:hAnsi="Times New Roman"/>
          <w:noProof/>
          <w:sz w:val="22"/>
          <w:szCs w:val="22"/>
        </w:rPr>
        <w:t>sellaisia</w:t>
      </w:r>
      <w:r w:rsidRPr="00852285">
        <w:rPr>
          <w:rFonts w:ascii="Times New Roman" w:hAnsi="Times New Roman"/>
          <w:sz w:val="22"/>
          <w:szCs w:val="22"/>
        </w:rPr>
        <w:t xml:space="preserve"> mahdollisia haittavaikutuksia, joita ei ole mainittu tässä pakkausselosteessa</w:t>
      </w:r>
      <w:r w:rsidRPr="00852285">
        <w:rPr>
          <w:rFonts w:ascii="Times New Roman" w:hAnsi="Times New Roman"/>
          <w:noProof/>
          <w:sz w:val="22"/>
          <w:szCs w:val="22"/>
        </w:rPr>
        <w:t xml:space="preserve">. </w:t>
      </w:r>
      <w:r w:rsidRPr="00852285">
        <w:rPr>
          <w:rFonts w:ascii="Times New Roman" w:hAnsi="Times New Roman"/>
          <w:sz w:val="22"/>
          <w:szCs w:val="22"/>
        </w:rPr>
        <w:t xml:space="preserve">Voit ilmoittaa haittavaikutuksista myös suoraan </w:t>
      </w:r>
      <w:hyperlink r:id="rId16" w:history="1">
        <w:r w:rsidRPr="00C61A01">
          <w:rPr>
            <w:rStyle w:val="Hyperlink"/>
            <w:rFonts w:ascii="Times New Roman" w:hAnsi="Times New Roman"/>
            <w:sz w:val="22"/>
            <w:szCs w:val="22"/>
            <w:shd w:val="clear" w:color="auto" w:fill="D9D9D9"/>
          </w:rPr>
          <w:t>liitteessä V</w:t>
        </w:r>
      </w:hyperlink>
      <w:r w:rsidRPr="00C61A01">
        <w:rPr>
          <w:rStyle w:val="Hyperlink"/>
          <w:rFonts w:ascii="Times New Roman" w:hAnsi="Times New Roman"/>
          <w:sz w:val="22"/>
          <w:szCs w:val="22"/>
          <w:shd w:val="clear" w:color="auto" w:fill="D9D9D9"/>
        </w:rPr>
        <w:t xml:space="preserve"> </w:t>
      </w:r>
      <w:r w:rsidRPr="00C61A01">
        <w:rPr>
          <w:rFonts w:ascii="Times New Roman" w:hAnsi="Times New Roman"/>
          <w:sz w:val="22"/>
          <w:szCs w:val="22"/>
          <w:shd w:val="clear" w:color="auto" w:fill="D9D9D9"/>
        </w:rPr>
        <w:t>luetellun kansallisen ilmoitusjärjestelmän kautta</w:t>
      </w:r>
      <w:r w:rsidRPr="00852285">
        <w:rPr>
          <w:rFonts w:ascii="Times New Roman" w:hAnsi="Times New Roman"/>
          <w:sz w:val="22"/>
          <w:szCs w:val="22"/>
        </w:rPr>
        <w:t>. Ilmoittamalla haittavaikutuksista voit auttaa saamaan enemmän tietoa tämän lääkevalmisteen turvallisuudesta.</w:t>
      </w:r>
    </w:p>
    <w:p w14:paraId="586FCFD6" w14:textId="77777777" w:rsidR="00311DC5" w:rsidRDefault="00311DC5" w:rsidP="00311DC5">
      <w:pPr>
        <w:widowControl w:val="0"/>
        <w:ind w:right="-2"/>
        <w:rPr>
          <w:rFonts w:ascii="Times New Roman" w:hAnsi="Times New Roman"/>
          <w:sz w:val="22"/>
          <w:szCs w:val="22"/>
        </w:rPr>
      </w:pPr>
    </w:p>
    <w:p w14:paraId="586FCFD7" w14:textId="77777777" w:rsidR="00311DC5" w:rsidRDefault="00311DC5" w:rsidP="00311DC5">
      <w:pPr>
        <w:widowControl w:val="0"/>
        <w:ind w:right="-2"/>
        <w:rPr>
          <w:rFonts w:ascii="Times New Roman" w:hAnsi="Times New Roman"/>
          <w:sz w:val="22"/>
          <w:szCs w:val="22"/>
        </w:rPr>
      </w:pPr>
    </w:p>
    <w:p w14:paraId="586FCFD8" w14:textId="77777777" w:rsidR="0076444C" w:rsidRDefault="0076444C" w:rsidP="0076444C">
      <w:pPr>
        <w:keepNext/>
        <w:widowControl w:val="0"/>
        <w:ind w:left="567" w:hanging="567"/>
        <w:rPr>
          <w:rFonts w:ascii="Times New Roman" w:hAnsi="Times New Roman"/>
          <w:b/>
          <w:sz w:val="22"/>
          <w:szCs w:val="22"/>
        </w:rPr>
      </w:pPr>
      <w:r>
        <w:rPr>
          <w:rFonts w:ascii="Times New Roman" w:hAnsi="Times New Roman"/>
          <w:b/>
          <w:sz w:val="22"/>
          <w:szCs w:val="22"/>
        </w:rPr>
        <w:t>5.</w:t>
      </w:r>
      <w:r>
        <w:rPr>
          <w:rFonts w:ascii="Times New Roman" w:hAnsi="Times New Roman"/>
          <w:b/>
          <w:sz w:val="22"/>
          <w:szCs w:val="22"/>
        </w:rPr>
        <w:tab/>
        <w:t>Glivecin säilyttäminen</w:t>
      </w:r>
    </w:p>
    <w:p w14:paraId="586FCFD9" w14:textId="77777777" w:rsidR="0076444C" w:rsidRDefault="0076444C" w:rsidP="0076444C">
      <w:pPr>
        <w:keepNext/>
        <w:widowControl w:val="0"/>
        <w:rPr>
          <w:rFonts w:ascii="Times New Roman" w:hAnsi="Times New Roman"/>
          <w:sz w:val="22"/>
          <w:szCs w:val="22"/>
        </w:rPr>
      </w:pPr>
    </w:p>
    <w:p w14:paraId="586FCFDA" w14:textId="77777777" w:rsidR="0076444C" w:rsidRDefault="0076444C" w:rsidP="00774A0B">
      <w:pPr>
        <w:widowControl w:val="0"/>
        <w:numPr>
          <w:ilvl w:val="0"/>
          <w:numId w:val="6"/>
        </w:numPr>
        <w:tabs>
          <w:tab w:val="clear" w:pos="360"/>
          <w:tab w:val="num" w:pos="567"/>
        </w:tabs>
        <w:ind w:left="567" w:right="-2" w:hanging="567"/>
        <w:rPr>
          <w:rFonts w:ascii="Times New Roman" w:hAnsi="Times New Roman"/>
          <w:sz w:val="22"/>
          <w:szCs w:val="22"/>
        </w:rPr>
      </w:pPr>
      <w:r>
        <w:rPr>
          <w:rFonts w:ascii="Times New Roman" w:hAnsi="Times New Roman"/>
          <w:sz w:val="22"/>
          <w:szCs w:val="22"/>
        </w:rPr>
        <w:t>Ei lasten ulottuville eikä näkyville.</w:t>
      </w:r>
    </w:p>
    <w:p w14:paraId="586FCFDB" w14:textId="77777777" w:rsidR="0076444C" w:rsidRDefault="0076444C" w:rsidP="00774A0B">
      <w:pPr>
        <w:widowControl w:val="0"/>
        <w:numPr>
          <w:ilvl w:val="0"/>
          <w:numId w:val="6"/>
        </w:numPr>
        <w:tabs>
          <w:tab w:val="clear" w:pos="360"/>
          <w:tab w:val="num" w:pos="567"/>
        </w:tabs>
        <w:ind w:left="567" w:right="-2" w:hanging="567"/>
        <w:rPr>
          <w:rFonts w:ascii="Times New Roman" w:hAnsi="Times New Roman"/>
          <w:sz w:val="22"/>
          <w:szCs w:val="22"/>
        </w:rPr>
      </w:pPr>
      <w:r>
        <w:rPr>
          <w:rFonts w:ascii="Times New Roman" w:hAnsi="Times New Roman"/>
          <w:sz w:val="22"/>
          <w:szCs w:val="22"/>
        </w:rPr>
        <w:t xml:space="preserve">Älä käytä tätä lääkettä pakkauksessa mainitun viimeisen käyttöpäivämäärän </w:t>
      </w:r>
      <w:r w:rsidR="00AB26B9">
        <w:rPr>
          <w:rFonts w:ascii="Times New Roman" w:hAnsi="Times New Roman"/>
          <w:sz w:val="22"/>
          <w:szCs w:val="22"/>
        </w:rPr>
        <w:t xml:space="preserve">(EXP) </w:t>
      </w:r>
      <w:r>
        <w:rPr>
          <w:rFonts w:ascii="Times New Roman" w:hAnsi="Times New Roman"/>
          <w:sz w:val="22"/>
          <w:szCs w:val="22"/>
        </w:rPr>
        <w:t>jälkeen.</w:t>
      </w:r>
    </w:p>
    <w:p w14:paraId="586FCFDC" w14:textId="77777777" w:rsidR="0076444C" w:rsidRDefault="0076444C" w:rsidP="0076444C">
      <w:pPr>
        <w:pStyle w:val="Text"/>
        <w:widowControl w:val="0"/>
        <w:numPr>
          <w:ilvl w:val="0"/>
          <w:numId w:val="2"/>
        </w:numPr>
        <w:spacing w:before="0"/>
        <w:ind w:left="567" w:hanging="567"/>
        <w:jc w:val="left"/>
        <w:rPr>
          <w:color w:val="000000"/>
          <w:sz w:val="22"/>
          <w:szCs w:val="22"/>
          <w:lang w:val="fi-FI"/>
        </w:rPr>
      </w:pPr>
      <w:r>
        <w:rPr>
          <w:color w:val="000000"/>
          <w:sz w:val="22"/>
          <w:szCs w:val="22"/>
          <w:lang w:val="fi-FI"/>
        </w:rPr>
        <w:t>Säilytä alle 30°C.</w:t>
      </w:r>
    </w:p>
    <w:p w14:paraId="586FCFDD" w14:textId="77777777" w:rsidR="0076444C" w:rsidRDefault="0076444C" w:rsidP="0076444C">
      <w:pPr>
        <w:pStyle w:val="Text"/>
        <w:widowControl w:val="0"/>
        <w:numPr>
          <w:ilvl w:val="0"/>
          <w:numId w:val="2"/>
        </w:numPr>
        <w:spacing w:before="0"/>
        <w:ind w:left="567" w:hanging="567"/>
        <w:jc w:val="left"/>
        <w:rPr>
          <w:color w:val="000000"/>
          <w:sz w:val="22"/>
          <w:szCs w:val="22"/>
          <w:lang w:val="fi-FI"/>
        </w:rPr>
      </w:pPr>
      <w:r>
        <w:rPr>
          <w:color w:val="000000"/>
          <w:sz w:val="22"/>
          <w:szCs w:val="22"/>
          <w:lang w:val="fi-FI"/>
        </w:rPr>
        <w:t>Säilytä alkuperäispakkauksessa. Herkkä kosteudelle.</w:t>
      </w:r>
    </w:p>
    <w:p w14:paraId="586FCFDE" w14:textId="77777777" w:rsidR="0076444C" w:rsidRDefault="0076444C" w:rsidP="0076444C">
      <w:pPr>
        <w:pStyle w:val="Text"/>
        <w:widowControl w:val="0"/>
        <w:numPr>
          <w:ilvl w:val="0"/>
          <w:numId w:val="2"/>
        </w:numPr>
        <w:spacing w:before="0"/>
        <w:ind w:left="567" w:hanging="567"/>
        <w:jc w:val="left"/>
        <w:rPr>
          <w:color w:val="000000"/>
          <w:sz w:val="22"/>
          <w:szCs w:val="22"/>
          <w:lang w:val="fi-FI"/>
        </w:rPr>
      </w:pPr>
      <w:r>
        <w:rPr>
          <w:color w:val="000000"/>
          <w:sz w:val="22"/>
          <w:szCs w:val="22"/>
          <w:lang w:val="fi-FI"/>
        </w:rPr>
        <w:t>Älä käytä pakkausta, jos se on vahingoittunut tai näyttää avatulta.</w:t>
      </w:r>
    </w:p>
    <w:p w14:paraId="586FCFDF" w14:textId="77777777" w:rsidR="00E35343" w:rsidRPr="00931910" w:rsidRDefault="00E35343" w:rsidP="00E35343">
      <w:pPr>
        <w:pStyle w:val="Text"/>
        <w:widowControl w:val="0"/>
        <w:numPr>
          <w:ilvl w:val="0"/>
          <w:numId w:val="2"/>
        </w:numPr>
        <w:spacing w:before="0"/>
        <w:ind w:left="567" w:hanging="567"/>
        <w:jc w:val="left"/>
        <w:rPr>
          <w:color w:val="000000"/>
          <w:sz w:val="22"/>
          <w:szCs w:val="22"/>
          <w:lang w:val="fi-FI"/>
        </w:rPr>
      </w:pPr>
      <w:r w:rsidRPr="00931910">
        <w:rPr>
          <w:noProof/>
          <w:snapToGrid w:val="0"/>
          <w:sz w:val="22"/>
          <w:szCs w:val="22"/>
          <w:lang w:val="fi-FI"/>
        </w:rPr>
        <w:t>Lääkk</w:t>
      </w:r>
      <w:r>
        <w:rPr>
          <w:noProof/>
          <w:snapToGrid w:val="0"/>
          <w:sz w:val="22"/>
          <w:szCs w:val="22"/>
          <w:lang w:val="fi-FI"/>
        </w:rPr>
        <w:t xml:space="preserve">eitä ei tule heittää viemäriin </w:t>
      </w:r>
      <w:r w:rsidRPr="00931910">
        <w:rPr>
          <w:noProof/>
          <w:snapToGrid w:val="0"/>
          <w:sz w:val="22"/>
          <w:szCs w:val="22"/>
          <w:lang w:val="fi-FI"/>
        </w:rPr>
        <w:t>eikä hävittää talousjätteiden mukana. Kysy käyttämättömien lääkkeiden hävittämisestä apteekista. Näin menetellen suojelet luontoa.</w:t>
      </w:r>
    </w:p>
    <w:p w14:paraId="586FCFE0" w14:textId="77777777" w:rsidR="008F2D51" w:rsidRDefault="008F2D51" w:rsidP="008F2D51">
      <w:pPr>
        <w:pStyle w:val="Text"/>
        <w:widowControl w:val="0"/>
        <w:spacing w:before="0"/>
        <w:jc w:val="left"/>
        <w:rPr>
          <w:color w:val="000000"/>
          <w:sz w:val="22"/>
          <w:szCs w:val="22"/>
          <w:lang w:val="fi-FI"/>
        </w:rPr>
      </w:pPr>
    </w:p>
    <w:p w14:paraId="586FCFE1" w14:textId="77777777" w:rsidR="008F2D51" w:rsidRDefault="008F2D51" w:rsidP="008F2D51">
      <w:pPr>
        <w:pStyle w:val="Text"/>
        <w:widowControl w:val="0"/>
        <w:spacing w:before="0"/>
        <w:jc w:val="left"/>
        <w:rPr>
          <w:color w:val="000000"/>
          <w:sz w:val="22"/>
          <w:szCs w:val="22"/>
          <w:lang w:val="fi-FI"/>
        </w:rPr>
      </w:pPr>
    </w:p>
    <w:p w14:paraId="586FCFE2" w14:textId="77777777" w:rsidR="008F2D51" w:rsidRDefault="008F2D51" w:rsidP="00774A0B">
      <w:pPr>
        <w:pStyle w:val="Heading1"/>
        <w:widowControl w:val="0"/>
        <w:suppressAutoHyphens/>
        <w:rPr>
          <w:szCs w:val="22"/>
        </w:rPr>
      </w:pPr>
      <w:r>
        <w:rPr>
          <w:szCs w:val="22"/>
        </w:rPr>
        <w:t>6.</w:t>
      </w:r>
      <w:r>
        <w:rPr>
          <w:szCs w:val="22"/>
        </w:rPr>
        <w:tab/>
      </w:r>
      <w:r w:rsidR="00854AB2">
        <w:rPr>
          <w:szCs w:val="22"/>
        </w:rPr>
        <w:t>Pakkauksen sisältö ja muuta tietoa</w:t>
      </w:r>
    </w:p>
    <w:p w14:paraId="586FCFE3" w14:textId="77777777" w:rsidR="008F2D51" w:rsidRDefault="008F2D51" w:rsidP="00774A0B">
      <w:pPr>
        <w:keepNext/>
        <w:rPr>
          <w:rFonts w:ascii="Times New Roman" w:hAnsi="Times New Roman"/>
          <w:sz w:val="22"/>
          <w:szCs w:val="22"/>
        </w:rPr>
      </w:pPr>
    </w:p>
    <w:p w14:paraId="586FCFE4" w14:textId="77777777" w:rsidR="008F2D51" w:rsidRDefault="008F2D51" w:rsidP="00774A0B">
      <w:pPr>
        <w:keepNext/>
        <w:rPr>
          <w:rFonts w:ascii="Times New Roman" w:hAnsi="Times New Roman"/>
          <w:b/>
          <w:bCs/>
          <w:sz w:val="22"/>
          <w:szCs w:val="22"/>
        </w:rPr>
      </w:pPr>
      <w:r>
        <w:rPr>
          <w:rFonts w:ascii="Times New Roman" w:hAnsi="Times New Roman"/>
          <w:b/>
          <w:bCs/>
          <w:sz w:val="22"/>
          <w:szCs w:val="22"/>
        </w:rPr>
        <w:t>Mitä Glivec sisältää</w:t>
      </w:r>
    </w:p>
    <w:p w14:paraId="586FCFE5" w14:textId="77777777" w:rsidR="008F2D51" w:rsidRDefault="008F2D51" w:rsidP="00774A0B">
      <w:pPr>
        <w:keepNext/>
        <w:widowControl w:val="0"/>
        <w:numPr>
          <w:ilvl w:val="0"/>
          <w:numId w:val="1"/>
        </w:numPr>
        <w:ind w:left="567" w:right="-2" w:hanging="567"/>
        <w:rPr>
          <w:rFonts w:ascii="Times New Roman" w:hAnsi="Times New Roman"/>
          <w:sz w:val="22"/>
          <w:szCs w:val="22"/>
        </w:rPr>
      </w:pPr>
      <w:r>
        <w:rPr>
          <w:rFonts w:ascii="Times New Roman" w:hAnsi="Times New Roman"/>
          <w:sz w:val="22"/>
          <w:szCs w:val="22"/>
        </w:rPr>
        <w:t>Vaikuttava aine on imatinibimesilaatti. Yksi Glivec-kapseli sisältää 100 mg imatinibi</w:t>
      </w:r>
      <w:r w:rsidR="00854AB2">
        <w:rPr>
          <w:rFonts w:ascii="Times New Roman" w:hAnsi="Times New Roman"/>
          <w:sz w:val="22"/>
          <w:szCs w:val="22"/>
        </w:rPr>
        <w:t>a (</w:t>
      </w:r>
      <w:r>
        <w:rPr>
          <w:rFonts w:ascii="Times New Roman" w:hAnsi="Times New Roman"/>
          <w:sz w:val="22"/>
          <w:szCs w:val="22"/>
        </w:rPr>
        <w:t>mesilaatti</w:t>
      </w:r>
      <w:r w:rsidR="00854AB2">
        <w:rPr>
          <w:rFonts w:ascii="Times New Roman" w:hAnsi="Times New Roman"/>
          <w:sz w:val="22"/>
          <w:szCs w:val="22"/>
        </w:rPr>
        <w:t>n</w:t>
      </w:r>
      <w:r>
        <w:rPr>
          <w:rFonts w:ascii="Times New Roman" w:hAnsi="Times New Roman"/>
          <w:sz w:val="22"/>
          <w:szCs w:val="22"/>
        </w:rPr>
        <w:t>a</w:t>
      </w:r>
      <w:r w:rsidR="00854AB2">
        <w:rPr>
          <w:rFonts w:ascii="Times New Roman" w:hAnsi="Times New Roman"/>
          <w:sz w:val="22"/>
          <w:szCs w:val="22"/>
        </w:rPr>
        <w:t>)</w:t>
      </w:r>
      <w:r>
        <w:rPr>
          <w:rFonts w:ascii="Times New Roman" w:hAnsi="Times New Roman"/>
          <w:sz w:val="22"/>
          <w:szCs w:val="22"/>
        </w:rPr>
        <w:t>.</w:t>
      </w:r>
    </w:p>
    <w:p w14:paraId="586FCFE6" w14:textId="77777777" w:rsidR="008F2D51" w:rsidRDefault="008F2D51" w:rsidP="008F2D51">
      <w:pPr>
        <w:widowControl w:val="0"/>
        <w:numPr>
          <w:ilvl w:val="0"/>
          <w:numId w:val="1"/>
        </w:numPr>
        <w:ind w:left="567" w:right="-2" w:hanging="567"/>
        <w:rPr>
          <w:rFonts w:ascii="Times New Roman" w:hAnsi="Times New Roman"/>
          <w:sz w:val="22"/>
          <w:szCs w:val="22"/>
        </w:rPr>
      </w:pPr>
      <w:r>
        <w:rPr>
          <w:rFonts w:ascii="Times New Roman" w:hAnsi="Times New Roman"/>
          <w:sz w:val="22"/>
          <w:szCs w:val="22"/>
        </w:rPr>
        <w:t xml:space="preserve">Muut aineet ovat mikrokiteinen selluloosa, krospovidoni, magnesiumstearaatti ja vedetön kolloidinen piidioksidi. Kapselin kuori koostuu liivatteesta, punaisesta rautaoksidista (E172), keltaisesta rautaoksidista (E172) ja titaanidioksidista (E171). Merkitsemismuste sisältää </w:t>
      </w:r>
      <w:r w:rsidR="00E32F49">
        <w:rPr>
          <w:rFonts w:ascii="Times New Roman" w:hAnsi="Times New Roman"/>
          <w:sz w:val="22"/>
          <w:szCs w:val="22"/>
        </w:rPr>
        <w:t>punaista rautaoksidia (E172) ja shellakkaa.</w:t>
      </w:r>
    </w:p>
    <w:p w14:paraId="586FCFE7" w14:textId="77777777" w:rsidR="008F2D51" w:rsidRDefault="008F2D51" w:rsidP="008F2D51">
      <w:pPr>
        <w:pStyle w:val="EndnoteText"/>
        <w:widowControl w:val="0"/>
        <w:tabs>
          <w:tab w:val="clear" w:pos="567"/>
        </w:tabs>
        <w:rPr>
          <w:color w:val="000000"/>
          <w:szCs w:val="22"/>
          <w:lang w:val="fi-FI"/>
        </w:rPr>
      </w:pPr>
    </w:p>
    <w:p w14:paraId="586FCFE8" w14:textId="77777777" w:rsidR="008F2D51" w:rsidRDefault="008F2D51" w:rsidP="00774A0B">
      <w:pPr>
        <w:keepNext/>
        <w:widowControl w:val="0"/>
        <w:rPr>
          <w:rFonts w:ascii="Times New Roman" w:hAnsi="Times New Roman"/>
          <w:sz w:val="22"/>
          <w:szCs w:val="22"/>
        </w:rPr>
      </w:pPr>
      <w:r>
        <w:rPr>
          <w:rFonts w:ascii="Times New Roman" w:hAnsi="Times New Roman"/>
          <w:b/>
          <w:bCs/>
          <w:noProof/>
          <w:sz w:val="22"/>
          <w:szCs w:val="22"/>
        </w:rPr>
        <w:t>Lääkevalmisteen kuvaus ja pakkauskoo</w:t>
      </w:r>
      <w:r w:rsidR="006D23D9">
        <w:rPr>
          <w:rFonts w:ascii="Times New Roman" w:hAnsi="Times New Roman"/>
          <w:b/>
          <w:bCs/>
          <w:noProof/>
          <w:sz w:val="22"/>
          <w:szCs w:val="22"/>
        </w:rPr>
        <w:t>t</w:t>
      </w:r>
    </w:p>
    <w:p w14:paraId="586FCFE9" w14:textId="77777777" w:rsidR="008F2D51" w:rsidRDefault="008F2D51" w:rsidP="008F2D51">
      <w:pPr>
        <w:widowControl w:val="0"/>
        <w:rPr>
          <w:rFonts w:ascii="Times New Roman" w:hAnsi="Times New Roman"/>
          <w:sz w:val="22"/>
          <w:szCs w:val="22"/>
        </w:rPr>
      </w:pPr>
      <w:r>
        <w:rPr>
          <w:rFonts w:ascii="Times New Roman" w:hAnsi="Times New Roman"/>
          <w:sz w:val="22"/>
          <w:szCs w:val="22"/>
        </w:rPr>
        <w:t>Glivec 100 mg kapselit ovat oransseja tai harmahtavanoransseja ja niissä on merkintä ”NVR SI”. Ne sisältävät valkoista tai keltaista jauhetta.</w:t>
      </w:r>
    </w:p>
    <w:p w14:paraId="586FCFEA" w14:textId="77777777" w:rsidR="008F2D51" w:rsidRDefault="008F2D51" w:rsidP="008F2D51">
      <w:pPr>
        <w:widowControl w:val="0"/>
        <w:rPr>
          <w:rFonts w:ascii="Times New Roman" w:hAnsi="Times New Roman"/>
          <w:sz w:val="22"/>
          <w:szCs w:val="22"/>
        </w:rPr>
      </w:pPr>
    </w:p>
    <w:p w14:paraId="586FCFEB" w14:textId="77777777" w:rsidR="008F2D51" w:rsidRDefault="008F2D51" w:rsidP="008F2D51">
      <w:pPr>
        <w:widowControl w:val="0"/>
        <w:rPr>
          <w:rFonts w:ascii="Times New Roman" w:hAnsi="Times New Roman"/>
          <w:sz w:val="22"/>
          <w:szCs w:val="22"/>
        </w:rPr>
      </w:pPr>
      <w:r>
        <w:rPr>
          <w:rFonts w:ascii="Times New Roman" w:hAnsi="Times New Roman"/>
          <w:sz w:val="22"/>
          <w:szCs w:val="22"/>
        </w:rPr>
        <w:t>Glivec kapselit ovat 24, 48, 96, 120 tai 180 kapselin pakkauksissa. Kaikkia pakkauskokoja ei ole välttämättä myynnissä maassasi.</w:t>
      </w:r>
    </w:p>
    <w:p w14:paraId="586FCFEC" w14:textId="77777777" w:rsidR="008F2D51" w:rsidRDefault="008F2D51" w:rsidP="008F2D51">
      <w:pPr>
        <w:widowControl w:val="0"/>
        <w:suppressAutoHyphens/>
        <w:rPr>
          <w:rFonts w:ascii="Times New Roman" w:hAnsi="Times New Roman"/>
          <w:sz w:val="22"/>
          <w:szCs w:val="22"/>
        </w:rPr>
      </w:pPr>
    </w:p>
    <w:p w14:paraId="586FCFED" w14:textId="77777777" w:rsidR="008F2D51" w:rsidRDefault="008F2D51" w:rsidP="00774A0B">
      <w:pPr>
        <w:pStyle w:val="Heading2"/>
        <w:widowControl w:val="0"/>
        <w:tabs>
          <w:tab w:val="clear" w:pos="567"/>
        </w:tabs>
        <w:spacing w:before="0" w:after="0" w:line="240" w:lineRule="auto"/>
        <w:rPr>
          <w:rFonts w:ascii="Times New Roman" w:hAnsi="Times New Roman"/>
          <w:i w:val="0"/>
          <w:color w:val="000000"/>
          <w:sz w:val="22"/>
          <w:szCs w:val="22"/>
          <w:lang w:val="fi-FI"/>
        </w:rPr>
      </w:pPr>
      <w:r>
        <w:rPr>
          <w:rFonts w:ascii="Times New Roman" w:hAnsi="Times New Roman"/>
          <w:i w:val="0"/>
          <w:color w:val="000000"/>
          <w:sz w:val="22"/>
          <w:szCs w:val="22"/>
          <w:lang w:val="fi-FI"/>
        </w:rPr>
        <w:t>Myyntiluvan haltija</w:t>
      </w:r>
    </w:p>
    <w:p w14:paraId="586FCFEE" w14:textId="77777777" w:rsidR="008F2D51" w:rsidRDefault="008F2D51" w:rsidP="00774A0B">
      <w:pPr>
        <w:pStyle w:val="EndnoteText"/>
        <w:keepNext/>
        <w:widowControl w:val="0"/>
        <w:tabs>
          <w:tab w:val="clear" w:pos="567"/>
        </w:tabs>
        <w:rPr>
          <w:color w:val="000000"/>
          <w:szCs w:val="22"/>
          <w:lang w:val="fi-FI"/>
        </w:rPr>
      </w:pPr>
      <w:r>
        <w:rPr>
          <w:color w:val="000000"/>
          <w:szCs w:val="22"/>
          <w:lang w:val="fi-FI"/>
        </w:rPr>
        <w:t>Novartis Europharm Limited</w:t>
      </w:r>
    </w:p>
    <w:p w14:paraId="586FCFEF" w14:textId="77777777" w:rsidR="00A331BE" w:rsidRPr="00B7337A" w:rsidRDefault="00A331BE" w:rsidP="00A331BE">
      <w:pPr>
        <w:keepNext/>
        <w:widowControl w:val="0"/>
        <w:rPr>
          <w:rFonts w:ascii="Times New Roman" w:hAnsi="Times New Roman"/>
          <w:sz w:val="22"/>
          <w:szCs w:val="22"/>
          <w:lang w:val="en-US"/>
        </w:rPr>
      </w:pPr>
      <w:r w:rsidRPr="00B7337A">
        <w:rPr>
          <w:rFonts w:ascii="Times New Roman" w:hAnsi="Times New Roman"/>
          <w:sz w:val="22"/>
          <w:szCs w:val="22"/>
          <w:lang w:val="en-US"/>
        </w:rPr>
        <w:t>Vista Building</w:t>
      </w:r>
    </w:p>
    <w:p w14:paraId="586FCFF0" w14:textId="77777777" w:rsidR="00A331BE" w:rsidRPr="00B7337A" w:rsidRDefault="00A331BE" w:rsidP="00A331BE">
      <w:pPr>
        <w:keepNext/>
        <w:widowControl w:val="0"/>
        <w:rPr>
          <w:rFonts w:ascii="Times New Roman" w:hAnsi="Times New Roman"/>
          <w:sz w:val="22"/>
          <w:szCs w:val="22"/>
          <w:lang w:val="en-US"/>
        </w:rPr>
      </w:pPr>
      <w:r w:rsidRPr="00B7337A">
        <w:rPr>
          <w:rFonts w:ascii="Times New Roman" w:hAnsi="Times New Roman"/>
          <w:sz w:val="22"/>
          <w:szCs w:val="22"/>
          <w:lang w:val="en-US"/>
        </w:rPr>
        <w:t>Elm Park, Merrion Road</w:t>
      </w:r>
    </w:p>
    <w:p w14:paraId="586FCFF1" w14:textId="77777777" w:rsidR="00A331BE" w:rsidRPr="00A331BE" w:rsidRDefault="00A331BE" w:rsidP="00A331BE">
      <w:pPr>
        <w:keepNext/>
        <w:widowControl w:val="0"/>
        <w:rPr>
          <w:rFonts w:ascii="Times New Roman" w:hAnsi="Times New Roman"/>
          <w:sz w:val="22"/>
          <w:szCs w:val="22"/>
        </w:rPr>
      </w:pPr>
      <w:r w:rsidRPr="00A331BE">
        <w:rPr>
          <w:rFonts w:ascii="Times New Roman" w:hAnsi="Times New Roman"/>
          <w:sz w:val="22"/>
          <w:szCs w:val="22"/>
        </w:rPr>
        <w:t>Dublin 4</w:t>
      </w:r>
    </w:p>
    <w:p w14:paraId="586FCFF2" w14:textId="77777777" w:rsidR="00A331BE" w:rsidRPr="00A331BE" w:rsidRDefault="00A331BE" w:rsidP="00A331BE">
      <w:pPr>
        <w:rPr>
          <w:rFonts w:ascii="Times New Roman" w:hAnsi="Times New Roman"/>
          <w:sz w:val="22"/>
          <w:szCs w:val="22"/>
        </w:rPr>
      </w:pPr>
      <w:r w:rsidRPr="00A331BE">
        <w:rPr>
          <w:rFonts w:ascii="Times New Roman" w:hAnsi="Times New Roman"/>
          <w:sz w:val="22"/>
          <w:szCs w:val="22"/>
        </w:rPr>
        <w:t>Irlanti</w:t>
      </w:r>
    </w:p>
    <w:p w14:paraId="586FCFF3" w14:textId="77777777" w:rsidR="008F2D51" w:rsidRPr="009B43E4" w:rsidRDefault="008F2D51" w:rsidP="008F2D51">
      <w:pPr>
        <w:pStyle w:val="Text"/>
        <w:widowControl w:val="0"/>
        <w:spacing w:before="0"/>
        <w:jc w:val="left"/>
        <w:rPr>
          <w:color w:val="000000"/>
          <w:sz w:val="22"/>
          <w:szCs w:val="22"/>
          <w:lang w:val="fi-FI"/>
        </w:rPr>
      </w:pPr>
    </w:p>
    <w:p w14:paraId="586FCFF4" w14:textId="77777777" w:rsidR="008F2D51" w:rsidRDefault="008F2D51" w:rsidP="008F2D51">
      <w:pPr>
        <w:pStyle w:val="Text"/>
        <w:widowControl w:val="0"/>
        <w:spacing w:before="0"/>
        <w:jc w:val="left"/>
        <w:rPr>
          <w:color w:val="000000"/>
          <w:sz w:val="22"/>
          <w:szCs w:val="22"/>
          <w:lang w:val="fi-FI"/>
        </w:rPr>
      </w:pPr>
    </w:p>
    <w:p w14:paraId="586FCFF5" w14:textId="77777777" w:rsidR="008F2D51" w:rsidRDefault="008F2D51" w:rsidP="00774A0B">
      <w:pPr>
        <w:pStyle w:val="Heading2"/>
        <w:widowControl w:val="0"/>
        <w:tabs>
          <w:tab w:val="clear" w:pos="567"/>
        </w:tabs>
        <w:spacing w:before="0" w:after="0" w:line="240" w:lineRule="auto"/>
        <w:rPr>
          <w:rFonts w:ascii="Times New Roman" w:hAnsi="Times New Roman"/>
          <w:i w:val="0"/>
          <w:color w:val="000000"/>
          <w:sz w:val="22"/>
          <w:szCs w:val="22"/>
          <w:lang w:val="fi-FI"/>
        </w:rPr>
      </w:pPr>
      <w:r>
        <w:rPr>
          <w:rFonts w:ascii="Times New Roman" w:hAnsi="Times New Roman"/>
          <w:i w:val="0"/>
          <w:color w:val="000000"/>
          <w:sz w:val="22"/>
          <w:szCs w:val="22"/>
          <w:lang w:val="fi-FI"/>
        </w:rPr>
        <w:t>Valmistaja</w:t>
      </w:r>
    </w:p>
    <w:p w14:paraId="586FCFF6" w14:textId="77777777" w:rsidR="008F2D51" w:rsidRDefault="008F2D51" w:rsidP="00774A0B">
      <w:pPr>
        <w:pStyle w:val="Text"/>
        <w:keepNext/>
        <w:widowControl w:val="0"/>
        <w:spacing w:before="0"/>
        <w:jc w:val="left"/>
        <w:rPr>
          <w:color w:val="000000"/>
          <w:sz w:val="22"/>
          <w:szCs w:val="22"/>
          <w:lang w:val="fi-FI"/>
        </w:rPr>
      </w:pPr>
      <w:r>
        <w:rPr>
          <w:color w:val="000000"/>
          <w:sz w:val="22"/>
          <w:szCs w:val="22"/>
          <w:lang w:val="fi-FI"/>
        </w:rPr>
        <w:t>Novartis Pharma GmbH</w:t>
      </w:r>
    </w:p>
    <w:p w14:paraId="586FCFF7" w14:textId="77777777" w:rsidR="008F2D51" w:rsidRDefault="008F2D51" w:rsidP="00774A0B">
      <w:pPr>
        <w:pStyle w:val="Text"/>
        <w:keepNext/>
        <w:widowControl w:val="0"/>
        <w:spacing w:before="0"/>
        <w:jc w:val="left"/>
        <w:rPr>
          <w:color w:val="000000"/>
          <w:sz w:val="22"/>
          <w:szCs w:val="22"/>
          <w:lang w:val="fi-FI"/>
        </w:rPr>
      </w:pPr>
      <w:r>
        <w:rPr>
          <w:color w:val="000000"/>
          <w:sz w:val="22"/>
          <w:szCs w:val="22"/>
          <w:lang w:val="fi-FI"/>
        </w:rPr>
        <w:t>Roonstrasse 25</w:t>
      </w:r>
    </w:p>
    <w:p w14:paraId="586FCFF8" w14:textId="77777777" w:rsidR="008F2D51" w:rsidRDefault="008F2D51" w:rsidP="00774A0B">
      <w:pPr>
        <w:pStyle w:val="Text"/>
        <w:keepNext/>
        <w:widowControl w:val="0"/>
        <w:spacing w:before="0"/>
        <w:jc w:val="left"/>
        <w:rPr>
          <w:color w:val="000000"/>
          <w:sz w:val="22"/>
          <w:szCs w:val="22"/>
          <w:lang w:val="fi-FI"/>
        </w:rPr>
      </w:pPr>
      <w:r>
        <w:rPr>
          <w:color w:val="000000"/>
          <w:sz w:val="22"/>
          <w:szCs w:val="22"/>
          <w:lang w:val="fi-FI"/>
        </w:rPr>
        <w:t>D-90429 Nürnberg</w:t>
      </w:r>
    </w:p>
    <w:p w14:paraId="586FCFF9" w14:textId="77777777" w:rsidR="008F2D51" w:rsidRDefault="008F2D51" w:rsidP="008F2D51">
      <w:pPr>
        <w:pStyle w:val="Text"/>
        <w:widowControl w:val="0"/>
        <w:spacing w:before="0"/>
        <w:jc w:val="left"/>
        <w:rPr>
          <w:color w:val="000000"/>
          <w:sz w:val="22"/>
          <w:szCs w:val="22"/>
          <w:lang w:val="fi-FI"/>
        </w:rPr>
      </w:pPr>
      <w:r>
        <w:rPr>
          <w:color w:val="000000"/>
          <w:sz w:val="22"/>
          <w:szCs w:val="22"/>
          <w:lang w:val="fi-FI"/>
        </w:rPr>
        <w:t>Saksa</w:t>
      </w:r>
    </w:p>
    <w:p w14:paraId="586FCFFA" w14:textId="16043DC0" w:rsidR="008F2D51" w:rsidRDefault="008F2D51" w:rsidP="008F2D51">
      <w:pPr>
        <w:pStyle w:val="Text"/>
        <w:widowControl w:val="0"/>
        <w:spacing w:before="0"/>
        <w:jc w:val="left"/>
        <w:rPr>
          <w:color w:val="000000"/>
          <w:sz w:val="22"/>
          <w:szCs w:val="22"/>
          <w:lang w:val="fi-FI"/>
        </w:rPr>
      </w:pPr>
    </w:p>
    <w:p w14:paraId="30C63017" w14:textId="77777777" w:rsidR="008D10FD" w:rsidRPr="008D10FD" w:rsidRDefault="008D10FD" w:rsidP="008D10FD">
      <w:pPr>
        <w:keepNext/>
        <w:numPr>
          <w:ilvl w:val="12"/>
          <w:numId w:val="0"/>
        </w:numPr>
        <w:rPr>
          <w:rFonts w:ascii="Times New Roman" w:hAnsi="Times New Roman"/>
          <w:color w:val="auto"/>
          <w:sz w:val="22"/>
          <w:szCs w:val="22"/>
          <w:shd w:val="pct15" w:color="auto" w:fill="auto"/>
        </w:rPr>
      </w:pPr>
      <w:r w:rsidRPr="008D10FD">
        <w:rPr>
          <w:rFonts w:ascii="Times New Roman" w:hAnsi="Times New Roman"/>
          <w:color w:val="auto"/>
          <w:sz w:val="22"/>
          <w:szCs w:val="22"/>
          <w:shd w:val="pct15" w:color="auto" w:fill="auto"/>
        </w:rPr>
        <w:t>Sandoz S.R.L.</w:t>
      </w:r>
    </w:p>
    <w:p w14:paraId="3E2FA2B8" w14:textId="77777777" w:rsidR="008D10FD" w:rsidRPr="008F247D" w:rsidRDefault="008D10FD" w:rsidP="008D10FD">
      <w:pPr>
        <w:keepNext/>
        <w:numPr>
          <w:ilvl w:val="12"/>
          <w:numId w:val="0"/>
        </w:numPr>
        <w:rPr>
          <w:rFonts w:ascii="Times New Roman" w:hAnsi="Times New Roman"/>
          <w:color w:val="auto"/>
          <w:sz w:val="22"/>
          <w:szCs w:val="22"/>
          <w:shd w:val="pct15" w:color="auto" w:fill="auto"/>
          <w:lang w:val="en-US"/>
        </w:rPr>
      </w:pPr>
      <w:r w:rsidRPr="008F247D">
        <w:rPr>
          <w:rFonts w:ascii="Times New Roman" w:hAnsi="Times New Roman"/>
          <w:color w:val="auto"/>
          <w:sz w:val="22"/>
          <w:szCs w:val="22"/>
          <w:shd w:val="pct15" w:color="auto" w:fill="auto"/>
          <w:lang w:val="en-US"/>
        </w:rPr>
        <w:t>Str. Livezeni nr. 7A</w:t>
      </w:r>
    </w:p>
    <w:p w14:paraId="448247CF" w14:textId="77777777" w:rsidR="008D10FD" w:rsidRPr="008F247D" w:rsidRDefault="008D10FD" w:rsidP="008D10FD">
      <w:pPr>
        <w:keepNext/>
        <w:numPr>
          <w:ilvl w:val="12"/>
          <w:numId w:val="0"/>
        </w:numPr>
        <w:rPr>
          <w:rFonts w:ascii="Times New Roman" w:hAnsi="Times New Roman"/>
          <w:color w:val="auto"/>
          <w:sz w:val="22"/>
          <w:szCs w:val="22"/>
          <w:shd w:val="pct15" w:color="auto" w:fill="auto"/>
          <w:lang w:val="en-US"/>
        </w:rPr>
      </w:pPr>
      <w:r w:rsidRPr="008F247D">
        <w:rPr>
          <w:rFonts w:ascii="Times New Roman" w:hAnsi="Times New Roman"/>
          <w:color w:val="auto"/>
          <w:sz w:val="22"/>
          <w:szCs w:val="22"/>
          <w:shd w:val="pct15" w:color="auto" w:fill="auto"/>
          <w:lang w:val="en-US"/>
        </w:rPr>
        <w:t>540472, Targu Mures</w:t>
      </w:r>
    </w:p>
    <w:p w14:paraId="5509974E" w14:textId="77777777" w:rsidR="008D10FD" w:rsidRPr="008D10FD" w:rsidRDefault="008D10FD" w:rsidP="008D10FD">
      <w:pPr>
        <w:numPr>
          <w:ilvl w:val="12"/>
          <w:numId w:val="0"/>
        </w:numPr>
        <w:rPr>
          <w:rFonts w:ascii="Times New Roman" w:hAnsi="Times New Roman"/>
          <w:color w:val="auto"/>
          <w:sz w:val="22"/>
          <w:szCs w:val="22"/>
          <w:shd w:val="pct15" w:color="auto" w:fill="auto"/>
        </w:rPr>
      </w:pPr>
      <w:r w:rsidRPr="008D10FD">
        <w:rPr>
          <w:rFonts w:ascii="Times New Roman" w:hAnsi="Times New Roman"/>
          <w:color w:val="auto"/>
          <w:sz w:val="22"/>
          <w:szCs w:val="22"/>
          <w:shd w:val="pct15" w:color="auto" w:fill="auto"/>
        </w:rPr>
        <w:t>Romania</w:t>
      </w:r>
    </w:p>
    <w:p w14:paraId="3BC1A752" w14:textId="77777777" w:rsidR="008D10FD" w:rsidRDefault="008D10FD" w:rsidP="008F2D51">
      <w:pPr>
        <w:pStyle w:val="Text"/>
        <w:widowControl w:val="0"/>
        <w:spacing w:before="0"/>
        <w:jc w:val="left"/>
        <w:rPr>
          <w:color w:val="000000"/>
          <w:sz w:val="22"/>
          <w:szCs w:val="22"/>
          <w:lang w:val="fi-FI"/>
        </w:rPr>
      </w:pPr>
    </w:p>
    <w:p w14:paraId="586FCFFB" w14:textId="77777777" w:rsidR="008F2D51" w:rsidRDefault="008F2D51" w:rsidP="001C676D">
      <w:pPr>
        <w:keepNext/>
        <w:widowControl w:val="0"/>
        <w:suppressAutoHyphens/>
        <w:rPr>
          <w:rFonts w:ascii="Times New Roman" w:hAnsi="Times New Roman"/>
          <w:sz w:val="22"/>
          <w:szCs w:val="22"/>
        </w:rPr>
      </w:pPr>
      <w:r>
        <w:rPr>
          <w:rFonts w:ascii="Times New Roman" w:hAnsi="Times New Roman"/>
          <w:noProof/>
          <w:sz w:val="22"/>
          <w:szCs w:val="22"/>
        </w:rPr>
        <w:t>Lisätietoja tästä lääkevalmisteesta antaa myyntiluvan haltijan paikallinen edustaja.</w:t>
      </w:r>
    </w:p>
    <w:p w14:paraId="586FCFFC" w14:textId="77777777" w:rsidR="00E01C1A" w:rsidRPr="00E01C1A" w:rsidRDefault="00E01C1A" w:rsidP="001C676D">
      <w:pPr>
        <w:keepNext/>
        <w:widowControl w:val="0"/>
        <w:ind w:right="-449"/>
        <w:rPr>
          <w:rFonts w:ascii="Times New Roman" w:hAnsi="Times New Roman"/>
          <w:sz w:val="22"/>
          <w:szCs w:val="22"/>
        </w:rPr>
      </w:pPr>
    </w:p>
    <w:tbl>
      <w:tblPr>
        <w:tblW w:w="9300" w:type="dxa"/>
        <w:tblLayout w:type="fixed"/>
        <w:tblLook w:val="0000" w:firstRow="0" w:lastRow="0" w:firstColumn="0" w:lastColumn="0" w:noHBand="0" w:noVBand="0"/>
      </w:tblPr>
      <w:tblGrid>
        <w:gridCol w:w="4650"/>
        <w:gridCol w:w="4650"/>
      </w:tblGrid>
      <w:tr w:rsidR="00E01C1A" w:rsidRPr="00E01C1A" w14:paraId="586FD005" w14:textId="77777777" w:rsidTr="001C676D">
        <w:trPr>
          <w:cantSplit/>
        </w:trPr>
        <w:tc>
          <w:tcPr>
            <w:tcW w:w="4650" w:type="dxa"/>
          </w:tcPr>
          <w:p w14:paraId="586FCFFD"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lang w:val="fr-FR"/>
              </w:rPr>
              <w:t>België/Belgique/Belgien</w:t>
            </w:r>
          </w:p>
          <w:p w14:paraId="586FCFFE"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Novartis Pharma N.V.</w:t>
            </w:r>
          </w:p>
          <w:p w14:paraId="586FCFFF"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Tél/Tel: +32 2 246 16 11</w:t>
            </w:r>
          </w:p>
          <w:p w14:paraId="586FD000" w14:textId="77777777" w:rsidR="00E01C1A" w:rsidRPr="00E01C1A" w:rsidRDefault="00E01C1A" w:rsidP="00B4177C">
            <w:pPr>
              <w:rPr>
                <w:rFonts w:ascii="Times New Roman" w:hAnsi="Times New Roman"/>
                <w:b/>
                <w:sz w:val="22"/>
                <w:szCs w:val="22"/>
              </w:rPr>
            </w:pPr>
          </w:p>
        </w:tc>
        <w:tc>
          <w:tcPr>
            <w:tcW w:w="4650" w:type="dxa"/>
          </w:tcPr>
          <w:p w14:paraId="586FD001" w14:textId="77777777" w:rsidR="00E01C1A" w:rsidRPr="00744D9D" w:rsidRDefault="00E01C1A" w:rsidP="00B4177C">
            <w:pPr>
              <w:rPr>
                <w:rFonts w:ascii="Times New Roman" w:hAnsi="Times New Roman"/>
                <w:b/>
                <w:sz w:val="22"/>
                <w:szCs w:val="22"/>
                <w:lang w:val="es-ES"/>
              </w:rPr>
            </w:pPr>
            <w:r w:rsidRPr="00744D9D">
              <w:rPr>
                <w:rFonts w:ascii="Times New Roman" w:hAnsi="Times New Roman"/>
                <w:b/>
                <w:sz w:val="22"/>
                <w:szCs w:val="22"/>
                <w:lang w:val="es-ES"/>
              </w:rPr>
              <w:t>Lietuva</w:t>
            </w:r>
          </w:p>
          <w:p w14:paraId="586FD002" w14:textId="62A81D91" w:rsidR="00E01C1A" w:rsidRPr="00744D9D" w:rsidRDefault="00DF6D9E" w:rsidP="00B4177C">
            <w:pPr>
              <w:rPr>
                <w:rFonts w:ascii="Times New Roman" w:hAnsi="Times New Roman"/>
                <w:sz w:val="22"/>
                <w:szCs w:val="22"/>
                <w:lang w:val="es-ES"/>
              </w:rPr>
            </w:pPr>
            <w:r w:rsidRPr="00744D9D">
              <w:rPr>
                <w:rFonts w:ascii="Times New Roman" w:hAnsi="Times New Roman"/>
                <w:sz w:val="22"/>
                <w:szCs w:val="22"/>
                <w:lang w:val="es-ES"/>
              </w:rPr>
              <w:t>SIA Novartis Baltics Lietuvos filialas</w:t>
            </w:r>
          </w:p>
          <w:p w14:paraId="586FD003"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+370 5 269 16 50</w:t>
            </w:r>
          </w:p>
          <w:p w14:paraId="586FD004" w14:textId="77777777" w:rsidR="00E01C1A" w:rsidRPr="00E01C1A" w:rsidRDefault="00E01C1A" w:rsidP="00B4177C">
            <w:pPr>
              <w:rPr>
                <w:rFonts w:ascii="Times New Roman" w:hAnsi="Times New Roman"/>
                <w:sz w:val="22"/>
                <w:szCs w:val="22"/>
                <w:lang w:val="de-CH"/>
              </w:rPr>
            </w:pPr>
          </w:p>
        </w:tc>
      </w:tr>
      <w:tr w:rsidR="00E01C1A" w:rsidRPr="00E01C1A" w14:paraId="586FD00E" w14:textId="77777777" w:rsidTr="001C676D">
        <w:trPr>
          <w:cantSplit/>
        </w:trPr>
        <w:tc>
          <w:tcPr>
            <w:tcW w:w="4650" w:type="dxa"/>
          </w:tcPr>
          <w:p w14:paraId="586FD006" w14:textId="77777777" w:rsidR="00E01C1A" w:rsidRPr="00744D9D" w:rsidRDefault="00E01C1A" w:rsidP="00B4177C">
            <w:pPr>
              <w:rPr>
                <w:rFonts w:ascii="Times New Roman" w:hAnsi="Times New Roman"/>
                <w:b/>
                <w:noProof/>
                <w:sz w:val="22"/>
                <w:szCs w:val="22"/>
                <w:lang w:val="es-ES"/>
              </w:rPr>
            </w:pPr>
            <w:r w:rsidRPr="00E01C1A">
              <w:rPr>
                <w:rFonts w:ascii="Times New Roman" w:hAnsi="Times New Roman"/>
                <w:b/>
                <w:noProof/>
                <w:sz w:val="22"/>
                <w:szCs w:val="22"/>
              </w:rPr>
              <w:lastRenderedPageBreak/>
              <w:t>България</w:t>
            </w:r>
          </w:p>
          <w:p w14:paraId="586FD007" w14:textId="77777777" w:rsidR="00E01C1A" w:rsidRPr="00744D9D" w:rsidRDefault="00AB26B9" w:rsidP="00B4177C">
            <w:pPr>
              <w:rPr>
                <w:rFonts w:ascii="Times New Roman" w:hAnsi="Times New Roman"/>
                <w:noProof/>
                <w:sz w:val="22"/>
                <w:szCs w:val="22"/>
                <w:lang w:val="es-ES"/>
              </w:rPr>
            </w:pPr>
            <w:r w:rsidRPr="00744D9D">
              <w:rPr>
                <w:rFonts w:ascii="Times New Roman" w:hAnsi="Times New Roman"/>
                <w:noProof/>
                <w:sz w:val="22"/>
                <w:szCs w:val="22"/>
                <w:lang w:val="es-ES"/>
              </w:rPr>
              <w:t>Novartis Bulgaria EOOD</w:t>
            </w:r>
          </w:p>
          <w:p w14:paraId="586FD008" w14:textId="77777777" w:rsidR="00E01C1A" w:rsidRPr="00E01C1A" w:rsidRDefault="00E01C1A" w:rsidP="00B4177C">
            <w:pPr>
              <w:rPr>
                <w:rFonts w:ascii="Times New Roman" w:hAnsi="Times New Roman"/>
                <w:noProof/>
                <w:sz w:val="22"/>
                <w:szCs w:val="22"/>
              </w:rPr>
            </w:pPr>
            <w:r w:rsidRPr="00E01C1A">
              <w:rPr>
                <w:rFonts w:ascii="Times New Roman" w:hAnsi="Times New Roman"/>
                <w:noProof/>
                <w:sz w:val="22"/>
                <w:szCs w:val="22"/>
              </w:rPr>
              <w:t>Тел.: +359 2 489 98 28</w:t>
            </w:r>
          </w:p>
          <w:p w14:paraId="586FD009" w14:textId="77777777" w:rsidR="00E01C1A" w:rsidRPr="00E01C1A" w:rsidRDefault="00E01C1A" w:rsidP="00B4177C">
            <w:pPr>
              <w:rPr>
                <w:rFonts w:ascii="Times New Roman" w:hAnsi="Times New Roman"/>
                <w:b/>
                <w:sz w:val="22"/>
                <w:szCs w:val="22"/>
                <w:lang w:val="pt-BR"/>
              </w:rPr>
            </w:pPr>
          </w:p>
        </w:tc>
        <w:tc>
          <w:tcPr>
            <w:tcW w:w="4650" w:type="dxa"/>
          </w:tcPr>
          <w:p w14:paraId="586FD00A"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Luxembourg/Luxemburg</w:t>
            </w:r>
          </w:p>
          <w:p w14:paraId="586FD00B"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Pharma N.V.</w:t>
            </w:r>
          </w:p>
          <w:p w14:paraId="586FD00C"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Tél/Tel: +32 2 246 16 11</w:t>
            </w:r>
          </w:p>
          <w:p w14:paraId="586FD00D" w14:textId="77777777" w:rsidR="00E01C1A" w:rsidRPr="00E01C1A" w:rsidRDefault="00E01C1A" w:rsidP="00B4177C">
            <w:pPr>
              <w:rPr>
                <w:rFonts w:ascii="Times New Roman" w:hAnsi="Times New Roman"/>
                <w:sz w:val="22"/>
                <w:szCs w:val="22"/>
                <w:lang w:val="de-CH"/>
              </w:rPr>
            </w:pPr>
          </w:p>
        </w:tc>
      </w:tr>
      <w:tr w:rsidR="00E01C1A" w:rsidRPr="001420C3" w14:paraId="586FD016" w14:textId="77777777" w:rsidTr="001C676D">
        <w:trPr>
          <w:cantSplit/>
        </w:trPr>
        <w:tc>
          <w:tcPr>
            <w:tcW w:w="4650" w:type="dxa"/>
          </w:tcPr>
          <w:p w14:paraId="586FD00F"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Česká republika</w:t>
            </w:r>
          </w:p>
          <w:p w14:paraId="586FD010"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s.r.o.</w:t>
            </w:r>
          </w:p>
          <w:p w14:paraId="586FD011"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+420 225 775 111</w:t>
            </w:r>
          </w:p>
          <w:p w14:paraId="586FD012" w14:textId="77777777" w:rsidR="00E01C1A" w:rsidRPr="00E01C1A" w:rsidRDefault="00E01C1A" w:rsidP="00B4177C">
            <w:pPr>
              <w:rPr>
                <w:rFonts w:ascii="Times New Roman" w:hAnsi="Times New Roman"/>
                <w:b/>
                <w:sz w:val="22"/>
                <w:szCs w:val="22"/>
              </w:rPr>
            </w:pPr>
          </w:p>
        </w:tc>
        <w:tc>
          <w:tcPr>
            <w:tcW w:w="4650" w:type="dxa"/>
          </w:tcPr>
          <w:p w14:paraId="586FD013"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Magyarország</w:t>
            </w:r>
          </w:p>
          <w:p w14:paraId="586FD014"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Hungária Kft.</w:t>
            </w:r>
          </w:p>
          <w:p w14:paraId="586FD015"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Tel.: +36 1 457 65 00</w:t>
            </w:r>
          </w:p>
        </w:tc>
      </w:tr>
      <w:tr w:rsidR="00E01C1A" w:rsidRPr="001420C3" w14:paraId="586FD01E" w14:textId="77777777" w:rsidTr="001C676D">
        <w:trPr>
          <w:cantSplit/>
        </w:trPr>
        <w:tc>
          <w:tcPr>
            <w:tcW w:w="4650" w:type="dxa"/>
          </w:tcPr>
          <w:p w14:paraId="586FD017" w14:textId="77777777" w:rsidR="00E01C1A" w:rsidRPr="00804D62" w:rsidRDefault="00E01C1A" w:rsidP="00B4177C">
            <w:pPr>
              <w:rPr>
                <w:rFonts w:ascii="Times New Roman" w:hAnsi="Times New Roman"/>
                <w:b/>
                <w:sz w:val="22"/>
                <w:szCs w:val="22"/>
                <w:lang w:val="en-US"/>
              </w:rPr>
            </w:pPr>
            <w:r w:rsidRPr="00804D62">
              <w:rPr>
                <w:rFonts w:ascii="Times New Roman" w:hAnsi="Times New Roman"/>
                <w:b/>
                <w:sz w:val="22"/>
                <w:szCs w:val="22"/>
                <w:lang w:val="en-US"/>
              </w:rPr>
              <w:t>Danmark</w:t>
            </w:r>
          </w:p>
          <w:p w14:paraId="586FD018"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Novartis Healthcare A/S</w:t>
            </w:r>
          </w:p>
          <w:p w14:paraId="586FD019"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Tlf: +45 39 16 84 00</w:t>
            </w:r>
          </w:p>
          <w:p w14:paraId="586FD01A" w14:textId="77777777" w:rsidR="00E01C1A" w:rsidRPr="00804D62" w:rsidRDefault="00E01C1A" w:rsidP="00B4177C">
            <w:pPr>
              <w:rPr>
                <w:rFonts w:ascii="Times New Roman" w:hAnsi="Times New Roman"/>
                <w:b/>
                <w:sz w:val="22"/>
                <w:szCs w:val="22"/>
                <w:lang w:val="en-US"/>
              </w:rPr>
            </w:pPr>
          </w:p>
        </w:tc>
        <w:tc>
          <w:tcPr>
            <w:tcW w:w="4650" w:type="dxa"/>
          </w:tcPr>
          <w:p w14:paraId="586FD01B"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Malta</w:t>
            </w:r>
          </w:p>
          <w:p w14:paraId="586FD01C"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Pharma Services Inc.</w:t>
            </w:r>
          </w:p>
          <w:p w14:paraId="586FD01D" w14:textId="77777777" w:rsidR="00E01C1A" w:rsidRPr="00B7337A" w:rsidRDefault="00E01C1A" w:rsidP="00B4177C">
            <w:pPr>
              <w:rPr>
                <w:rFonts w:ascii="Times New Roman" w:hAnsi="Times New Roman"/>
                <w:sz w:val="22"/>
                <w:szCs w:val="22"/>
                <w:lang w:val="en-US"/>
              </w:rPr>
            </w:pPr>
            <w:r w:rsidRPr="00B7337A">
              <w:rPr>
                <w:rFonts w:ascii="Times New Roman" w:hAnsi="Times New Roman"/>
                <w:sz w:val="22"/>
                <w:szCs w:val="22"/>
                <w:lang w:val="en-US"/>
              </w:rPr>
              <w:t>Tel: +356 2122 2872</w:t>
            </w:r>
          </w:p>
        </w:tc>
      </w:tr>
      <w:tr w:rsidR="00E01C1A" w:rsidRPr="00E01C1A" w14:paraId="586FD026" w14:textId="77777777" w:rsidTr="001C676D">
        <w:trPr>
          <w:cantSplit/>
        </w:trPr>
        <w:tc>
          <w:tcPr>
            <w:tcW w:w="4650" w:type="dxa"/>
          </w:tcPr>
          <w:p w14:paraId="586FD01F"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Deutschland</w:t>
            </w:r>
          </w:p>
          <w:p w14:paraId="586FD020"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Pharma GmbH</w:t>
            </w:r>
          </w:p>
          <w:p w14:paraId="586FD021"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Tel: +49 911 273 0</w:t>
            </w:r>
          </w:p>
          <w:p w14:paraId="586FD022" w14:textId="77777777" w:rsidR="00E01C1A" w:rsidRPr="00E01C1A" w:rsidRDefault="00E01C1A" w:rsidP="00B4177C">
            <w:pPr>
              <w:rPr>
                <w:rFonts w:ascii="Times New Roman" w:hAnsi="Times New Roman"/>
                <w:b/>
                <w:sz w:val="22"/>
                <w:szCs w:val="22"/>
                <w:lang w:val="de-CH"/>
              </w:rPr>
            </w:pPr>
          </w:p>
        </w:tc>
        <w:tc>
          <w:tcPr>
            <w:tcW w:w="4650" w:type="dxa"/>
          </w:tcPr>
          <w:p w14:paraId="586FD023"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Nederland</w:t>
            </w:r>
          </w:p>
          <w:p w14:paraId="586FD024"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Pharma B.V.</w:t>
            </w:r>
          </w:p>
          <w:p w14:paraId="586FD025" w14:textId="66832ED2" w:rsidR="00E01C1A" w:rsidRPr="00E01C1A" w:rsidRDefault="00E01C1A" w:rsidP="00FB2CA8">
            <w:pPr>
              <w:rPr>
                <w:rFonts w:ascii="Times New Roman" w:hAnsi="Times New Roman"/>
                <w:sz w:val="22"/>
                <w:szCs w:val="22"/>
              </w:rPr>
            </w:pPr>
            <w:r w:rsidRPr="00E01C1A">
              <w:rPr>
                <w:rFonts w:ascii="Times New Roman" w:hAnsi="Times New Roman"/>
                <w:sz w:val="22"/>
                <w:szCs w:val="22"/>
              </w:rPr>
              <w:t xml:space="preserve">Tel: +31 </w:t>
            </w:r>
            <w:r w:rsidR="00FB2CA8">
              <w:rPr>
                <w:rFonts w:ascii="Times New Roman" w:hAnsi="Times New Roman"/>
                <w:sz w:val="22"/>
                <w:szCs w:val="22"/>
              </w:rPr>
              <w:t>88 04 52</w:t>
            </w:r>
            <w:r w:rsidRPr="00E01C1A">
              <w:rPr>
                <w:rFonts w:ascii="Times New Roman" w:hAnsi="Times New Roman"/>
                <w:sz w:val="22"/>
                <w:szCs w:val="22"/>
              </w:rPr>
              <w:t xml:space="preserve"> </w:t>
            </w:r>
            <w:r w:rsidR="008E4D4C">
              <w:rPr>
                <w:rFonts w:ascii="Times New Roman" w:hAnsi="Times New Roman"/>
                <w:sz w:val="22"/>
                <w:szCs w:val="22"/>
              </w:rPr>
              <w:t>555</w:t>
            </w:r>
          </w:p>
        </w:tc>
      </w:tr>
      <w:tr w:rsidR="00E01C1A" w:rsidRPr="001420C3" w14:paraId="586FD02E" w14:textId="77777777" w:rsidTr="001C676D">
        <w:trPr>
          <w:cantSplit/>
        </w:trPr>
        <w:tc>
          <w:tcPr>
            <w:tcW w:w="4650" w:type="dxa"/>
          </w:tcPr>
          <w:p w14:paraId="586FD027" w14:textId="77777777" w:rsidR="00E01C1A" w:rsidRPr="00374F8A" w:rsidRDefault="00E01C1A" w:rsidP="00B4177C">
            <w:pPr>
              <w:rPr>
                <w:rFonts w:ascii="Times New Roman" w:hAnsi="Times New Roman"/>
                <w:b/>
                <w:sz w:val="22"/>
                <w:szCs w:val="22"/>
                <w:lang w:val="fr-FR"/>
              </w:rPr>
            </w:pPr>
            <w:r w:rsidRPr="00374F8A">
              <w:rPr>
                <w:rFonts w:ascii="Times New Roman" w:hAnsi="Times New Roman"/>
                <w:b/>
                <w:sz w:val="22"/>
                <w:szCs w:val="22"/>
                <w:lang w:val="fr-FR"/>
              </w:rPr>
              <w:t>Eesti</w:t>
            </w:r>
          </w:p>
          <w:p w14:paraId="586FD028" w14:textId="77777777" w:rsidR="00E01C1A" w:rsidRPr="00374F8A" w:rsidRDefault="00DF6D9E" w:rsidP="00B4177C">
            <w:pPr>
              <w:rPr>
                <w:rFonts w:ascii="Times New Roman" w:hAnsi="Times New Roman"/>
                <w:sz w:val="22"/>
                <w:szCs w:val="22"/>
                <w:lang w:val="fr-FR"/>
              </w:rPr>
            </w:pPr>
            <w:r w:rsidRPr="00374F8A">
              <w:rPr>
                <w:rFonts w:ascii="Times New Roman" w:hAnsi="Times New Roman"/>
                <w:sz w:val="22"/>
                <w:szCs w:val="22"/>
                <w:lang w:val="fr-FR"/>
              </w:rPr>
              <w:t>SIA Novartis Baltics Eesti filiaal</w:t>
            </w:r>
          </w:p>
          <w:p w14:paraId="586FD029" w14:textId="77777777" w:rsidR="00E01C1A" w:rsidRPr="00804D62" w:rsidRDefault="00E01C1A" w:rsidP="00B4177C">
            <w:pPr>
              <w:rPr>
                <w:rFonts w:ascii="Times New Roman" w:hAnsi="Times New Roman"/>
                <w:sz w:val="22"/>
                <w:szCs w:val="22"/>
                <w:lang w:val="fr-FR"/>
              </w:rPr>
            </w:pPr>
            <w:r w:rsidRPr="00804D62">
              <w:rPr>
                <w:rFonts w:ascii="Times New Roman" w:hAnsi="Times New Roman"/>
                <w:sz w:val="22"/>
                <w:szCs w:val="22"/>
                <w:lang w:val="fr-FR"/>
              </w:rPr>
              <w:t>Tel: +372 66 30 810</w:t>
            </w:r>
          </w:p>
          <w:p w14:paraId="586FD02A" w14:textId="77777777" w:rsidR="00E01C1A" w:rsidRPr="00804D62" w:rsidRDefault="00E01C1A" w:rsidP="00B4177C">
            <w:pPr>
              <w:rPr>
                <w:rFonts w:ascii="Times New Roman" w:hAnsi="Times New Roman"/>
                <w:b/>
                <w:sz w:val="22"/>
                <w:szCs w:val="22"/>
                <w:lang w:val="fr-FR"/>
              </w:rPr>
            </w:pPr>
          </w:p>
        </w:tc>
        <w:tc>
          <w:tcPr>
            <w:tcW w:w="4650" w:type="dxa"/>
          </w:tcPr>
          <w:p w14:paraId="586FD02B"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Norge</w:t>
            </w:r>
          </w:p>
          <w:p w14:paraId="586FD02C"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Norge AS</w:t>
            </w:r>
          </w:p>
          <w:p w14:paraId="586FD02D"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Tlf: +47 23 05 20 00</w:t>
            </w:r>
          </w:p>
        </w:tc>
      </w:tr>
      <w:tr w:rsidR="00E01C1A" w:rsidRPr="00E01C1A" w14:paraId="586FD036" w14:textId="77777777" w:rsidTr="001C676D">
        <w:trPr>
          <w:cantSplit/>
        </w:trPr>
        <w:tc>
          <w:tcPr>
            <w:tcW w:w="4650" w:type="dxa"/>
          </w:tcPr>
          <w:p w14:paraId="586FD02F"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rPr>
              <w:t>Ελλάδα</w:t>
            </w:r>
          </w:p>
          <w:p w14:paraId="586FD030"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(Hellas) A.E.B.E.</w:t>
            </w:r>
          </w:p>
          <w:p w14:paraId="586FD031"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rPr>
              <w:t>Τηλ</w:t>
            </w:r>
            <w:r w:rsidRPr="00E01C1A">
              <w:rPr>
                <w:rFonts w:ascii="Times New Roman" w:hAnsi="Times New Roman"/>
                <w:sz w:val="22"/>
                <w:szCs w:val="22"/>
                <w:lang w:val="pt-BR"/>
              </w:rPr>
              <w:t>: +30 210 281 17 12</w:t>
            </w:r>
          </w:p>
          <w:p w14:paraId="586FD032" w14:textId="77777777" w:rsidR="00E01C1A" w:rsidRPr="00E01C1A" w:rsidRDefault="00E01C1A" w:rsidP="00B4177C">
            <w:pPr>
              <w:rPr>
                <w:rFonts w:ascii="Times New Roman" w:hAnsi="Times New Roman"/>
                <w:b/>
                <w:sz w:val="22"/>
                <w:szCs w:val="22"/>
                <w:lang w:val="pt-BR"/>
              </w:rPr>
            </w:pPr>
          </w:p>
        </w:tc>
        <w:tc>
          <w:tcPr>
            <w:tcW w:w="4650" w:type="dxa"/>
          </w:tcPr>
          <w:p w14:paraId="586FD033"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Österreich</w:t>
            </w:r>
          </w:p>
          <w:p w14:paraId="586FD034"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Pharma GmbH</w:t>
            </w:r>
          </w:p>
          <w:p w14:paraId="586FD035"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Tel: +43 1 86 6570</w:t>
            </w:r>
          </w:p>
        </w:tc>
      </w:tr>
      <w:tr w:rsidR="00E01C1A" w:rsidRPr="00E01C1A" w14:paraId="586FD03E" w14:textId="77777777" w:rsidTr="001C676D">
        <w:trPr>
          <w:cantSplit/>
        </w:trPr>
        <w:tc>
          <w:tcPr>
            <w:tcW w:w="4650" w:type="dxa"/>
          </w:tcPr>
          <w:p w14:paraId="586FD037"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España</w:t>
            </w:r>
          </w:p>
          <w:p w14:paraId="586FD038"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Farmacéutica, S.A.</w:t>
            </w:r>
          </w:p>
          <w:p w14:paraId="586FD039"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+34 93 306 42 00</w:t>
            </w:r>
          </w:p>
          <w:p w14:paraId="586FD03A" w14:textId="77777777" w:rsidR="00E01C1A" w:rsidRPr="00E01C1A" w:rsidRDefault="00E01C1A" w:rsidP="00B4177C">
            <w:pPr>
              <w:rPr>
                <w:rFonts w:ascii="Times New Roman" w:hAnsi="Times New Roman"/>
                <w:b/>
                <w:sz w:val="22"/>
                <w:szCs w:val="22"/>
              </w:rPr>
            </w:pPr>
          </w:p>
        </w:tc>
        <w:tc>
          <w:tcPr>
            <w:tcW w:w="4650" w:type="dxa"/>
          </w:tcPr>
          <w:p w14:paraId="586FD03B"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Polska</w:t>
            </w:r>
          </w:p>
          <w:p w14:paraId="586FD03C"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Poland Sp. z o.o.</w:t>
            </w:r>
          </w:p>
          <w:p w14:paraId="586FD03D"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 xml:space="preserve">Tel.: +48 22 </w:t>
            </w:r>
            <w:r w:rsidRPr="00E01C1A">
              <w:rPr>
                <w:rFonts w:ascii="Times New Roman" w:hAnsi="Times New Roman"/>
                <w:sz w:val="22"/>
                <w:szCs w:val="22"/>
              </w:rPr>
              <w:t>375 4888</w:t>
            </w:r>
          </w:p>
        </w:tc>
      </w:tr>
      <w:tr w:rsidR="00E01C1A" w:rsidRPr="00E01C1A" w14:paraId="586FD046" w14:textId="77777777" w:rsidTr="001C676D">
        <w:trPr>
          <w:cantSplit/>
        </w:trPr>
        <w:tc>
          <w:tcPr>
            <w:tcW w:w="4650" w:type="dxa"/>
          </w:tcPr>
          <w:p w14:paraId="586FD03F"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lang w:val="fr-FR"/>
              </w:rPr>
              <w:t>France</w:t>
            </w:r>
          </w:p>
          <w:p w14:paraId="586FD040"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Novartis Pharma S.A.S.</w:t>
            </w:r>
          </w:p>
          <w:p w14:paraId="586FD041"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Tél: +33 1 55 47 66 00</w:t>
            </w:r>
          </w:p>
          <w:p w14:paraId="586FD042" w14:textId="77777777" w:rsidR="00E01C1A" w:rsidRPr="00E01C1A" w:rsidRDefault="00E01C1A" w:rsidP="00B4177C">
            <w:pPr>
              <w:rPr>
                <w:rFonts w:ascii="Times New Roman" w:hAnsi="Times New Roman"/>
                <w:b/>
                <w:sz w:val="22"/>
                <w:szCs w:val="22"/>
                <w:lang w:val="fr-FR"/>
              </w:rPr>
            </w:pPr>
          </w:p>
        </w:tc>
        <w:tc>
          <w:tcPr>
            <w:tcW w:w="4650" w:type="dxa"/>
          </w:tcPr>
          <w:p w14:paraId="586FD043"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Portugal</w:t>
            </w:r>
          </w:p>
          <w:p w14:paraId="586FD044"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Farma - Produtos Farmacêuticos, S.A.</w:t>
            </w:r>
          </w:p>
          <w:p w14:paraId="586FD045"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+351 21 000 8600</w:t>
            </w:r>
          </w:p>
        </w:tc>
      </w:tr>
      <w:tr w:rsidR="00E01C1A" w:rsidRPr="001420C3" w14:paraId="586FD04E" w14:textId="77777777" w:rsidTr="001C676D">
        <w:trPr>
          <w:cantSplit/>
        </w:trPr>
        <w:tc>
          <w:tcPr>
            <w:tcW w:w="4650" w:type="dxa"/>
          </w:tcPr>
          <w:p w14:paraId="586FD047" w14:textId="77777777" w:rsidR="00E01C1A" w:rsidRPr="00E01C1A" w:rsidRDefault="00E01C1A" w:rsidP="00B4177C">
            <w:pPr>
              <w:rPr>
                <w:rFonts w:ascii="Times New Roman" w:eastAsia="PMingLiU" w:hAnsi="Times New Roman"/>
                <w:b/>
                <w:sz w:val="22"/>
                <w:szCs w:val="22"/>
              </w:rPr>
            </w:pPr>
            <w:r w:rsidRPr="00E01C1A">
              <w:rPr>
                <w:rFonts w:ascii="Times New Roman" w:eastAsia="PMingLiU" w:hAnsi="Times New Roman"/>
                <w:b/>
                <w:sz w:val="22"/>
                <w:szCs w:val="22"/>
              </w:rPr>
              <w:t>Hrvatska</w:t>
            </w:r>
          </w:p>
          <w:p w14:paraId="586FD048"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Novartis Hrvatska d.o.o.</w:t>
            </w:r>
          </w:p>
          <w:p w14:paraId="586FD049"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+385 1 6274 220</w:t>
            </w:r>
          </w:p>
          <w:p w14:paraId="586FD04A" w14:textId="77777777" w:rsidR="00E01C1A" w:rsidRPr="00E01C1A" w:rsidRDefault="00E01C1A" w:rsidP="00B4177C">
            <w:pPr>
              <w:rPr>
                <w:rFonts w:ascii="Times New Roman" w:hAnsi="Times New Roman"/>
                <w:b/>
                <w:sz w:val="22"/>
                <w:szCs w:val="22"/>
                <w:lang w:val="fr-FR"/>
              </w:rPr>
            </w:pPr>
          </w:p>
        </w:tc>
        <w:tc>
          <w:tcPr>
            <w:tcW w:w="4650" w:type="dxa"/>
          </w:tcPr>
          <w:p w14:paraId="586FD04B" w14:textId="77777777" w:rsidR="00E01C1A" w:rsidRPr="00E01C1A" w:rsidRDefault="00E01C1A" w:rsidP="00B4177C">
            <w:pPr>
              <w:rPr>
                <w:rFonts w:ascii="Times New Roman" w:hAnsi="Times New Roman"/>
                <w:b/>
                <w:noProof/>
                <w:sz w:val="22"/>
                <w:szCs w:val="22"/>
                <w:lang w:val="it-IT"/>
              </w:rPr>
            </w:pPr>
            <w:r w:rsidRPr="00E01C1A">
              <w:rPr>
                <w:rFonts w:ascii="Times New Roman" w:hAnsi="Times New Roman"/>
                <w:b/>
                <w:noProof/>
                <w:sz w:val="22"/>
                <w:szCs w:val="22"/>
                <w:lang w:val="it-IT"/>
              </w:rPr>
              <w:t>România</w:t>
            </w:r>
          </w:p>
          <w:p w14:paraId="586FD04C" w14:textId="77777777" w:rsidR="00E01C1A" w:rsidRPr="00E01C1A" w:rsidRDefault="00E01C1A" w:rsidP="00B4177C">
            <w:pPr>
              <w:rPr>
                <w:rFonts w:ascii="Times New Roman" w:hAnsi="Times New Roman"/>
                <w:noProof/>
                <w:sz w:val="22"/>
                <w:szCs w:val="22"/>
                <w:lang w:val="it-IT"/>
              </w:rPr>
            </w:pPr>
            <w:r w:rsidRPr="00E01C1A">
              <w:rPr>
                <w:rFonts w:ascii="Times New Roman" w:hAnsi="Times New Roman"/>
                <w:noProof/>
                <w:sz w:val="22"/>
                <w:szCs w:val="22"/>
                <w:lang w:val="it-IT"/>
              </w:rPr>
              <w:t xml:space="preserve">Novartis Pharma Services </w:t>
            </w:r>
            <w:r w:rsidRPr="00B7337A">
              <w:rPr>
                <w:rFonts w:ascii="Times New Roman" w:hAnsi="Times New Roman"/>
                <w:color w:val="2F2F2F"/>
                <w:sz w:val="22"/>
                <w:szCs w:val="22"/>
                <w:lang w:val="en-US"/>
              </w:rPr>
              <w:t>Romania SRL</w:t>
            </w:r>
          </w:p>
          <w:p w14:paraId="586FD04D" w14:textId="77777777" w:rsidR="00E01C1A" w:rsidRPr="00B7337A" w:rsidRDefault="00E01C1A" w:rsidP="00B4177C">
            <w:pPr>
              <w:rPr>
                <w:rFonts w:ascii="Times New Roman" w:hAnsi="Times New Roman"/>
                <w:sz w:val="22"/>
                <w:szCs w:val="22"/>
                <w:lang w:val="en-US"/>
              </w:rPr>
            </w:pPr>
            <w:r w:rsidRPr="00E01C1A">
              <w:rPr>
                <w:rFonts w:ascii="Times New Roman" w:hAnsi="Times New Roman"/>
                <w:noProof/>
                <w:sz w:val="22"/>
                <w:szCs w:val="22"/>
                <w:lang w:val="it-IT"/>
              </w:rPr>
              <w:t>Tel: +40 21 31299 01</w:t>
            </w:r>
          </w:p>
        </w:tc>
      </w:tr>
      <w:tr w:rsidR="00E01C1A" w:rsidRPr="00E01C1A" w14:paraId="586FD056" w14:textId="77777777" w:rsidTr="001C676D">
        <w:trPr>
          <w:cantSplit/>
        </w:trPr>
        <w:tc>
          <w:tcPr>
            <w:tcW w:w="4650" w:type="dxa"/>
          </w:tcPr>
          <w:p w14:paraId="586FD04F" w14:textId="77777777" w:rsidR="00E01C1A" w:rsidRPr="00804D62" w:rsidRDefault="00E01C1A" w:rsidP="00B4177C">
            <w:pPr>
              <w:rPr>
                <w:rFonts w:ascii="Times New Roman" w:hAnsi="Times New Roman"/>
                <w:b/>
                <w:sz w:val="22"/>
                <w:szCs w:val="22"/>
                <w:lang w:val="en-US"/>
              </w:rPr>
            </w:pPr>
            <w:r w:rsidRPr="00804D62">
              <w:rPr>
                <w:rFonts w:ascii="Times New Roman" w:hAnsi="Times New Roman"/>
                <w:b/>
                <w:sz w:val="22"/>
                <w:szCs w:val="22"/>
                <w:lang w:val="en-US"/>
              </w:rPr>
              <w:t>Ireland</w:t>
            </w:r>
          </w:p>
          <w:p w14:paraId="586FD050"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Novartis Ireland Limited</w:t>
            </w:r>
          </w:p>
          <w:p w14:paraId="586FD051"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Tel: +353 1 260 12 55</w:t>
            </w:r>
          </w:p>
          <w:p w14:paraId="586FD052" w14:textId="77777777" w:rsidR="00E01C1A" w:rsidRPr="00804D62" w:rsidRDefault="00E01C1A" w:rsidP="00B4177C">
            <w:pPr>
              <w:rPr>
                <w:rFonts w:ascii="Times New Roman" w:hAnsi="Times New Roman"/>
                <w:b/>
                <w:sz w:val="22"/>
                <w:szCs w:val="22"/>
                <w:lang w:val="en-US"/>
              </w:rPr>
            </w:pPr>
          </w:p>
        </w:tc>
        <w:tc>
          <w:tcPr>
            <w:tcW w:w="4650" w:type="dxa"/>
          </w:tcPr>
          <w:p w14:paraId="586FD053"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lang w:val="fr-FR"/>
              </w:rPr>
              <w:t>Slovenija</w:t>
            </w:r>
          </w:p>
          <w:p w14:paraId="586FD054"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Novartis Pharma Services Inc.</w:t>
            </w:r>
          </w:p>
          <w:p w14:paraId="586FD055"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Tel: +386 1 300 75 50</w:t>
            </w:r>
          </w:p>
        </w:tc>
      </w:tr>
      <w:tr w:rsidR="00E01C1A" w:rsidRPr="00E01C1A" w14:paraId="586FD05F" w14:textId="77777777" w:rsidTr="001C676D">
        <w:trPr>
          <w:cantSplit/>
        </w:trPr>
        <w:tc>
          <w:tcPr>
            <w:tcW w:w="4650" w:type="dxa"/>
          </w:tcPr>
          <w:p w14:paraId="586FD057" w14:textId="77777777" w:rsidR="00E01C1A" w:rsidRPr="00E01C1A" w:rsidRDefault="00E01C1A" w:rsidP="00B4177C">
            <w:pPr>
              <w:rPr>
                <w:rFonts w:ascii="Times New Roman" w:hAnsi="Times New Roman"/>
                <w:b/>
                <w:sz w:val="22"/>
                <w:szCs w:val="22"/>
              </w:rPr>
            </w:pPr>
            <w:r w:rsidRPr="00E01C1A">
              <w:rPr>
                <w:rFonts w:ascii="Times New Roman" w:hAnsi="Times New Roman"/>
                <w:b/>
                <w:sz w:val="22"/>
                <w:szCs w:val="22"/>
              </w:rPr>
              <w:t>Ísland</w:t>
            </w:r>
          </w:p>
          <w:p w14:paraId="586FD058"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Vistor hf.</w:t>
            </w:r>
          </w:p>
          <w:p w14:paraId="586FD059" w14:textId="77777777" w:rsidR="00E01C1A" w:rsidRPr="00E01C1A" w:rsidRDefault="00E01C1A" w:rsidP="00B4177C">
            <w:pPr>
              <w:rPr>
                <w:rFonts w:ascii="Times New Roman" w:hAnsi="Times New Roman"/>
                <w:sz w:val="22"/>
                <w:szCs w:val="22"/>
              </w:rPr>
            </w:pPr>
            <w:r w:rsidRPr="00E01C1A">
              <w:rPr>
                <w:rFonts w:ascii="Times New Roman" w:hAnsi="Times New Roman"/>
                <w:noProof/>
                <w:sz w:val="22"/>
                <w:szCs w:val="22"/>
                <w:lang w:val="it-IT"/>
              </w:rPr>
              <w:t>S</w:t>
            </w:r>
            <w:r w:rsidRPr="00E01C1A">
              <w:rPr>
                <w:rFonts w:ascii="Times New Roman" w:hAnsi="Times New Roman"/>
                <w:noProof/>
                <w:sz w:val="22"/>
                <w:szCs w:val="22"/>
                <w:lang w:val="cs-CZ"/>
              </w:rPr>
              <w:t>í</w:t>
            </w:r>
            <w:r w:rsidRPr="00E01C1A">
              <w:rPr>
                <w:rFonts w:ascii="Times New Roman" w:hAnsi="Times New Roman"/>
                <w:noProof/>
                <w:sz w:val="22"/>
                <w:szCs w:val="22"/>
                <w:lang w:val="it-IT"/>
              </w:rPr>
              <w:t>mi</w:t>
            </w:r>
            <w:r w:rsidRPr="00E01C1A">
              <w:rPr>
                <w:rFonts w:ascii="Times New Roman" w:hAnsi="Times New Roman"/>
                <w:sz w:val="22"/>
                <w:szCs w:val="22"/>
              </w:rPr>
              <w:t>: +354 535 7000</w:t>
            </w:r>
          </w:p>
          <w:p w14:paraId="586FD05A" w14:textId="77777777" w:rsidR="00E01C1A" w:rsidRPr="00E01C1A" w:rsidRDefault="00E01C1A" w:rsidP="00B4177C">
            <w:pPr>
              <w:rPr>
                <w:rFonts w:ascii="Times New Roman" w:hAnsi="Times New Roman"/>
                <w:b/>
                <w:sz w:val="22"/>
                <w:szCs w:val="22"/>
              </w:rPr>
            </w:pPr>
          </w:p>
        </w:tc>
        <w:tc>
          <w:tcPr>
            <w:tcW w:w="4650" w:type="dxa"/>
          </w:tcPr>
          <w:p w14:paraId="586FD05B"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Slovenská republika</w:t>
            </w:r>
          </w:p>
          <w:p w14:paraId="586FD05C"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Slovakia s.r.o.</w:t>
            </w:r>
          </w:p>
          <w:p w14:paraId="586FD05D"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+421 2 5542 5439</w:t>
            </w:r>
          </w:p>
          <w:p w14:paraId="586FD05E" w14:textId="77777777" w:rsidR="00E01C1A" w:rsidRPr="00E01C1A" w:rsidRDefault="00E01C1A" w:rsidP="00B4177C">
            <w:pPr>
              <w:rPr>
                <w:rFonts w:ascii="Times New Roman" w:hAnsi="Times New Roman"/>
                <w:sz w:val="22"/>
                <w:szCs w:val="22"/>
              </w:rPr>
            </w:pPr>
          </w:p>
        </w:tc>
      </w:tr>
      <w:tr w:rsidR="00E01C1A" w:rsidRPr="001420C3" w14:paraId="586FD067" w14:textId="77777777" w:rsidTr="001C676D">
        <w:trPr>
          <w:cantSplit/>
        </w:trPr>
        <w:tc>
          <w:tcPr>
            <w:tcW w:w="4650" w:type="dxa"/>
          </w:tcPr>
          <w:p w14:paraId="586FD060"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Italia</w:t>
            </w:r>
          </w:p>
          <w:p w14:paraId="586FD061"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Farma S.p.A.</w:t>
            </w:r>
          </w:p>
          <w:p w14:paraId="586FD062" w14:textId="77777777" w:rsidR="00E01C1A" w:rsidRPr="00E01C1A" w:rsidRDefault="00E01C1A" w:rsidP="00B4177C">
            <w:pPr>
              <w:rPr>
                <w:rFonts w:ascii="Times New Roman" w:hAnsi="Times New Roman"/>
                <w:b/>
                <w:sz w:val="22"/>
                <w:szCs w:val="22"/>
              </w:rPr>
            </w:pPr>
            <w:r w:rsidRPr="00E01C1A">
              <w:rPr>
                <w:rFonts w:ascii="Times New Roman" w:hAnsi="Times New Roman"/>
                <w:sz w:val="22"/>
                <w:szCs w:val="22"/>
              </w:rPr>
              <w:t>Tel: +39 02 96 54 1</w:t>
            </w:r>
          </w:p>
        </w:tc>
        <w:tc>
          <w:tcPr>
            <w:tcW w:w="4650" w:type="dxa"/>
          </w:tcPr>
          <w:p w14:paraId="586FD063"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lang w:val="fr-FR"/>
              </w:rPr>
              <w:t>Suomi/Finland</w:t>
            </w:r>
          </w:p>
          <w:p w14:paraId="586FD064"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Novartis Finland Oy</w:t>
            </w:r>
          </w:p>
          <w:p w14:paraId="586FD065"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 xml:space="preserve">Puh/Tel: </w:t>
            </w:r>
            <w:r w:rsidRPr="00804D62">
              <w:rPr>
                <w:rFonts w:ascii="Times New Roman" w:hAnsi="Times New Roman"/>
                <w:sz w:val="22"/>
                <w:szCs w:val="22"/>
                <w:lang w:val="fr-FR" w:bidi="he-IL"/>
              </w:rPr>
              <w:t>+358 (0)10 6133 200</w:t>
            </w:r>
          </w:p>
          <w:p w14:paraId="586FD066" w14:textId="77777777" w:rsidR="00E01C1A" w:rsidRPr="00E01C1A" w:rsidRDefault="00E01C1A" w:rsidP="00B4177C">
            <w:pPr>
              <w:rPr>
                <w:rFonts w:ascii="Times New Roman" w:hAnsi="Times New Roman"/>
                <w:sz w:val="22"/>
                <w:szCs w:val="22"/>
                <w:lang w:val="fr-FR"/>
              </w:rPr>
            </w:pPr>
          </w:p>
        </w:tc>
      </w:tr>
      <w:tr w:rsidR="00E01C1A" w:rsidRPr="001420C3" w14:paraId="586FD070" w14:textId="77777777" w:rsidTr="001C676D">
        <w:trPr>
          <w:cantSplit/>
        </w:trPr>
        <w:tc>
          <w:tcPr>
            <w:tcW w:w="4650" w:type="dxa"/>
          </w:tcPr>
          <w:p w14:paraId="586FD068"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rPr>
              <w:t>Κύπρος</w:t>
            </w:r>
          </w:p>
          <w:p w14:paraId="586FD069"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bidi="he-IL"/>
              </w:rPr>
              <w:t>Novartis Pharma Services Inc.</w:t>
            </w:r>
          </w:p>
          <w:p w14:paraId="586FD06A"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rPr>
              <w:t>Τηλ</w:t>
            </w:r>
            <w:r w:rsidRPr="00E01C1A">
              <w:rPr>
                <w:rFonts w:ascii="Times New Roman" w:hAnsi="Times New Roman"/>
                <w:sz w:val="22"/>
                <w:szCs w:val="22"/>
                <w:lang w:val="fr-FR"/>
              </w:rPr>
              <w:t>: +357 22 690 690</w:t>
            </w:r>
          </w:p>
          <w:p w14:paraId="586FD06B" w14:textId="77777777" w:rsidR="00E01C1A" w:rsidRPr="00E01C1A" w:rsidRDefault="00E01C1A" w:rsidP="00B4177C">
            <w:pPr>
              <w:rPr>
                <w:rFonts w:ascii="Times New Roman" w:hAnsi="Times New Roman"/>
                <w:b/>
                <w:sz w:val="22"/>
                <w:szCs w:val="22"/>
                <w:lang w:val="fr-FR"/>
              </w:rPr>
            </w:pPr>
          </w:p>
        </w:tc>
        <w:tc>
          <w:tcPr>
            <w:tcW w:w="4650" w:type="dxa"/>
          </w:tcPr>
          <w:p w14:paraId="586FD06C"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Sverige</w:t>
            </w:r>
          </w:p>
          <w:p w14:paraId="586FD06D"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Sverige AB</w:t>
            </w:r>
          </w:p>
          <w:p w14:paraId="586FD06E"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Tel: +46 8 732 32 00</w:t>
            </w:r>
          </w:p>
          <w:p w14:paraId="586FD06F" w14:textId="77777777" w:rsidR="00E01C1A" w:rsidRPr="00E01C1A" w:rsidRDefault="00E01C1A" w:rsidP="00B4177C">
            <w:pPr>
              <w:rPr>
                <w:rFonts w:ascii="Times New Roman" w:hAnsi="Times New Roman"/>
                <w:sz w:val="22"/>
                <w:szCs w:val="22"/>
                <w:lang w:val="de-CH"/>
              </w:rPr>
            </w:pPr>
          </w:p>
        </w:tc>
      </w:tr>
      <w:tr w:rsidR="00E01C1A" w:rsidRPr="00E01C1A" w14:paraId="586FD079" w14:textId="77777777" w:rsidTr="001C676D">
        <w:trPr>
          <w:cantSplit/>
        </w:trPr>
        <w:tc>
          <w:tcPr>
            <w:tcW w:w="4650" w:type="dxa"/>
          </w:tcPr>
          <w:p w14:paraId="586FD071" w14:textId="77777777" w:rsidR="00E01C1A" w:rsidRPr="00744D9D" w:rsidRDefault="00E01C1A" w:rsidP="00B4177C">
            <w:pPr>
              <w:rPr>
                <w:rFonts w:ascii="Times New Roman" w:hAnsi="Times New Roman"/>
                <w:b/>
                <w:sz w:val="22"/>
                <w:szCs w:val="22"/>
                <w:lang w:val="es-ES"/>
              </w:rPr>
            </w:pPr>
            <w:r w:rsidRPr="00744D9D">
              <w:rPr>
                <w:rFonts w:ascii="Times New Roman" w:hAnsi="Times New Roman"/>
                <w:b/>
                <w:sz w:val="22"/>
                <w:szCs w:val="22"/>
                <w:lang w:val="es-ES"/>
              </w:rPr>
              <w:t>Latvija</w:t>
            </w:r>
          </w:p>
          <w:p w14:paraId="586FD072" w14:textId="3A96BA42" w:rsidR="00E01C1A" w:rsidRPr="00744D9D" w:rsidRDefault="00AB26B9" w:rsidP="00B4177C">
            <w:pPr>
              <w:rPr>
                <w:rFonts w:ascii="Times New Roman" w:hAnsi="Times New Roman"/>
                <w:sz w:val="22"/>
                <w:szCs w:val="22"/>
                <w:lang w:val="es-ES"/>
              </w:rPr>
            </w:pPr>
            <w:r w:rsidRPr="00744D9D">
              <w:rPr>
                <w:rFonts w:ascii="Times New Roman" w:hAnsi="Times New Roman"/>
                <w:sz w:val="22"/>
                <w:szCs w:val="22"/>
                <w:lang w:val="es-ES"/>
              </w:rPr>
              <w:t>SIA Novartis Baltics</w:t>
            </w:r>
          </w:p>
          <w:p w14:paraId="586FD073" w14:textId="77777777" w:rsidR="00E01C1A" w:rsidRPr="00374F8A" w:rsidRDefault="00E01C1A" w:rsidP="00B4177C">
            <w:pPr>
              <w:rPr>
                <w:rFonts w:ascii="Times New Roman" w:hAnsi="Times New Roman"/>
                <w:sz w:val="22"/>
                <w:szCs w:val="22"/>
              </w:rPr>
            </w:pPr>
            <w:r w:rsidRPr="00374F8A">
              <w:rPr>
                <w:rFonts w:ascii="Times New Roman" w:hAnsi="Times New Roman"/>
                <w:sz w:val="22"/>
                <w:szCs w:val="22"/>
              </w:rPr>
              <w:t>Tel: +371 67 887 070</w:t>
            </w:r>
          </w:p>
          <w:p w14:paraId="586FD074" w14:textId="77777777" w:rsidR="00E01C1A" w:rsidRPr="00374F8A" w:rsidRDefault="00E01C1A" w:rsidP="00B4177C">
            <w:pPr>
              <w:rPr>
                <w:rFonts w:ascii="Times New Roman" w:hAnsi="Times New Roman"/>
                <w:b/>
                <w:sz w:val="22"/>
                <w:szCs w:val="22"/>
              </w:rPr>
            </w:pPr>
          </w:p>
        </w:tc>
        <w:tc>
          <w:tcPr>
            <w:tcW w:w="4650" w:type="dxa"/>
          </w:tcPr>
          <w:p w14:paraId="586FD075" w14:textId="77777777" w:rsidR="00E01C1A" w:rsidRPr="00804D62" w:rsidRDefault="00E01C1A" w:rsidP="00B4177C">
            <w:pPr>
              <w:rPr>
                <w:rFonts w:ascii="Times New Roman" w:hAnsi="Times New Roman"/>
                <w:b/>
                <w:sz w:val="22"/>
                <w:szCs w:val="22"/>
                <w:lang w:val="en-US"/>
              </w:rPr>
            </w:pPr>
            <w:r w:rsidRPr="00804D62">
              <w:rPr>
                <w:rFonts w:ascii="Times New Roman" w:hAnsi="Times New Roman"/>
                <w:b/>
                <w:sz w:val="22"/>
                <w:szCs w:val="22"/>
                <w:lang w:val="en-US"/>
              </w:rPr>
              <w:t>United Kingdom</w:t>
            </w:r>
          </w:p>
          <w:p w14:paraId="586FD076"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Novartis Pharmaceuticals UK Ltd.</w:t>
            </w:r>
          </w:p>
          <w:p w14:paraId="586FD077"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+44 1276 698370</w:t>
            </w:r>
          </w:p>
          <w:p w14:paraId="586FD078" w14:textId="77777777" w:rsidR="00E01C1A" w:rsidRPr="00E01C1A" w:rsidRDefault="00E01C1A" w:rsidP="00B4177C">
            <w:pPr>
              <w:rPr>
                <w:rFonts w:ascii="Times New Roman" w:hAnsi="Times New Roman"/>
                <w:sz w:val="22"/>
                <w:szCs w:val="22"/>
              </w:rPr>
            </w:pPr>
          </w:p>
        </w:tc>
      </w:tr>
    </w:tbl>
    <w:p w14:paraId="586FD07A" w14:textId="77777777" w:rsidR="00E01C1A" w:rsidRPr="00E01C1A" w:rsidRDefault="00E01C1A" w:rsidP="00E01C1A">
      <w:pPr>
        <w:widowControl w:val="0"/>
        <w:ind w:right="-449"/>
        <w:rPr>
          <w:rFonts w:ascii="Times New Roman" w:hAnsi="Times New Roman"/>
          <w:sz w:val="22"/>
          <w:szCs w:val="22"/>
        </w:rPr>
      </w:pPr>
    </w:p>
    <w:p w14:paraId="586FD07B" w14:textId="77777777" w:rsidR="008F2D51" w:rsidRDefault="008F2D51" w:rsidP="008F2D51">
      <w:pPr>
        <w:pStyle w:val="Heading1"/>
        <w:keepNext w:val="0"/>
        <w:widowControl w:val="0"/>
        <w:rPr>
          <w:szCs w:val="22"/>
        </w:rPr>
      </w:pPr>
      <w:r>
        <w:rPr>
          <w:szCs w:val="22"/>
        </w:rPr>
        <w:lastRenderedPageBreak/>
        <w:t xml:space="preserve">Tämä pakkausseloste on </w:t>
      </w:r>
      <w:r w:rsidR="00854AB2">
        <w:rPr>
          <w:szCs w:val="22"/>
        </w:rPr>
        <w:t xml:space="preserve">tarkistettu </w:t>
      </w:r>
      <w:r>
        <w:rPr>
          <w:szCs w:val="22"/>
        </w:rPr>
        <w:t>viimeksi</w:t>
      </w:r>
    </w:p>
    <w:p w14:paraId="586FD07C" w14:textId="77777777" w:rsidR="008F2D51" w:rsidRDefault="008F2D51" w:rsidP="008F2D51">
      <w:pPr>
        <w:widowControl w:val="0"/>
        <w:rPr>
          <w:rFonts w:ascii="Times New Roman" w:hAnsi="Times New Roman"/>
          <w:sz w:val="22"/>
          <w:szCs w:val="22"/>
        </w:rPr>
      </w:pPr>
    </w:p>
    <w:p w14:paraId="586FD07D" w14:textId="77777777" w:rsidR="00854AB2" w:rsidRPr="00EC5813" w:rsidRDefault="00854AB2" w:rsidP="008F2D51">
      <w:pPr>
        <w:widowControl w:val="0"/>
        <w:rPr>
          <w:rFonts w:ascii="Times New Roman" w:hAnsi="Times New Roman"/>
          <w:b/>
          <w:noProof/>
          <w:sz w:val="22"/>
          <w:szCs w:val="22"/>
        </w:rPr>
      </w:pPr>
      <w:r w:rsidRPr="00EC5813">
        <w:rPr>
          <w:rFonts w:ascii="Times New Roman" w:hAnsi="Times New Roman"/>
          <w:b/>
          <w:noProof/>
          <w:sz w:val="22"/>
          <w:szCs w:val="22"/>
        </w:rPr>
        <w:t>Muut tiedonlähteet</w:t>
      </w:r>
    </w:p>
    <w:p w14:paraId="586FD07E" w14:textId="77777777" w:rsidR="008F2D51" w:rsidRDefault="008F2D51" w:rsidP="008F2D51">
      <w:pPr>
        <w:widowControl w:val="0"/>
        <w:rPr>
          <w:rFonts w:ascii="Times New Roman" w:hAnsi="Times New Roman"/>
          <w:noProof/>
          <w:sz w:val="22"/>
          <w:szCs w:val="22"/>
        </w:rPr>
      </w:pPr>
      <w:r>
        <w:rPr>
          <w:rFonts w:ascii="Times New Roman" w:hAnsi="Times New Roman"/>
          <w:noProof/>
          <w:sz w:val="22"/>
          <w:szCs w:val="22"/>
        </w:rPr>
        <w:t xml:space="preserve">Lisätietoa tästä lääkevalmisteesta on saatavilla Euroopan lääkeviraston </w:t>
      </w:r>
      <w:r w:rsidR="00854AB2">
        <w:rPr>
          <w:rFonts w:ascii="Times New Roman" w:hAnsi="Times New Roman"/>
          <w:noProof/>
          <w:sz w:val="22"/>
          <w:szCs w:val="22"/>
        </w:rPr>
        <w:t>verkko</w:t>
      </w:r>
      <w:r>
        <w:rPr>
          <w:rFonts w:ascii="Times New Roman" w:hAnsi="Times New Roman"/>
          <w:noProof/>
          <w:sz w:val="22"/>
          <w:szCs w:val="22"/>
        </w:rPr>
        <w:t>sivu</w:t>
      </w:r>
      <w:r w:rsidR="00D31F9E">
        <w:rPr>
          <w:rFonts w:ascii="Times New Roman" w:hAnsi="Times New Roman"/>
          <w:noProof/>
          <w:sz w:val="22"/>
          <w:szCs w:val="22"/>
        </w:rPr>
        <w:t xml:space="preserve">lla </w:t>
      </w:r>
      <w:hyperlink r:id="rId17" w:history="1">
        <w:r w:rsidR="00374F8A" w:rsidRPr="00827561">
          <w:rPr>
            <w:rStyle w:val="Hyperlink"/>
            <w:rFonts w:ascii="Times New Roman" w:hAnsi="Times New Roman"/>
            <w:noProof/>
            <w:sz w:val="22"/>
            <w:szCs w:val="22"/>
          </w:rPr>
          <w:t>http://www.ema.europa.eu</w:t>
        </w:r>
      </w:hyperlink>
    </w:p>
    <w:p w14:paraId="586FD07F" w14:textId="77777777" w:rsidR="00374F8A" w:rsidRDefault="00374F8A" w:rsidP="008F2D51">
      <w:pPr>
        <w:widowControl w:val="0"/>
        <w:rPr>
          <w:rFonts w:ascii="Times New Roman" w:hAnsi="Times New Roman"/>
          <w:noProof/>
          <w:sz w:val="22"/>
          <w:szCs w:val="22"/>
        </w:rPr>
      </w:pPr>
    </w:p>
    <w:p w14:paraId="586FD080" w14:textId="77777777" w:rsidR="008F2D51" w:rsidRDefault="008F2D51" w:rsidP="008F2D51">
      <w:pPr>
        <w:widowControl w:val="0"/>
        <w:jc w:val="center"/>
        <w:rPr>
          <w:rFonts w:ascii="Times New Roman" w:hAnsi="Times New Roman"/>
          <w:sz w:val="22"/>
          <w:szCs w:val="22"/>
        </w:rPr>
      </w:pPr>
      <w:r>
        <w:rPr>
          <w:rFonts w:ascii="Times New Roman" w:hAnsi="Times New Roman"/>
          <w:sz w:val="22"/>
          <w:szCs w:val="22"/>
        </w:rPr>
        <w:br w:type="page"/>
      </w:r>
      <w:r>
        <w:rPr>
          <w:rFonts w:ascii="Times New Roman" w:hAnsi="Times New Roman"/>
          <w:b/>
          <w:sz w:val="22"/>
          <w:szCs w:val="22"/>
        </w:rPr>
        <w:lastRenderedPageBreak/>
        <w:t>P</w:t>
      </w:r>
      <w:r w:rsidR="00452B69">
        <w:rPr>
          <w:rFonts w:ascii="Times New Roman" w:hAnsi="Times New Roman"/>
          <w:b/>
          <w:sz w:val="22"/>
          <w:szCs w:val="22"/>
        </w:rPr>
        <w:t>akkausseloste: Tietoa käyttäjälle</w:t>
      </w:r>
    </w:p>
    <w:p w14:paraId="586FD081" w14:textId="77777777" w:rsidR="008F2D51" w:rsidRDefault="008F2D51" w:rsidP="008F2D51">
      <w:pPr>
        <w:widowControl w:val="0"/>
        <w:jc w:val="center"/>
        <w:rPr>
          <w:rFonts w:ascii="Times New Roman" w:hAnsi="Times New Roman"/>
          <w:sz w:val="22"/>
          <w:szCs w:val="22"/>
        </w:rPr>
      </w:pPr>
    </w:p>
    <w:p w14:paraId="586FD082" w14:textId="10730F83" w:rsidR="008F2D51" w:rsidRDefault="008F2D51" w:rsidP="008F2D51">
      <w:pPr>
        <w:widowControl w:val="0"/>
        <w:jc w:val="center"/>
        <w:rPr>
          <w:rFonts w:ascii="Times New Roman" w:hAnsi="Times New Roman"/>
          <w:b/>
          <w:sz w:val="22"/>
          <w:szCs w:val="22"/>
        </w:rPr>
      </w:pPr>
      <w:r>
        <w:rPr>
          <w:rFonts w:ascii="Times New Roman" w:hAnsi="Times New Roman"/>
          <w:b/>
          <w:sz w:val="22"/>
          <w:szCs w:val="22"/>
        </w:rPr>
        <w:t>Glivec 100 mg kalvopäällysteiset tabletit</w:t>
      </w:r>
    </w:p>
    <w:p w14:paraId="2926BDBA" w14:textId="4F6411F0" w:rsidR="008F247D" w:rsidRDefault="008F247D" w:rsidP="008F2D51">
      <w:pPr>
        <w:widowControl w:val="0"/>
        <w:jc w:val="center"/>
        <w:rPr>
          <w:rFonts w:ascii="Times New Roman" w:hAnsi="Times New Roman"/>
          <w:b/>
          <w:sz w:val="22"/>
          <w:szCs w:val="22"/>
        </w:rPr>
      </w:pPr>
      <w:r>
        <w:rPr>
          <w:rFonts w:ascii="Times New Roman" w:hAnsi="Times New Roman"/>
          <w:b/>
          <w:sz w:val="22"/>
          <w:szCs w:val="22"/>
        </w:rPr>
        <w:t>Glivec 400 mg kalvopäällysteiset tabletit</w:t>
      </w:r>
    </w:p>
    <w:p w14:paraId="586FD083" w14:textId="77777777" w:rsidR="008F2D51" w:rsidRDefault="00452B69" w:rsidP="008F2D51">
      <w:pPr>
        <w:widowControl w:val="0"/>
        <w:jc w:val="center"/>
        <w:rPr>
          <w:rFonts w:ascii="Times New Roman" w:hAnsi="Times New Roman"/>
          <w:sz w:val="22"/>
          <w:szCs w:val="22"/>
        </w:rPr>
      </w:pPr>
      <w:r>
        <w:rPr>
          <w:rFonts w:ascii="Times New Roman" w:hAnsi="Times New Roman"/>
          <w:sz w:val="22"/>
          <w:szCs w:val="22"/>
        </w:rPr>
        <w:t>i</w:t>
      </w:r>
      <w:r w:rsidR="008F2D51">
        <w:rPr>
          <w:rFonts w:ascii="Times New Roman" w:hAnsi="Times New Roman"/>
          <w:sz w:val="22"/>
          <w:szCs w:val="22"/>
        </w:rPr>
        <w:t>matinibi</w:t>
      </w:r>
    </w:p>
    <w:p w14:paraId="586FD084" w14:textId="77777777" w:rsidR="008F2D51" w:rsidRDefault="008F2D51" w:rsidP="008F2D51">
      <w:pPr>
        <w:widowControl w:val="0"/>
        <w:jc w:val="center"/>
        <w:rPr>
          <w:rFonts w:ascii="Times New Roman" w:hAnsi="Times New Roman"/>
          <w:sz w:val="22"/>
          <w:szCs w:val="22"/>
        </w:rPr>
      </w:pPr>
    </w:p>
    <w:p w14:paraId="586FD085" w14:textId="77777777" w:rsidR="00052289" w:rsidRPr="00CD3600" w:rsidRDefault="00CC29DC" w:rsidP="00052289">
      <w:pPr>
        <w:numPr>
          <w:ilvl w:val="12"/>
          <w:numId w:val="0"/>
        </w:numPr>
        <w:ind w:right="-2"/>
        <w:rPr>
          <w:rFonts w:ascii="Times New Roman" w:hAnsi="Times New Roman"/>
          <w:color w:val="auto"/>
          <w:sz w:val="22"/>
          <w:szCs w:val="22"/>
          <w:lang w:eastAsia="fr-LU"/>
        </w:rPr>
      </w:pPr>
      <w:r w:rsidRPr="00CD3600">
        <w:rPr>
          <w:rFonts w:ascii="Times New Roman" w:hAnsi="Times New Roman"/>
          <w:noProof/>
          <w:color w:val="auto"/>
          <w:sz w:val="20"/>
          <w:lang w:val="en-US"/>
        </w:rPr>
        <w:drawing>
          <wp:inline distT="0" distB="0" distL="0" distR="0" wp14:anchorId="586FD3CE" wp14:editId="586FD3CF">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052289" w:rsidRPr="00CD3600">
        <w:rPr>
          <w:rFonts w:ascii="Times New Roman" w:hAnsi="Times New Roman"/>
          <w:color w:val="auto"/>
          <w:sz w:val="22"/>
          <w:szCs w:val="22"/>
          <w:lang w:eastAsia="fr-LU"/>
        </w:rPr>
        <w:t>Tähän lääkkeeseen kohdistuu lisäseuranta. Tällä tavalla voidaan havaita nopeasti uutta turvallisuutta koskevaa tietoa. Voit auttaa ilmoittamalla kaikista mahdollisesti saamistasi haittavaikutuksista. Ks. kohdan 4 lopusta, miten haittavaikutuksista ilmoitetaan.</w:t>
      </w:r>
    </w:p>
    <w:p w14:paraId="586FD086" w14:textId="77777777" w:rsidR="008F2D51" w:rsidRDefault="008F2D51" w:rsidP="00AD3C39">
      <w:pPr>
        <w:widowControl w:val="0"/>
        <w:rPr>
          <w:rFonts w:ascii="Times New Roman" w:hAnsi="Times New Roman"/>
          <w:sz w:val="22"/>
          <w:szCs w:val="22"/>
        </w:rPr>
      </w:pPr>
    </w:p>
    <w:p w14:paraId="586FD087" w14:textId="77777777" w:rsidR="0076444C" w:rsidRDefault="0076444C" w:rsidP="0076444C">
      <w:pPr>
        <w:widowControl w:val="0"/>
        <w:ind w:right="-2"/>
        <w:rPr>
          <w:rFonts w:ascii="Times New Roman" w:hAnsi="Times New Roman"/>
          <w:sz w:val="22"/>
          <w:szCs w:val="22"/>
        </w:rPr>
      </w:pPr>
      <w:r>
        <w:rPr>
          <w:rFonts w:ascii="Times New Roman" w:hAnsi="Times New Roman"/>
          <w:b/>
          <w:sz w:val="22"/>
          <w:szCs w:val="22"/>
        </w:rPr>
        <w:t xml:space="preserve">Lue tämä pakkausseloste huolellisesti ennen kuin aloitat lääkkeen käyttämisen, </w:t>
      </w:r>
      <w:r>
        <w:rPr>
          <w:rFonts w:ascii="Times New Roman" w:hAnsi="Times New Roman"/>
          <w:b/>
          <w:snapToGrid w:val="0"/>
          <w:sz w:val="22"/>
          <w:szCs w:val="24"/>
        </w:rPr>
        <w:t>sillä se sisältää sinulle tärkeitä tietoja</w:t>
      </w:r>
      <w:r>
        <w:rPr>
          <w:rFonts w:ascii="Times New Roman" w:hAnsi="Times New Roman"/>
          <w:b/>
          <w:sz w:val="22"/>
          <w:szCs w:val="22"/>
        </w:rPr>
        <w:t>.</w:t>
      </w:r>
    </w:p>
    <w:p w14:paraId="586FD088" w14:textId="77777777" w:rsidR="0076444C" w:rsidRDefault="0076444C" w:rsidP="0076444C">
      <w:pPr>
        <w:widowControl w:val="0"/>
        <w:numPr>
          <w:ilvl w:val="0"/>
          <w:numId w:val="8"/>
        </w:numPr>
        <w:tabs>
          <w:tab w:val="clear" w:pos="927"/>
        </w:tabs>
        <w:ind w:left="567" w:right="-2" w:hanging="567"/>
        <w:rPr>
          <w:rFonts w:ascii="Times New Roman" w:hAnsi="Times New Roman"/>
          <w:sz w:val="22"/>
          <w:szCs w:val="22"/>
        </w:rPr>
      </w:pPr>
      <w:r>
        <w:rPr>
          <w:rFonts w:ascii="Times New Roman" w:hAnsi="Times New Roman"/>
          <w:sz w:val="22"/>
          <w:szCs w:val="22"/>
        </w:rPr>
        <w:t>Säilytä tämä pakkausseloste. Voit tarvita sitä myöhemmin.</w:t>
      </w:r>
    </w:p>
    <w:p w14:paraId="586FD089" w14:textId="77777777" w:rsidR="0076444C" w:rsidRDefault="0076444C" w:rsidP="0076444C">
      <w:pPr>
        <w:widowControl w:val="0"/>
        <w:numPr>
          <w:ilvl w:val="0"/>
          <w:numId w:val="8"/>
        </w:numPr>
        <w:tabs>
          <w:tab w:val="clear" w:pos="927"/>
        </w:tabs>
        <w:ind w:left="567" w:right="-2" w:hanging="567"/>
        <w:rPr>
          <w:rFonts w:ascii="Times New Roman" w:hAnsi="Times New Roman"/>
          <w:sz w:val="22"/>
          <w:szCs w:val="22"/>
        </w:rPr>
      </w:pPr>
      <w:r>
        <w:rPr>
          <w:rFonts w:ascii="Times New Roman" w:hAnsi="Times New Roman"/>
          <w:sz w:val="22"/>
          <w:szCs w:val="22"/>
        </w:rPr>
        <w:t>Jos sinulla on kysyttävää, käänny lääkärin, apteekkihenkilökunnan tai sairaanhoitajan puoleen.</w:t>
      </w:r>
    </w:p>
    <w:p w14:paraId="586FD08A" w14:textId="77777777" w:rsidR="0076444C" w:rsidRDefault="0076444C" w:rsidP="0076444C">
      <w:pPr>
        <w:widowControl w:val="0"/>
        <w:numPr>
          <w:ilvl w:val="0"/>
          <w:numId w:val="8"/>
        </w:numPr>
        <w:tabs>
          <w:tab w:val="clear" w:pos="927"/>
        </w:tabs>
        <w:ind w:left="567" w:right="-2" w:hanging="567"/>
        <w:rPr>
          <w:rFonts w:ascii="Times New Roman" w:hAnsi="Times New Roman"/>
          <w:sz w:val="22"/>
          <w:szCs w:val="22"/>
        </w:rPr>
      </w:pPr>
      <w:r>
        <w:rPr>
          <w:rFonts w:ascii="Times New Roman" w:hAnsi="Times New Roman"/>
          <w:sz w:val="22"/>
          <w:szCs w:val="22"/>
        </w:rPr>
        <w:t xml:space="preserve">Tämä lääke on määrätty vain sinulle eikä sitä tule antaa muiden käyttöön. </w:t>
      </w:r>
      <w:r>
        <w:rPr>
          <w:rFonts w:ascii="Times New Roman" w:hAnsi="Times New Roman"/>
          <w:noProof/>
          <w:sz w:val="22"/>
          <w:szCs w:val="22"/>
        </w:rPr>
        <w:t>Se voi aiheuttaa haittaa muille, vaikka heillä olisikin samanlaiset oireet kuin sinulla</w:t>
      </w:r>
      <w:r>
        <w:rPr>
          <w:rFonts w:ascii="Times New Roman" w:hAnsi="Times New Roman"/>
          <w:sz w:val="22"/>
          <w:szCs w:val="22"/>
        </w:rPr>
        <w:t>.</w:t>
      </w:r>
    </w:p>
    <w:p w14:paraId="586FD08B" w14:textId="77777777" w:rsidR="0076444C" w:rsidRDefault="0076444C" w:rsidP="0076444C">
      <w:pPr>
        <w:widowControl w:val="0"/>
        <w:numPr>
          <w:ilvl w:val="0"/>
          <w:numId w:val="8"/>
        </w:numPr>
        <w:tabs>
          <w:tab w:val="clear" w:pos="927"/>
        </w:tabs>
        <w:ind w:left="567" w:right="-2" w:hanging="567"/>
        <w:rPr>
          <w:rFonts w:ascii="Times New Roman" w:hAnsi="Times New Roman"/>
          <w:sz w:val="22"/>
          <w:szCs w:val="22"/>
        </w:rPr>
      </w:pPr>
      <w:r>
        <w:rPr>
          <w:rFonts w:ascii="Times New Roman" w:hAnsi="Times New Roman"/>
          <w:noProof/>
          <w:sz w:val="22"/>
          <w:szCs w:val="22"/>
        </w:rPr>
        <w:t>Jos havaitset haittavaikutuksia</w:t>
      </w:r>
      <w:r w:rsidR="005653FC">
        <w:rPr>
          <w:rFonts w:ascii="Times New Roman" w:hAnsi="Times New Roman"/>
          <w:noProof/>
          <w:sz w:val="22"/>
          <w:szCs w:val="22"/>
        </w:rPr>
        <w:t>,</w:t>
      </w:r>
      <w:r>
        <w:rPr>
          <w:rFonts w:ascii="Times New Roman" w:hAnsi="Times New Roman"/>
          <w:noProof/>
          <w:sz w:val="22"/>
          <w:szCs w:val="22"/>
        </w:rPr>
        <w:t xml:space="preserve"> käänny lääkärin, apteekkihenkilökunnan tai sairaanhoitajan puoleen</w:t>
      </w:r>
      <w:r>
        <w:rPr>
          <w:rFonts w:ascii="Times New Roman" w:hAnsi="Times New Roman"/>
          <w:sz w:val="22"/>
          <w:szCs w:val="22"/>
        </w:rPr>
        <w:t>.</w:t>
      </w:r>
      <w:r w:rsidR="00210DD7" w:rsidRPr="00210DD7">
        <w:rPr>
          <w:rFonts w:ascii="Times New Roman" w:hAnsi="Times New Roman"/>
          <w:noProof/>
          <w:sz w:val="22"/>
          <w:szCs w:val="22"/>
        </w:rPr>
        <w:t xml:space="preserve"> </w:t>
      </w:r>
      <w:r w:rsidR="00210DD7" w:rsidRPr="003B78EE">
        <w:rPr>
          <w:rFonts w:ascii="Times New Roman" w:hAnsi="Times New Roman"/>
          <w:noProof/>
          <w:sz w:val="22"/>
          <w:szCs w:val="22"/>
        </w:rPr>
        <w:t>Tämä koskee myös sellaisia mahdollisia haittavaikutuksia, joita ei ole mainittu tässä pakkausselosteessa. Ks. kohta 4</w:t>
      </w:r>
      <w:r w:rsidR="00210DD7">
        <w:rPr>
          <w:rFonts w:ascii="Times New Roman" w:hAnsi="Times New Roman"/>
          <w:noProof/>
          <w:sz w:val="22"/>
          <w:szCs w:val="22"/>
        </w:rPr>
        <w:t>.</w:t>
      </w:r>
    </w:p>
    <w:p w14:paraId="586FD08C" w14:textId="77777777" w:rsidR="0076444C" w:rsidRDefault="0076444C" w:rsidP="0076444C">
      <w:pPr>
        <w:widowControl w:val="0"/>
        <w:ind w:right="-2"/>
        <w:rPr>
          <w:rFonts w:ascii="Times New Roman" w:hAnsi="Times New Roman"/>
          <w:sz w:val="22"/>
          <w:szCs w:val="22"/>
        </w:rPr>
      </w:pPr>
    </w:p>
    <w:p w14:paraId="586FD08D" w14:textId="77777777" w:rsidR="0076444C" w:rsidRDefault="0076444C" w:rsidP="0076444C">
      <w:pPr>
        <w:widowControl w:val="0"/>
        <w:ind w:right="-2"/>
        <w:rPr>
          <w:rFonts w:ascii="Times New Roman" w:hAnsi="Times New Roman"/>
          <w:sz w:val="22"/>
          <w:szCs w:val="22"/>
        </w:rPr>
      </w:pPr>
    </w:p>
    <w:p w14:paraId="586FD08E" w14:textId="77777777" w:rsidR="0076444C" w:rsidRDefault="0076444C" w:rsidP="0076444C">
      <w:pPr>
        <w:widowControl w:val="0"/>
        <w:ind w:right="-2"/>
        <w:rPr>
          <w:rFonts w:ascii="Times New Roman" w:hAnsi="Times New Roman"/>
          <w:sz w:val="22"/>
          <w:szCs w:val="22"/>
        </w:rPr>
      </w:pPr>
      <w:r>
        <w:rPr>
          <w:rFonts w:ascii="Times New Roman" w:hAnsi="Times New Roman"/>
          <w:b/>
          <w:sz w:val="22"/>
          <w:szCs w:val="22"/>
        </w:rPr>
        <w:t>Tässä pakkausselosteessa kerrotaan</w:t>
      </w:r>
      <w:r w:rsidR="005653FC">
        <w:rPr>
          <w:rFonts w:ascii="Times New Roman" w:hAnsi="Times New Roman"/>
          <w:b/>
          <w:sz w:val="22"/>
          <w:szCs w:val="22"/>
        </w:rPr>
        <w:t>:</w:t>
      </w:r>
    </w:p>
    <w:p w14:paraId="586FD08F"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ab/>
        <w:t>Mitä Glivec on ja mihin sitä käytetään</w:t>
      </w:r>
    </w:p>
    <w:p w14:paraId="586FD090"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ab/>
        <w:t>Mitä sinun on tiedettävä, ennen kuin käytät Gliveciä</w:t>
      </w:r>
    </w:p>
    <w:p w14:paraId="586FD091"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ab/>
        <w:t>Miten Gliveciä käytetään</w:t>
      </w:r>
    </w:p>
    <w:p w14:paraId="586FD092"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4.</w:t>
      </w:r>
      <w:r>
        <w:rPr>
          <w:rFonts w:ascii="Times New Roman" w:hAnsi="Times New Roman"/>
          <w:sz w:val="22"/>
          <w:szCs w:val="22"/>
        </w:rPr>
        <w:tab/>
        <w:t>Mahdolliset haittavaikutukset</w:t>
      </w:r>
    </w:p>
    <w:p w14:paraId="586FD093" w14:textId="77777777" w:rsidR="0076444C" w:rsidRDefault="0076444C" w:rsidP="0076444C">
      <w:pPr>
        <w:widowControl w:val="0"/>
        <w:tabs>
          <w:tab w:val="left" w:pos="567"/>
        </w:tabs>
        <w:ind w:right="-29"/>
        <w:rPr>
          <w:rFonts w:ascii="Times New Roman" w:hAnsi="Times New Roman"/>
          <w:sz w:val="22"/>
          <w:szCs w:val="22"/>
        </w:rPr>
      </w:pPr>
      <w:r>
        <w:rPr>
          <w:rFonts w:ascii="Times New Roman" w:hAnsi="Times New Roman"/>
          <w:sz w:val="22"/>
          <w:szCs w:val="22"/>
        </w:rPr>
        <w:t>5.</w:t>
      </w:r>
      <w:r>
        <w:rPr>
          <w:rFonts w:ascii="Times New Roman" w:hAnsi="Times New Roman"/>
          <w:sz w:val="22"/>
          <w:szCs w:val="22"/>
        </w:rPr>
        <w:tab/>
        <w:t>Glivecin säilyttäminen</w:t>
      </w:r>
    </w:p>
    <w:p w14:paraId="586FD094" w14:textId="77777777" w:rsidR="0076444C" w:rsidRDefault="0076444C" w:rsidP="0076444C">
      <w:pPr>
        <w:widowControl w:val="0"/>
        <w:tabs>
          <w:tab w:val="left" w:pos="567"/>
        </w:tabs>
        <w:ind w:right="-28"/>
        <w:rPr>
          <w:rFonts w:ascii="Times New Roman" w:hAnsi="Times New Roman"/>
          <w:sz w:val="22"/>
          <w:szCs w:val="22"/>
        </w:rPr>
      </w:pPr>
      <w:r>
        <w:rPr>
          <w:rFonts w:ascii="Times New Roman" w:hAnsi="Times New Roman"/>
          <w:sz w:val="22"/>
          <w:szCs w:val="22"/>
        </w:rPr>
        <w:t>6.</w:t>
      </w:r>
      <w:r>
        <w:rPr>
          <w:rFonts w:ascii="Times New Roman" w:hAnsi="Times New Roman"/>
          <w:sz w:val="22"/>
          <w:szCs w:val="22"/>
        </w:rPr>
        <w:tab/>
        <w:t>Pakkauksen sisältö ja muuta tietoa</w:t>
      </w:r>
    </w:p>
    <w:p w14:paraId="586FD095" w14:textId="77777777" w:rsidR="0076444C" w:rsidRDefault="0076444C" w:rsidP="0076444C">
      <w:pPr>
        <w:pStyle w:val="EndnoteText"/>
        <w:widowControl w:val="0"/>
        <w:tabs>
          <w:tab w:val="clear" w:pos="567"/>
        </w:tabs>
        <w:rPr>
          <w:color w:val="000000"/>
          <w:szCs w:val="22"/>
          <w:lang w:val="fi-FI"/>
        </w:rPr>
      </w:pPr>
    </w:p>
    <w:p w14:paraId="586FD096" w14:textId="77777777" w:rsidR="0076444C" w:rsidRDefault="0076444C" w:rsidP="0076444C">
      <w:pPr>
        <w:pStyle w:val="EndnoteText"/>
        <w:widowControl w:val="0"/>
        <w:tabs>
          <w:tab w:val="clear" w:pos="567"/>
        </w:tabs>
        <w:rPr>
          <w:color w:val="000000"/>
          <w:szCs w:val="22"/>
          <w:lang w:val="fi-FI"/>
        </w:rPr>
      </w:pPr>
    </w:p>
    <w:p w14:paraId="586FD097" w14:textId="77777777" w:rsidR="0076444C" w:rsidRDefault="0076444C" w:rsidP="0076444C">
      <w:pPr>
        <w:keepNext/>
        <w:widowControl w:val="0"/>
        <w:ind w:right="-2"/>
        <w:rPr>
          <w:rFonts w:ascii="Times New Roman" w:hAnsi="Times New Roman"/>
          <w:sz w:val="22"/>
          <w:szCs w:val="22"/>
        </w:rPr>
      </w:pPr>
      <w:r>
        <w:rPr>
          <w:rFonts w:ascii="Times New Roman" w:hAnsi="Times New Roman"/>
          <w:b/>
          <w:sz w:val="22"/>
          <w:szCs w:val="22"/>
        </w:rPr>
        <w:t>1.</w:t>
      </w:r>
      <w:r>
        <w:rPr>
          <w:rFonts w:ascii="Times New Roman" w:hAnsi="Times New Roman"/>
          <w:b/>
          <w:sz w:val="22"/>
          <w:szCs w:val="22"/>
        </w:rPr>
        <w:tab/>
        <w:t>Mitä Glivec on ja mihin sitä käytetään</w:t>
      </w:r>
    </w:p>
    <w:p w14:paraId="586FD098" w14:textId="77777777" w:rsidR="0076444C" w:rsidRDefault="0076444C" w:rsidP="0076444C">
      <w:pPr>
        <w:pStyle w:val="EndnoteText"/>
        <w:keepNext/>
        <w:widowControl w:val="0"/>
        <w:tabs>
          <w:tab w:val="clear" w:pos="567"/>
        </w:tabs>
        <w:rPr>
          <w:color w:val="000000"/>
          <w:szCs w:val="22"/>
          <w:lang w:val="fi-FI"/>
        </w:rPr>
      </w:pPr>
    </w:p>
    <w:p w14:paraId="586FD099" w14:textId="77777777" w:rsidR="0076444C" w:rsidRDefault="0076444C" w:rsidP="00774A0B">
      <w:pPr>
        <w:pStyle w:val="Text"/>
        <w:keepNext/>
        <w:widowControl w:val="0"/>
        <w:spacing w:before="0"/>
        <w:jc w:val="left"/>
        <w:rPr>
          <w:color w:val="000000"/>
          <w:sz w:val="22"/>
          <w:szCs w:val="22"/>
          <w:lang w:val="fi-FI"/>
        </w:rPr>
      </w:pPr>
      <w:r>
        <w:rPr>
          <w:color w:val="000000"/>
          <w:sz w:val="22"/>
          <w:szCs w:val="22"/>
          <w:lang w:val="fi-FI"/>
        </w:rPr>
        <w:t>Glivec sisältää vaikuttavana aineena imatinibia ja sen vaikutus perustuu poikkeavien solujen kasvun estoon alla luetelluissa sairauksissa, joihin kuuluu tietyntyyppisiä syöpäsairauksia.</w:t>
      </w:r>
    </w:p>
    <w:p w14:paraId="586FD09A" w14:textId="77777777" w:rsidR="0076444C" w:rsidRDefault="0076444C" w:rsidP="00774A0B">
      <w:pPr>
        <w:pStyle w:val="Text"/>
        <w:keepNext/>
        <w:widowControl w:val="0"/>
        <w:spacing w:before="0"/>
        <w:jc w:val="left"/>
        <w:rPr>
          <w:color w:val="000000"/>
          <w:sz w:val="22"/>
          <w:szCs w:val="22"/>
          <w:lang w:val="fi-FI"/>
        </w:rPr>
      </w:pPr>
    </w:p>
    <w:p w14:paraId="586FD09B" w14:textId="77777777" w:rsidR="0076444C" w:rsidRDefault="0076444C" w:rsidP="00774A0B">
      <w:pPr>
        <w:pStyle w:val="Text"/>
        <w:keepNext/>
        <w:widowControl w:val="0"/>
        <w:spacing w:before="0"/>
        <w:jc w:val="left"/>
        <w:rPr>
          <w:b/>
          <w:bCs/>
          <w:color w:val="000000"/>
          <w:sz w:val="22"/>
          <w:szCs w:val="22"/>
          <w:lang w:val="fi-FI"/>
        </w:rPr>
      </w:pPr>
      <w:r>
        <w:rPr>
          <w:b/>
          <w:bCs/>
          <w:color w:val="000000"/>
          <w:sz w:val="22"/>
          <w:szCs w:val="22"/>
          <w:lang w:val="fi-FI"/>
        </w:rPr>
        <w:t>Glivecillä hoidetaan seuraavia aikuisilla ja lapsilla esiintyviä sairauksia:</w:t>
      </w:r>
    </w:p>
    <w:p w14:paraId="586FD09C" w14:textId="77777777" w:rsidR="0076444C" w:rsidRDefault="0076444C" w:rsidP="00774A0B">
      <w:pPr>
        <w:pStyle w:val="Text"/>
        <w:keepNext/>
        <w:widowControl w:val="0"/>
        <w:spacing w:before="0"/>
        <w:jc w:val="left"/>
        <w:rPr>
          <w:color w:val="000000"/>
          <w:sz w:val="22"/>
          <w:szCs w:val="22"/>
          <w:lang w:val="fi-FI"/>
        </w:rPr>
      </w:pPr>
    </w:p>
    <w:p w14:paraId="586FD09D" w14:textId="77777777" w:rsidR="0076444C" w:rsidRDefault="0076444C" w:rsidP="0076444C">
      <w:pPr>
        <w:pStyle w:val="Text"/>
        <w:widowControl w:val="0"/>
        <w:numPr>
          <w:ilvl w:val="0"/>
          <w:numId w:val="18"/>
        </w:numPr>
        <w:tabs>
          <w:tab w:val="clear" w:pos="454"/>
        </w:tabs>
        <w:spacing w:before="0"/>
        <w:ind w:left="567" w:hanging="567"/>
        <w:jc w:val="left"/>
        <w:rPr>
          <w:color w:val="000000"/>
          <w:sz w:val="22"/>
          <w:szCs w:val="22"/>
          <w:lang w:val="fi-FI"/>
        </w:rPr>
      </w:pPr>
      <w:r>
        <w:rPr>
          <w:b/>
          <w:bCs/>
          <w:color w:val="000000"/>
          <w:sz w:val="22"/>
          <w:szCs w:val="22"/>
          <w:lang w:val="fi-FI"/>
        </w:rPr>
        <w:t>Krooninen myelooinen leukemia.</w:t>
      </w:r>
      <w:r>
        <w:rPr>
          <w:color w:val="000000"/>
          <w:sz w:val="22"/>
          <w:szCs w:val="22"/>
          <w:lang w:val="fi-FI"/>
        </w:rPr>
        <w:t xml:space="preserve"> Leukemia on veren valkosolujen syöpä. Normaalisti valkosolut auttavat elimistöä torjumaan infektioita. Krooninen myelooinen leukemia on leukemian muoto, jossa tietyt poikkeavat valkosolut (myelosyytit) alkavat kasvaa hallitsemattomasti.</w:t>
      </w:r>
    </w:p>
    <w:p w14:paraId="586FD09E" w14:textId="77777777" w:rsidR="00E35343" w:rsidRDefault="00E35343" w:rsidP="00E35343">
      <w:pPr>
        <w:pStyle w:val="Text"/>
        <w:widowControl w:val="0"/>
        <w:numPr>
          <w:ilvl w:val="0"/>
          <w:numId w:val="18"/>
        </w:numPr>
        <w:tabs>
          <w:tab w:val="clear" w:pos="454"/>
        </w:tabs>
        <w:spacing w:before="0"/>
        <w:ind w:left="567" w:hanging="567"/>
        <w:jc w:val="left"/>
        <w:rPr>
          <w:color w:val="000000"/>
          <w:sz w:val="22"/>
          <w:szCs w:val="22"/>
          <w:lang w:val="fi-FI"/>
        </w:rPr>
      </w:pPr>
      <w:r>
        <w:rPr>
          <w:b/>
          <w:bCs/>
          <w:sz w:val="22"/>
          <w:szCs w:val="22"/>
          <w:lang w:val="fi-FI"/>
        </w:rPr>
        <w:t>Philadelphia-kromosomipositiivinen akuutti lymfaattinen leukemia (Ph+ ALL).</w:t>
      </w:r>
      <w:r>
        <w:rPr>
          <w:color w:val="000000"/>
          <w:sz w:val="22"/>
          <w:szCs w:val="22"/>
          <w:lang w:val="fi-FI"/>
        </w:rPr>
        <w:t xml:space="preserve"> Leukemia on veren valkosolujen syöpä. Normaalisti valkosolut auttavat elimistöä torjumaan infektioita. Akuutti lymfaattinen leukemia on leukemian muoto, jossa tietyt poikkeavat valkosolut (lymfoblastit) alkavat kasvaa hallitsemattomasti. Glivec estää näiden solujen kasvua.</w:t>
      </w:r>
    </w:p>
    <w:p w14:paraId="586FD09F" w14:textId="77777777" w:rsidR="0076444C" w:rsidRDefault="0076444C" w:rsidP="0076444C">
      <w:pPr>
        <w:pStyle w:val="Text"/>
        <w:widowControl w:val="0"/>
        <w:spacing w:before="0"/>
        <w:jc w:val="left"/>
        <w:rPr>
          <w:color w:val="000000"/>
          <w:sz w:val="22"/>
          <w:szCs w:val="22"/>
          <w:lang w:val="fi-FI"/>
        </w:rPr>
      </w:pPr>
    </w:p>
    <w:p w14:paraId="586FD0A0" w14:textId="77777777" w:rsidR="0076444C" w:rsidRDefault="0076444C" w:rsidP="00774A0B">
      <w:pPr>
        <w:pStyle w:val="Text"/>
        <w:keepNext/>
        <w:widowControl w:val="0"/>
        <w:spacing w:before="0"/>
        <w:jc w:val="left"/>
        <w:rPr>
          <w:b/>
          <w:bCs/>
          <w:color w:val="000000"/>
          <w:sz w:val="22"/>
          <w:szCs w:val="22"/>
          <w:lang w:val="fi-FI"/>
        </w:rPr>
      </w:pPr>
      <w:r>
        <w:rPr>
          <w:b/>
          <w:bCs/>
          <w:color w:val="000000"/>
          <w:sz w:val="22"/>
          <w:szCs w:val="22"/>
          <w:lang w:val="fi-FI"/>
        </w:rPr>
        <w:t>Gliveciä käytetään myös seuraavan sairauden hoitoon aikuisilla:</w:t>
      </w:r>
    </w:p>
    <w:p w14:paraId="586FD0A1" w14:textId="77777777" w:rsidR="0076444C" w:rsidRDefault="0076444C" w:rsidP="00774A0B">
      <w:pPr>
        <w:pStyle w:val="Text"/>
        <w:keepNext/>
        <w:widowControl w:val="0"/>
        <w:spacing w:before="0"/>
        <w:jc w:val="left"/>
        <w:rPr>
          <w:color w:val="000000"/>
          <w:sz w:val="22"/>
          <w:szCs w:val="22"/>
          <w:lang w:val="fi-FI"/>
        </w:rPr>
      </w:pPr>
    </w:p>
    <w:p w14:paraId="586FD0A2" w14:textId="77777777" w:rsidR="0076444C" w:rsidRDefault="0076444C" w:rsidP="0076444C">
      <w:pPr>
        <w:pStyle w:val="Text"/>
        <w:widowControl w:val="0"/>
        <w:numPr>
          <w:ilvl w:val="0"/>
          <w:numId w:val="18"/>
        </w:numPr>
        <w:tabs>
          <w:tab w:val="clear" w:pos="454"/>
        </w:tabs>
        <w:spacing w:before="0"/>
        <w:ind w:left="567" w:hanging="567"/>
        <w:jc w:val="left"/>
        <w:rPr>
          <w:color w:val="000000"/>
          <w:sz w:val="22"/>
          <w:szCs w:val="22"/>
          <w:lang w:val="fi-FI"/>
        </w:rPr>
      </w:pPr>
      <w:r>
        <w:rPr>
          <w:b/>
          <w:bCs/>
          <w:sz w:val="22"/>
          <w:szCs w:val="22"/>
          <w:lang w:val="fi-FI"/>
        </w:rPr>
        <w:t>Myelodysplastinen oireyhtymä tai myeloproliferatiivinen sairaus (MDS/MPD).</w:t>
      </w:r>
      <w:r>
        <w:rPr>
          <w:color w:val="000000"/>
          <w:sz w:val="22"/>
          <w:szCs w:val="22"/>
          <w:lang w:val="fi-FI"/>
        </w:rPr>
        <w:t xml:space="preserve"> Nämä ovat verisairauksia, joissa jotkut verisolut alkavat kasvaa hallitsemattomasti. Glivec estää näiden solujen kasvua tautien tietyissä alatyypeissä.</w:t>
      </w:r>
    </w:p>
    <w:p w14:paraId="586FD0A3" w14:textId="77777777" w:rsidR="0076444C" w:rsidRDefault="0076444C" w:rsidP="0076444C">
      <w:pPr>
        <w:pStyle w:val="Text"/>
        <w:widowControl w:val="0"/>
        <w:numPr>
          <w:ilvl w:val="0"/>
          <w:numId w:val="18"/>
        </w:numPr>
        <w:tabs>
          <w:tab w:val="clear" w:pos="454"/>
        </w:tabs>
        <w:spacing w:before="0"/>
        <w:ind w:left="567" w:hanging="567"/>
        <w:jc w:val="left"/>
        <w:rPr>
          <w:color w:val="000000"/>
          <w:sz w:val="22"/>
          <w:szCs w:val="22"/>
          <w:lang w:val="fi-FI"/>
        </w:rPr>
      </w:pPr>
      <w:r>
        <w:rPr>
          <w:b/>
          <w:bCs/>
          <w:sz w:val="22"/>
          <w:szCs w:val="22"/>
          <w:lang w:val="fi-FI"/>
        </w:rPr>
        <w:t>Hypereosinofiilinen oireyhtymä (HES) ja/tai krooninen eosinofiilinen leukemia (CEL).</w:t>
      </w:r>
      <w:r>
        <w:rPr>
          <w:color w:val="000000"/>
          <w:sz w:val="22"/>
          <w:szCs w:val="22"/>
          <w:lang w:val="fi-FI"/>
        </w:rPr>
        <w:t xml:space="preserve"> Nämä ovat veritauteja, joissa tietyt verisolut (eosinofiilit) alkavat kasvaa hallitsemattomasti. Glivec estää näiden solujen kasvua tautien tietyissä alatyypeissä.</w:t>
      </w:r>
    </w:p>
    <w:p w14:paraId="586FD0A4" w14:textId="77777777" w:rsidR="0076444C" w:rsidRDefault="0076444C" w:rsidP="0076444C">
      <w:pPr>
        <w:pStyle w:val="Text"/>
        <w:widowControl w:val="0"/>
        <w:numPr>
          <w:ilvl w:val="0"/>
          <w:numId w:val="18"/>
        </w:numPr>
        <w:tabs>
          <w:tab w:val="clear" w:pos="454"/>
        </w:tabs>
        <w:spacing w:before="0"/>
        <w:ind w:left="567" w:hanging="567"/>
        <w:jc w:val="left"/>
        <w:rPr>
          <w:color w:val="000000"/>
          <w:sz w:val="22"/>
          <w:szCs w:val="22"/>
          <w:lang w:val="fi-FI"/>
        </w:rPr>
      </w:pPr>
      <w:r>
        <w:rPr>
          <w:b/>
          <w:bCs/>
          <w:sz w:val="22"/>
          <w:szCs w:val="22"/>
          <w:lang w:val="fi-FI"/>
        </w:rPr>
        <w:t>Pahanlaatuiset ruuansulatuskanavan tukikudosten kasvaimet (GIST).</w:t>
      </w:r>
      <w:r>
        <w:rPr>
          <w:color w:val="000000"/>
          <w:sz w:val="22"/>
          <w:szCs w:val="22"/>
          <w:lang w:val="fi-FI"/>
        </w:rPr>
        <w:t xml:space="preserve"> GIST aiheutuu mahan ja suoliston tukikudosten solujen hallitsemattomasta kasvusta.</w:t>
      </w:r>
    </w:p>
    <w:p w14:paraId="586FD0A5" w14:textId="77777777" w:rsidR="0076444C" w:rsidRDefault="0076444C" w:rsidP="00774A0B">
      <w:pPr>
        <w:pStyle w:val="Text"/>
        <w:keepNext/>
        <w:keepLines/>
        <w:widowControl w:val="0"/>
        <w:numPr>
          <w:ilvl w:val="0"/>
          <w:numId w:val="18"/>
        </w:numPr>
        <w:tabs>
          <w:tab w:val="clear" w:pos="454"/>
        </w:tabs>
        <w:spacing w:before="0"/>
        <w:ind w:left="567" w:hanging="567"/>
        <w:jc w:val="left"/>
        <w:rPr>
          <w:color w:val="000000"/>
          <w:sz w:val="22"/>
          <w:szCs w:val="22"/>
          <w:lang w:val="fi-FI"/>
        </w:rPr>
      </w:pPr>
      <w:r>
        <w:rPr>
          <w:b/>
          <w:bCs/>
          <w:color w:val="000000"/>
          <w:sz w:val="22"/>
          <w:szCs w:val="22"/>
          <w:lang w:val="fi-FI"/>
        </w:rPr>
        <w:lastRenderedPageBreak/>
        <w:t>Dermatofibrosarcoma protuberans (DFSP).</w:t>
      </w:r>
      <w:r>
        <w:rPr>
          <w:color w:val="000000"/>
          <w:sz w:val="22"/>
          <w:szCs w:val="22"/>
          <w:lang w:val="fi-FI"/>
        </w:rPr>
        <w:t xml:space="preserve"> DFSP on ihonalaiskudoksen syöpä, jossa tietyntyyppiset solut alkavat kasvaa hallitsemattomasti. Glivec estää näiden solujen kasvua.</w:t>
      </w:r>
    </w:p>
    <w:p w14:paraId="586FD0A6" w14:textId="77777777" w:rsidR="0076444C" w:rsidRDefault="0076444C" w:rsidP="0076444C">
      <w:pPr>
        <w:pStyle w:val="Text"/>
        <w:widowControl w:val="0"/>
        <w:spacing w:before="0"/>
        <w:jc w:val="left"/>
        <w:rPr>
          <w:color w:val="000000"/>
          <w:sz w:val="22"/>
          <w:szCs w:val="22"/>
          <w:lang w:val="fi-FI"/>
        </w:rPr>
      </w:pPr>
      <w:r>
        <w:rPr>
          <w:color w:val="000000"/>
          <w:sz w:val="22"/>
          <w:szCs w:val="22"/>
          <w:lang w:val="fi-FI"/>
        </w:rPr>
        <w:t>Jäljempänä tässä selosteessa käytetään lyhenteitä näistä sairauksista.</w:t>
      </w:r>
    </w:p>
    <w:p w14:paraId="586FD0A7" w14:textId="77777777" w:rsidR="0076444C" w:rsidRDefault="0076444C" w:rsidP="0076444C">
      <w:pPr>
        <w:pStyle w:val="Text"/>
        <w:widowControl w:val="0"/>
        <w:spacing w:before="0"/>
        <w:jc w:val="left"/>
        <w:rPr>
          <w:color w:val="000000"/>
          <w:sz w:val="22"/>
          <w:szCs w:val="22"/>
          <w:lang w:val="fi-FI"/>
        </w:rPr>
      </w:pPr>
    </w:p>
    <w:p w14:paraId="586FD0A8" w14:textId="77777777" w:rsidR="0076444C" w:rsidRDefault="0076444C" w:rsidP="0076444C">
      <w:pPr>
        <w:pStyle w:val="Text"/>
        <w:widowControl w:val="0"/>
        <w:spacing w:before="0"/>
        <w:jc w:val="left"/>
        <w:rPr>
          <w:color w:val="000000"/>
          <w:sz w:val="22"/>
          <w:szCs w:val="22"/>
          <w:lang w:val="fi-FI"/>
        </w:rPr>
      </w:pPr>
      <w:r>
        <w:rPr>
          <w:color w:val="000000"/>
          <w:sz w:val="22"/>
          <w:szCs w:val="22"/>
          <w:lang w:val="fi-FI"/>
        </w:rPr>
        <w:t>Jos sinulla on kysymyksiä siitä, miten Glivec toimii tai miksi sinulle on määrätty tätä lääkettä, käänny lääkärisi puoleen.</w:t>
      </w:r>
    </w:p>
    <w:p w14:paraId="586FD0A9" w14:textId="77777777" w:rsidR="0076444C" w:rsidRDefault="0076444C" w:rsidP="0076444C">
      <w:pPr>
        <w:pStyle w:val="EndnoteText"/>
        <w:widowControl w:val="0"/>
        <w:tabs>
          <w:tab w:val="clear" w:pos="567"/>
        </w:tabs>
        <w:rPr>
          <w:color w:val="000000"/>
          <w:szCs w:val="22"/>
          <w:lang w:val="fi-FI"/>
        </w:rPr>
      </w:pPr>
    </w:p>
    <w:p w14:paraId="586FD0AA" w14:textId="77777777" w:rsidR="0076444C" w:rsidRDefault="0076444C" w:rsidP="0076444C">
      <w:pPr>
        <w:pStyle w:val="EndnoteText"/>
        <w:widowControl w:val="0"/>
        <w:tabs>
          <w:tab w:val="clear" w:pos="567"/>
        </w:tabs>
        <w:rPr>
          <w:color w:val="000000"/>
          <w:szCs w:val="22"/>
          <w:lang w:val="fi-FI"/>
        </w:rPr>
      </w:pPr>
    </w:p>
    <w:p w14:paraId="586FD0AB" w14:textId="77777777" w:rsidR="0076444C" w:rsidRDefault="0076444C" w:rsidP="0076444C">
      <w:pPr>
        <w:keepNext/>
        <w:widowControl w:val="0"/>
        <w:ind w:left="567" w:hanging="567"/>
        <w:rPr>
          <w:rFonts w:ascii="Times New Roman" w:hAnsi="Times New Roman"/>
          <w:sz w:val="22"/>
          <w:szCs w:val="22"/>
        </w:rPr>
      </w:pPr>
      <w:r>
        <w:rPr>
          <w:rFonts w:ascii="Times New Roman" w:hAnsi="Times New Roman"/>
          <w:b/>
          <w:sz w:val="22"/>
          <w:szCs w:val="22"/>
        </w:rPr>
        <w:t>2.</w:t>
      </w:r>
      <w:r>
        <w:rPr>
          <w:rFonts w:ascii="Times New Roman" w:hAnsi="Times New Roman"/>
          <w:b/>
          <w:sz w:val="22"/>
          <w:szCs w:val="22"/>
        </w:rPr>
        <w:tab/>
        <w:t>Mitä sinun on tiedettävä, ennen kuin käytät Gliveciä</w:t>
      </w:r>
    </w:p>
    <w:p w14:paraId="586FD0AC" w14:textId="77777777" w:rsidR="0076444C" w:rsidRDefault="0076444C" w:rsidP="0076444C">
      <w:pPr>
        <w:keepNext/>
        <w:widowControl w:val="0"/>
        <w:rPr>
          <w:rFonts w:ascii="Times New Roman" w:hAnsi="Times New Roman"/>
          <w:sz w:val="22"/>
          <w:szCs w:val="22"/>
        </w:rPr>
      </w:pPr>
    </w:p>
    <w:p w14:paraId="586FD0AD" w14:textId="77777777" w:rsidR="0076444C" w:rsidRDefault="0076444C" w:rsidP="0076444C">
      <w:pPr>
        <w:pStyle w:val="EndnoteText"/>
        <w:widowControl w:val="0"/>
        <w:tabs>
          <w:tab w:val="clear" w:pos="567"/>
        </w:tabs>
        <w:rPr>
          <w:color w:val="000000"/>
          <w:szCs w:val="22"/>
          <w:lang w:val="fi-FI"/>
        </w:rPr>
      </w:pPr>
      <w:r>
        <w:rPr>
          <w:color w:val="000000"/>
          <w:szCs w:val="22"/>
          <w:lang w:val="fi-FI"/>
        </w:rPr>
        <w:t>Ainoastaan verisyöpien tai kiinteiden kasvainten lääkehoitoon perehtynyt lääkäri voi määrätä sinulle Gliveciä.</w:t>
      </w:r>
    </w:p>
    <w:p w14:paraId="586FD0AE" w14:textId="77777777" w:rsidR="0076444C" w:rsidRDefault="0076444C" w:rsidP="0076444C">
      <w:pPr>
        <w:widowControl w:val="0"/>
        <w:ind w:right="-2"/>
        <w:rPr>
          <w:rFonts w:ascii="Times New Roman" w:hAnsi="Times New Roman"/>
          <w:sz w:val="22"/>
          <w:szCs w:val="22"/>
        </w:rPr>
      </w:pPr>
    </w:p>
    <w:p w14:paraId="586FD0AF" w14:textId="77777777" w:rsidR="0076444C" w:rsidRDefault="0076444C" w:rsidP="0076444C">
      <w:pPr>
        <w:widowControl w:val="0"/>
        <w:ind w:right="-2"/>
        <w:rPr>
          <w:rFonts w:ascii="Times New Roman" w:hAnsi="Times New Roman"/>
          <w:sz w:val="22"/>
          <w:szCs w:val="22"/>
        </w:rPr>
      </w:pPr>
      <w:r>
        <w:rPr>
          <w:rFonts w:ascii="Times New Roman" w:hAnsi="Times New Roman"/>
          <w:sz w:val="22"/>
          <w:szCs w:val="22"/>
        </w:rPr>
        <w:t>Noudata tarkasti kaikkia lääkäriltäsi saamiasi ohjeita vaikka ne eroaisivat tässä pakkausselosteessa annetuista yleisistä ohjeista.</w:t>
      </w:r>
    </w:p>
    <w:p w14:paraId="586FD0B0" w14:textId="77777777" w:rsidR="0076444C" w:rsidRDefault="0076444C" w:rsidP="0076444C">
      <w:pPr>
        <w:widowControl w:val="0"/>
        <w:ind w:right="-2"/>
        <w:rPr>
          <w:rFonts w:ascii="Times New Roman" w:hAnsi="Times New Roman"/>
          <w:sz w:val="22"/>
          <w:szCs w:val="22"/>
        </w:rPr>
      </w:pPr>
    </w:p>
    <w:p w14:paraId="586FD0B1" w14:textId="77777777" w:rsidR="0076444C" w:rsidRDefault="0076444C" w:rsidP="0076444C">
      <w:pPr>
        <w:keepNext/>
        <w:widowControl w:val="0"/>
        <w:rPr>
          <w:rFonts w:ascii="Times New Roman" w:hAnsi="Times New Roman"/>
          <w:sz w:val="22"/>
          <w:szCs w:val="22"/>
        </w:rPr>
      </w:pPr>
      <w:r>
        <w:rPr>
          <w:rFonts w:ascii="Times New Roman" w:hAnsi="Times New Roman"/>
          <w:b/>
          <w:sz w:val="22"/>
          <w:szCs w:val="22"/>
        </w:rPr>
        <w:t>Älä käytä Gliveciä</w:t>
      </w:r>
    </w:p>
    <w:p w14:paraId="586FD0B2" w14:textId="77777777" w:rsidR="0076444C" w:rsidRDefault="0076444C" w:rsidP="00774A0B">
      <w:pPr>
        <w:keepNext/>
        <w:widowControl w:val="0"/>
        <w:ind w:left="567" w:right="-2" w:hanging="567"/>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ab/>
        <w:t>jos olet allerginen imatinibille tai tämän lääkkeen jollekin muulle aineelle (lueteltu kohdassa 6).</w:t>
      </w:r>
    </w:p>
    <w:p w14:paraId="586FD0B3" w14:textId="77777777" w:rsidR="0076444C" w:rsidRDefault="0076444C" w:rsidP="0076444C">
      <w:pPr>
        <w:widowControl w:val="0"/>
        <w:ind w:left="567" w:right="-2" w:hanging="567"/>
        <w:rPr>
          <w:rFonts w:ascii="Times New Roman" w:hAnsi="Times New Roman"/>
          <w:b/>
          <w:sz w:val="22"/>
          <w:szCs w:val="22"/>
        </w:rPr>
      </w:pPr>
      <w:r>
        <w:rPr>
          <w:rFonts w:ascii="Times New Roman" w:hAnsi="Times New Roman"/>
          <w:sz w:val="22"/>
          <w:szCs w:val="22"/>
        </w:rPr>
        <w:t xml:space="preserve">Jos tämä koskee sinua, </w:t>
      </w:r>
      <w:r>
        <w:rPr>
          <w:rFonts w:ascii="Times New Roman" w:hAnsi="Times New Roman"/>
          <w:b/>
          <w:sz w:val="22"/>
          <w:szCs w:val="22"/>
        </w:rPr>
        <w:t>kerro lääkärillesi äläkä ota Gliveciä.</w:t>
      </w:r>
    </w:p>
    <w:p w14:paraId="586FD0B4" w14:textId="77777777" w:rsidR="0076444C" w:rsidRDefault="0076444C" w:rsidP="0076444C">
      <w:pPr>
        <w:widowControl w:val="0"/>
        <w:ind w:left="567" w:right="-2" w:hanging="567"/>
        <w:rPr>
          <w:rFonts w:ascii="Times New Roman" w:hAnsi="Times New Roman"/>
          <w:sz w:val="22"/>
          <w:szCs w:val="22"/>
        </w:rPr>
      </w:pPr>
    </w:p>
    <w:p w14:paraId="586FD0B5" w14:textId="77777777" w:rsidR="0076444C" w:rsidRDefault="0076444C" w:rsidP="0076444C">
      <w:pPr>
        <w:widowControl w:val="0"/>
        <w:ind w:left="567" w:right="-2" w:hanging="567"/>
        <w:rPr>
          <w:rFonts w:ascii="Times New Roman" w:hAnsi="Times New Roman"/>
          <w:sz w:val="22"/>
          <w:szCs w:val="22"/>
        </w:rPr>
      </w:pPr>
      <w:r>
        <w:rPr>
          <w:rFonts w:ascii="Times New Roman" w:hAnsi="Times New Roman"/>
          <w:sz w:val="22"/>
          <w:szCs w:val="22"/>
        </w:rPr>
        <w:t>Jos epäilet olevasi allerginen, mutta et ole varma asiasta, kysy neuvoa lääkäriltäsi.</w:t>
      </w:r>
    </w:p>
    <w:p w14:paraId="586FD0B6" w14:textId="77777777" w:rsidR="0076444C" w:rsidRDefault="0076444C" w:rsidP="0076444C">
      <w:pPr>
        <w:widowControl w:val="0"/>
        <w:ind w:right="-2"/>
        <w:rPr>
          <w:rFonts w:ascii="Times New Roman" w:hAnsi="Times New Roman"/>
          <w:sz w:val="22"/>
          <w:szCs w:val="22"/>
        </w:rPr>
      </w:pPr>
    </w:p>
    <w:p w14:paraId="586FD0B7" w14:textId="77777777" w:rsidR="0076444C" w:rsidRDefault="0076444C" w:rsidP="00774A0B">
      <w:pPr>
        <w:keepNext/>
        <w:widowControl w:val="0"/>
        <w:ind w:right="-2"/>
        <w:rPr>
          <w:rFonts w:ascii="Times New Roman" w:hAnsi="Times New Roman"/>
          <w:b/>
          <w:sz w:val="22"/>
          <w:szCs w:val="22"/>
        </w:rPr>
      </w:pPr>
      <w:r>
        <w:rPr>
          <w:rFonts w:ascii="Times New Roman" w:hAnsi="Times New Roman"/>
          <w:b/>
          <w:sz w:val="22"/>
          <w:szCs w:val="22"/>
        </w:rPr>
        <w:t>Varoitukset ja varotoimet</w:t>
      </w:r>
    </w:p>
    <w:p w14:paraId="586FD0B8" w14:textId="77777777" w:rsidR="0076444C" w:rsidRDefault="0076444C" w:rsidP="00774A0B">
      <w:pPr>
        <w:keepNext/>
        <w:widowControl w:val="0"/>
        <w:ind w:right="-2"/>
        <w:rPr>
          <w:rFonts w:ascii="Times New Roman" w:hAnsi="Times New Roman"/>
          <w:sz w:val="22"/>
          <w:szCs w:val="22"/>
        </w:rPr>
      </w:pPr>
      <w:r>
        <w:rPr>
          <w:rFonts w:ascii="Times New Roman" w:hAnsi="Times New Roman"/>
          <w:sz w:val="22"/>
          <w:szCs w:val="22"/>
        </w:rPr>
        <w:t>Keskustele lääkärin kanssa ennen kuin otat Gliveciä:</w:t>
      </w:r>
    </w:p>
    <w:p w14:paraId="586FD0B9" w14:textId="77777777" w:rsidR="0076444C" w:rsidRDefault="0076444C" w:rsidP="0076444C">
      <w:pPr>
        <w:pStyle w:val="BodyTextIndent"/>
        <w:widowControl w:val="0"/>
        <w:numPr>
          <w:ilvl w:val="0"/>
          <w:numId w:val="15"/>
        </w:numPr>
        <w:tabs>
          <w:tab w:val="clear" w:pos="927"/>
        </w:tabs>
        <w:ind w:left="567" w:hanging="567"/>
        <w:rPr>
          <w:szCs w:val="22"/>
        </w:rPr>
      </w:pPr>
      <w:r>
        <w:rPr>
          <w:szCs w:val="22"/>
        </w:rPr>
        <w:t>jos sinulla on tai on joskus ollut häiriöitä maksan, munuaisten tai sydämen toiminnassa.</w:t>
      </w:r>
    </w:p>
    <w:p w14:paraId="586FD0BA" w14:textId="77777777" w:rsidR="0076444C" w:rsidRDefault="0076444C" w:rsidP="0076444C">
      <w:pPr>
        <w:pStyle w:val="BodyTextIndent"/>
        <w:widowControl w:val="0"/>
        <w:numPr>
          <w:ilvl w:val="0"/>
          <w:numId w:val="15"/>
        </w:numPr>
        <w:tabs>
          <w:tab w:val="clear" w:pos="927"/>
        </w:tabs>
        <w:ind w:left="567" w:hanging="567"/>
        <w:rPr>
          <w:szCs w:val="22"/>
        </w:rPr>
      </w:pPr>
      <w:r>
        <w:rPr>
          <w:szCs w:val="22"/>
        </w:rPr>
        <w:t>jos saat levotyroksiinilääkitystä, koska kilpirauhasesi on poistettu.</w:t>
      </w:r>
    </w:p>
    <w:p w14:paraId="586FD0BB" w14:textId="77777777" w:rsidR="00657A19" w:rsidRDefault="00657A19" w:rsidP="00657A19">
      <w:pPr>
        <w:pStyle w:val="BodyTextIndent"/>
        <w:widowControl w:val="0"/>
        <w:numPr>
          <w:ilvl w:val="0"/>
          <w:numId w:val="15"/>
        </w:numPr>
        <w:tabs>
          <w:tab w:val="clear" w:pos="927"/>
          <w:tab w:val="num" w:pos="567"/>
        </w:tabs>
        <w:ind w:left="567" w:hanging="567"/>
        <w:rPr>
          <w:szCs w:val="22"/>
        </w:rPr>
      </w:pPr>
      <w:r w:rsidRPr="00D51425">
        <w:rPr>
          <w:szCs w:val="22"/>
        </w:rPr>
        <w:t xml:space="preserve">jos sinulla on joskus ollut tai sinulla saattaa olla hepatiitti B -infektio. </w:t>
      </w:r>
      <w:r>
        <w:rPr>
          <w:szCs w:val="22"/>
        </w:rPr>
        <w:t xml:space="preserve">Glivec </w:t>
      </w:r>
      <w:r w:rsidRPr="00D51425">
        <w:rPr>
          <w:szCs w:val="22"/>
        </w:rPr>
        <w:t>voi aktivoida hepatiitti B:n uudelleen, mikä voi johtaa joissakin tapauksissa kuolemaan. Lääkäri tutkii potilaan huolellisesti tämän infektion oireiden varalta ennen hoidon aloittamista.</w:t>
      </w:r>
    </w:p>
    <w:p w14:paraId="586FD0BC" w14:textId="77777777" w:rsidR="002B0CBF" w:rsidRDefault="002B0CBF" w:rsidP="00774A0B">
      <w:pPr>
        <w:pStyle w:val="BodyTextIndent"/>
        <w:keepNext/>
        <w:widowControl w:val="0"/>
        <w:numPr>
          <w:ilvl w:val="0"/>
          <w:numId w:val="15"/>
        </w:numPr>
        <w:tabs>
          <w:tab w:val="clear" w:pos="927"/>
          <w:tab w:val="num" w:pos="567"/>
        </w:tabs>
        <w:ind w:left="567" w:hanging="567"/>
        <w:rPr>
          <w:szCs w:val="22"/>
        </w:rPr>
      </w:pPr>
      <w:r w:rsidRPr="001E518D">
        <w:t>jos sinulla esiintyy mustelmanmuodostusta, verenvuotoa, kuumetta, väsymystä ja sekavuutta Glivec-hoidon aikana, ota yhteys lääkäriin. Tämä saattaa olla merkki verisuonivauriosta, jota kutsutaan tromboottiseksi mikroangiopatiaksi.</w:t>
      </w:r>
    </w:p>
    <w:p w14:paraId="586FD0BD" w14:textId="77777777" w:rsidR="0076444C" w:rsidRDefault="0076444C" w:rsidP="0076444C">
      <w:pPr>
        <w:pStyle w:val="EndnoteText"/>
        <w:widowControl w:val="0"/>
        <w:tabs>
          <w:tab w:val="clear" w:pos="567"/>
        </w:tabs>
        <w:rPr>
          <w:color w:val="000000"/>
          <w:szCs w:val="22"/>
          <w:lang w:val="fi-FI"/>
        </w:rPr>
      </w:pPr>
      <w:r>
        <w:rPr>
          <w:color w:val="000000"/>
          <w:szCs w:val="22"/>
          <w:lang w:val="fi-FI"/>
        </w:rPr>
        <w:t xml:space="preserve">Mikäli jokin edellämainituista seikoista koskee sinua, </w:t>
      </w:r>
      <w:r>
        <w:rPr>
          <w:b/>
          <w:color w:val="000000"/>
          <w:szCs w:val="22"/>
          <w:lang w:val="fi-FI"/>
        </w:rPr>
        <w:t>kerro asiasta lääkärillesi ennen Glivecin käyttämistä.</w:t>
      </w:r>
    </w:p>
    <w:p w14:paraId="586FD0BE" w14:textId="77777777" w:rsidR="00A2178D" w:rsidRDefault="00A2178D" w:rsidP="00A2178D">
      <w:pPr>
        <w:pStyle w:val="EndnoteText"/>
        <w:widowControl w:val="0"/>
        <w:tabs>
          <w:tab w:val="clear" w:pos="567"/>
        </w:tabs>
        <w:rPr>
          <w:color w:val="000000"/>
          <w:szCs w:val="22"/>
          <w:lang w:val="fi-FI"/>
        </w:rPr>
      </w:pPr>
    </w:p>
    <w:p w14:paraId="586FD0BF" w14:textId="77777777" w:rsidR="00A2178D" w:rsidRDefault="00A2178D" w:rsidP="00A2178D">
      <w:pPr>
        <w:pStyle w:val="EndnoteText"/>
        <w:widowControl w:val="0"/>
        <w:tabs>
          <w:tab w:val="clear" w:pos="567"/>
        </w:tabs>
        <w:rPr>
          <w:color w:val="000000"/>
          <w:szCs w:val="22"/>
          <w:lang w:val="fi-FI"/>
        </w:rPr>
      </w:pPr>
      <w:r>
        <w:rPr>
          <w:color w:val="000000"/>
          <w:szCs w:val="22"/>
          <w:lang w:val="fi-FI"/>
        </w:rPr>
        <w:t>Saatat tulla entistä herkemmäksi auringonvalolle Glivec-hoidon aikana. On tärkeää peittää ihoalueet jotka altistuvat auringonvalolle ja käyttää aurinkosuojaa, jossa on korkea suojakerroin (SPF). Nämä varotoimet koskevat myös lapsia.</w:t>
      </w:r>
    </w:p>
    <w:p w14:paraId="586FD0C0" w14:textId="77777777" w:rsidR="0076444C" w:rsidRDefault="0076444C" w:rsidP="0076444C">
      <w:pPr>
        <w:pStyle w:val="EndnoteText"/>
        <w:widowControl w:val="0"/>
        <w:tabs>
          <w:tab w:val="clear" w:pos="567"/>
        </w:tabs>
        <w:rPr>
          <w:color w:val="000000"/>
          <w:szCs w:val="22"/>
          <w:lang w:val="fi-FI"/>
        </w:rPr>
      </w:pPr>
    </w:p>
    <w:p w14:paraId="586FD0C1" w14:textId="77777777" w:rsidR="0076444C" w:rsidRDefault="0076444C" w:rsidP="0076444C">
      <w:pPr>
        <w:pStyle w:val="EndnoteText"/>
        <w:widowControl w:val="0"/>
        <w:tabs>
          <w:tab w:val="clear" w:pos="567"/>
        </w:tabs>
        <w:rPr>
          <w:color w:val="000000"/>
          <w:szCs w:val="22"/>
          <w:lang w:val="fi-FI"/>
        </w:rPr>
      </w:pPr>
      <w:r>
        <w:rPr>
          <w:color w:val="000000"/>
          <w:szCs w:val="22"/>
          <w:lang w:val="fi-FI"/>
        </w:rPr>
        <w:t xml:space="preserve">Jos painosi nousee hyvin nopeasti </w:t>
      </w:r>
      <w:r>
        <w:rPr>
          <w:b/>
          <w:color w:val="000000"/>
          <w:szCs w:val="22"/>
          <w:lang w:val="fi-FI"/>
        </w:rPr>
        <w:t>Glivec-hoidon aikana,</w:t>
      </w:r>
      <w:r>
        <w:rPr>
          <w:color w:val="000000"/>
          <w:szCs w:val="22"/>
          <w:lang w:val="fi-FI"/>
        </w:rPr>
        <w:t xml:space="preserve"> </w:t>
      </w:r>
      <w:r>
        <w:rPr>
          <w:b/>
          <w:color w:val="000000"/>
          <w:szCs w:val="22"/>
          <w:lang w:val="fi-FI"/>
        </w:rPr>
        <w:t>kerro asiasta heti lääkärillesi</w:t>
      </w:r>
      <w:r>
        <w:rPr>
          <w:color w:val="000000"/>
          <w:szCs w:val="22"/>
          <w:lang w:val="fi-FI"/>
        </w:rPr>
        <w:t>. Glivec voi aiheuttaa nesteen kertymistä elimistöön (vaikeaa turvotusta).</w:t>
      </w:r>
    </w:p>
    <w:p w14:paraId="586FD0C2" w14:textId="77777777" w:rsidR="0076444C" w:rsidRDefault="0076444C" w:rsidP="0076444C">
      <w:pPr>
        <w:pStyle w:val="EndnoteText"/>
        <w:widowControl w:val="0"/>
        <w:tabs>
          <w:tab w:val="clear" w:pos="567"/>
        </w:tabs>
        <w:rPr>
          <w:color w:val="000000"/>
          <w:szCs w:val="22"/>
          <w:lang w:val="fi-FI"/>
        </w:rPr>
      </w:pPr>
    </w:p>
    <w:p w14:paraId="586FD0C3" w14:textId="77777777" w:rsidR="0076444C" w:rsidRDefault="0076444C" w:rsidP="0076444C">
      <w:pPr>
        <w:pStyle w:val="EndnoteText"/>
        <w:widowControl w:val="0"/>
        <w:tabs>
          <w:tab w:val="clear" w:pos="567"/>
        </w:tabs>
        <w:rPr>
          <w:color w:val="000000"/>
          <w:szCs w:val="22"/>
          <w:lang w:val="fi-FI"/>
        </w:rPr>
      </w:pPr>
      <w:r>
        <w:rPr>
          <w:color w:val="000000"/>
          <w:szCs w:val="22"/>
          <w:lang w:val="fi-FI"/>
        </w:rPr>
        <w:t>Lääkärisi seuraa Glivecin käytön aikana säännöllisesti, tehoaako lääkitys. Sinulta otetaan verikokeita ja sinut punnitaan säännöllisesti.</w:t>
      </w:r>
    </w:p>
    <w:p w14:paraId="586FD0C4" w14:textId="77777777" w:rsidR="0076444C" w:rsidRDefault="0076444C" w:rsidP="0076444C">
      <w:pPr>
        <w:pStyle w:val="EndnoteText"/>
        <w:widowControl w:val="0"/>
        <w:tabs>
          <w:tab w:val="clear" w:pos="567"/>
        </w:tabs>
        <w:rPr>
          <w:color w:val="000000"/>
          <w:szCs w:val="22"/>
          <w:lang w:val="fi-FI"/>
        </w:rPr>
      </w:pPr>
    </w:p>
    <w:p w14:paraId="586FD0C5" w14:textId="77777777" w:rsidR="0076444C" w:rsidRPr="00176737" w:rsidRDefault="0076444C" w:rsidP="0076444C">
      <w:pPr>
        <w:pStyle w:val="EndnoteText"/>
        <w:keepNext/>
        <w:widowControl w:val="0"/>
        <w:tabs>
          <w:tab w:val="clear" w:pos="567"/>
        </w:tabs>
        <w:rPr>
          <w:b/>
          <w:bCs/>
          <w:color w:val="000000"/>
          <w:szCs w:val="22"/>
          <w:lang w:val="fi-FI"/>
        </w:rPr>
      </w:pPr>
      <w:r>
        <w:rPr>
          <w:b/>
          <w:bCs/>
          <w:color w:val="000000"/>
          <w:szCs w:val="22"/>
          <w:lang w:val="fi-FI"/>
        </w:rPr>
        <w:t>Lapset ja nuoret</w:t>
      </w:r>
    </w:p>
    <w:p w14:paraId="586FD0C6" w14:textId="77777777" w:rsidR="0076444C" w:rsidRDefault="0076444C" w:rsidP="0076444C">
      <w:pPr>
        <w:pStyle w:val="EndnoteText"/>
        <w:widowControl w:val="0"/>
        <w:tabs>
          <w:tab w:val="clear" w:pos="567"/>
        </w:tabs>
        <w:rPr>
          <w:color w:val="000000"/>
          <w:szCs w:val="22"/>
          <w:lang w:val="fi-FI"/>
        </w:rPr>
      </w:pPr>
      <w:r>
        <w:rPr>
          <w:color w:val="000000"/>
          <w:szCs w:val="22"/>
          <w:lang w:val="fi-FI"/>
        </w:rPr>
        <w:t>Gliveciä käytetään myös hoitona lapsille, joilla on krooninen myelooinen leukemia. Tietoja käytöstä kroonista myelooista leukemiaa sairastaville alle 2-vuotiaille lapsille ei ole. Tietoja käytöstä Philadelphia-kromosomipositiivista akuuttia lymfaattista leukemiaa sairastaville lapsille on vähän</w:t>
      </w:r>
      <w:r w:rsidR="009F161A">
        <w:rPr>
          <w:color w:val="000000"/>
          <w:szCs w:val="22"/>
          <w:lang w:val="fi-FI"/>
        </w:rPr>
        <w:t>, ja tietoja käytöstä m</w:t>
      </w:r>
      <w:r w:rsidR="009F161A" w:rsidRPr="000B0771">
        <w:rPr>
          <w:color w:val="000000"/>
          <w:szCs w:val="22"/>
          <w:lang w:val="fi-FI"/>
        </w:rPr>
        <w:t>yelodysplasti</w:t>
      </w:r>
      <w:r w:rsidR="009F161A">
        <w:rPr>
          <w:color w:val="000000"/>
          <w:szCs w:val="22"/>
          <w:lang w:val="fi-FI"/>
        </w:rPr>
        <w:t>sta</w:t>
      </w:r>
      <w:r w:rsidR="009F161A" w:rsidRPr="000B0771">
        <w:rPr>
          <w:color w:val="000000"/>
          <w:szCs w:val="22"/>
          <w:lang w:val="fi-FI"/>
        </w:rPr>
        <w:t xml:space="preserve"> oireyhtymä</w:t>
      </w:r>
      <w:r w:rsidR="009F161A">
        <w:rPr>
          <w:color w:val="000000"/>
          <w:szCs w:val="22"/>
          <w:lang w:val="fi-FI"/>
        </w:rPr>
        <w:t>ä</w:t>
      </w:r>
      <w:r w:rsidR="009F161A" w:rsidRPr="000B0771">
        <w:rPr>
          <w:color w:val="000000"/>
          <w:szCs w:val="22"/>
          <w:lang w:val="fi-FI"/>
        </w:rPr>
        <w:t xml:space="preserve"> tai myeloproliferatiivi</w:t>
      </w:r>
      <w:r w:rsidR="009F161A">
        <w:rPr>
          <w:color w:val="000000"/>
          <w:szCs w:val="22"/>
          <w:lang w:val="fi-FI"/>
        </w:rPr>
        <w:t>sta</w:t>
      </w:r>
      <w:r w:rsidR="009F161A" w:rsidRPr="000B0771">
        <w:rPr>
          <w:color w:val="000000"/>
          <w:szCs w:val="22"/>
          <w:lang w:val="fi-FI"/>
        </w:rPr>
        <w:t xml:space="preserve"> sairau</w:t>
      </w:r>
      <w:r w:rsidR="009F161A">
        <w:rPr>
          <w:color w:val="000000"/>
          <w:szCs w:val="22"/>
          <w:lang w:val="fi-FI"/>
        </w:rPr>
        <w:t>tta,</w:t>
      </w:r>
      <w:r w:rsidR="009F161A" w:rsidRPr="000B0771">
        <w:rPr>
          <w:color w:val="000000"/>
          <w:szCs w:val="22"/>
          <w:lang w:val="fi-FI"/>
        </w:rPr>
        <w:t xml:space="preserve"> </w:t>
      </w:r>
      <w:r w:rsidR="009F161A">
        <w:rPr>
          <w:color w:val="000000"/>
          <w:szCs w:val="22"/>
          <w:lang w:val="fi-FI"/>
        </w:rPr>
        <w:t>d</w:t>
      </w:r>
      <w:r w:rsidR="009F161A" w:rsidRPr="000B0771">
        <w:rPr>
          <w:color w:val="000000"/>
          <w:szCs w:val="22"/>
          <w:lang w:val="fi-FI"/>
        </w:rPr>
        <w:t>ermatofibrosarcoma protuberans</w:t>
      </w:r>
      <w:r w:rsidR="009F161A">
        <w:rPr>
          <w:color w:val="000000"/>
          <w:szCs w:val="22"/>
          <w:lang w:val="fi-FI"/>
        </w:rPr>
        <w:t xml:space="preserve">ia, </w:t>
      </w:r>
      <w:r w:rsidR="009F161A" w:rsidRPr="00172DF9">
        <w:rPr>
          <w:bCs/>
          <w:szCs w:val="22"/>
          <w:lang w:val="fi-FI"/>
        </w:rPr>
        <w:t>pahanlaatuisia ruuansulatuskanavan tukikudosten kasvaimia</w:t>
      </w:r>
      <w:r w:rsidR="009F161A">
        <w:rPr>
          <w:color w:val="000000"/>
          <w:szCs w:val="22"/>
          <w:lang w:val="fi-FI"/>
        </w:rPr>
        <w:t>, h</w:t>
      </w:r>
      <w:r w:rsidR="009F161A" w:rsidRPr="000B0771">
        <w:rPr>
          <w:color w:val="000000"/>
          <w:szCs w:val="22"/>
          <w:lang w:val="fi-FI"/>
        </w:rPr>
        <w:t>ypereosinofiili</w:t>
      </w:r>
      <w:r w:rsidR="009F161A">
        <w:rPr>
          <w:color w:val="000000"/>
          <w:szCs w:val="22"/>
          <w:lang w:val="fi-FI"/>
        </w:rPr>
        <w:t>sta</w:t>
      </w:r>
      <w:r w:rsidR="009F161A" w:rsidRPr="000B0771">
        <w:rPr>
          <w:color w:val="000000"/>
          <w:szCs w:val="22"/>
          <w:lang w:val="fi-FI"/>
        </w:rPr>
        <w:t xml:space="preserve"> oireyhtymä</w:t>
      </w:r>
      <w:r w:rsidR="009F161A">
        <w:rPr>
          <w:color w:val="000000"/>
          <w:szCs w:val="22"/>
          <w:lang w:val="fi-FI"/>
        </w:rPr>
        <w:t>ä</w:t>
      </w:r>
      <w:r w:rsidR="009F161A" w:rsidRPr="000B0771">
        <w:rPr>
          <w:color w:val="000000"/>
          <w:szCs w:val="22"/>
          <w:lang w:val="fi-FI"/>
        </w:rPr>
        <w:t xml:space="preserve"> ja/tai krooni</w:t>
      </w:r>
      <w:r w:rsidR="009F161A">
        <w:rPr>
          <w:color w:val="000000"/>
          <w:szCs w:val="22"/>
          <w:lang w:val="fi-FI"/>
        </w:rPr>
        <w:t>sta</w:t>
      </w:r>
      <w:r w:rsidR="009F161A" w:rsidRPr="000B0771">
        <w:rPr>
          <w:color w:val="000000"/>
          <w:szCs w:val="22"/>
          <w:lang w:val="fi-FI"/>
        </w:rPr>
        <w:t xml:space="preserve"> eosinofiili</w:t>
      </w:r>
      <w:r w:rsidR="009F161A">
        <w:rPr>
          <w:color w:val="000000"/>
          <w:szCs w:val="22"/>
          <w:lang w:val="fi-FI"/>
        </w:rPr>
        <w:t>sta</w:t>
      </w:r>
      <w:r w:rsidR="009F161A" w:rsidRPr="000B0771">
        <w:rPr>
          <w:color w:val="000000"/>
          <w:szCs w:val="22"/>
          <w:lang w:val="fi-FI"/>
        </w:rPr>
        <w:t xml:space="preserve"> leukemia</w:t>
      </w:r>
      <w:r w:rsidR="009F161A">
        <w:rPr>
          <w:color w:val="000000"/>
          <w:szCs w:val="22"/>
          <w:lang w:val="fi-FI"/>
        </w:rPr>
        <w:t>a sairastaville lapsille on hyvin rajallisesti</w:t>
      </w:r>
      <w:r>
        <w:rPr>
          <w:color w:val="000000"/>
          <w:szCs w:val="22"/>
          <w:lang w:val="fi-FI"/>
        </w:rPr>
        <w:t>.</w:t>
      </w:r>
    </w:p>
    <w:p w14:paraId="586FD0C7" w14:textId="77777777" w:rsidR="0076444C" w:rsidRDefault="0076444C" w:rsidP="0076444C">
      <w:pPr>
        <w:pStyle w:val="EndnoteText"/>
        <w:widowControl w:val="0"/>
        <w:tabs>
          <w:tab w:val="clear" w:pos="567"/>
        </w:tabs>
        <w:rPr>
          <w:color w:val="000000"/>
          <w:szCs w:val="22"/>
          <w:lang w:val="fi-FI"/>
        </w:rPr>
      </w:pPr>
    </w:p>
    <w:p w14:paraId="586FD0C8" w14:textId="77777777" w:rsidR="0076444C" w:rsidRDefault="0076444C" w:rsidP="0076444C">
      <w:pPr>
        <w:pStyle w:val="EndnoteText"/>
        <w:widowControl w:val="0"/>
        <w:tabs>
          <w:tab w:val="clear" w:pos="567"/>
        </w:tabs>
        <w:rPr>
          <w:color w:val="000000"/>
          <w:szCs w:val="22"/>
          <w:lang w:val="fi-FI"/>
        </w:rPr>
      </w:pPr>
      <w:r>
        <w:rPr>
          <w:color w:val="000000"/>
          <w:szCs w:val="22"/>
          <w:lang w:val="fi-FI"/>
        </w:rPr>
        <w:t>Joidenkin Gliveciä saavien lasten tai nuorten kasvu voi olla normaalia hitaampaa. Lääkäri seuraa kasvua normaalikäynneillä.</w:t>
      </w:r>
    </w:p>
    <w:p w14:paraId="586FD0C9" w14:textId="77777777" w:rsidR="0076444C" w:rsidRDefault="0076444C" w:rsidP="0076444C">
      <w:pPr>
        <w:pStyle w:val="EndnoteText"/>
        <w:widowControl w:val="0"/>
        <w:tabs>
          <w:tab w:val="clear" w:pos="567"/>
        </w:tabs>
        <w:rPr>
          <w:color w:val="000000"/>
          <w:szCs w:val="22"/>
          <w:lang w:val="fi-FI"/>
        </w:rPr>
      </w:pPr>
    </w:p>
    <w:p w14:paraId="586FD0CA" w14:textId="77777777" w:rsidR="0076444C" w:rsidRDefault="0076444C" w:rsidP="0076444C">
      <w:pPr>
        <w:pStyle w:val="EndnoteText"/>
        <w:keepNext/>
        <w:widowControl w:val="0"/>
        <w:tabs>
          <w:tab w:val="clear" w:pos="567"/>
        </w:tabs>
        <w:rPr>
          <w:b/>
          <w:bCs/>
          <w:noProof/>
          <w:color w:val="000000"/>
          <w:szCs w:val="22"/>
          <w:lang w:val="fi-FI"/>
        </w:rPr>
      </w:pPr>
      <w:r>
        <w:rPr>
          <w:b/>
          <w:bCs/>
          <w:noProof/>
          <w:color w:val="000000"/>
          <w:szCs w:val="22"/>
          <w:lang w:val="fi-FI"/>
        </w:rPr>
        <w:lastRenderedPageBreak/>
        <w:t>Muut lääkevalmisteet ja Glivec</w:t>
      </w:r>
    </w:p>
    <w:p w14:paraId="586FD0CB" w14:textId="77777777" w:rsidR="0076444C" w:rsidRDefault="0076444C" w:rsidP="0076444C">
      <w:pPr>
        <w:pStyle w:val="EndnoteText"/>
        <w:widowControl w:val="0"/>
        <w:tabs>
          <w:tab w:val="clear" w:pos="567"/>
        </w:tabs>
        <w:rPr>
          <w:color w:val="000000"/>
          <w:szCs w:val="22"/>
          <w:lang w:val="fi-FI"/>
        </w:rPr>
      </w:pPr>
      <w:r>
        <w:rPr>
          <w:noProof/>
          <w:color w:val="000000"/>
          <w:szCs w:val="22"/>
          <w:lang w:val="fi-FI"/>
        </w:rPr>
        <w:t>Kerro lääkärille tai apteekkihenkilökunnalle, jos parhaillaan käytät tai olet äskettäin käyttänyt tai saatat käyttää muita lääkkeitä, myös lääkkeitä, joita lääkäri ei ole määrännyt (kuten parasetamoli), mukaan lukien rohdosvalmisteet (kuten mäkikuismavalmisteet). Jotkut lääkkeet voivat yhtä aikaa käytettynä häiritä Glivecin vaikutusta. Ne voivat lisätä tai vähentää Glivecin vaikutusta joko johtaen haittavaikutusten lisääntymiseen tai Glivecin vaikutuksen vähenemiseen. Glivec voi vaikuttaa samoin joihinkin muihin lääkkeisiin.</w:t>
      </w:r>
    </w:p>
    <w:p w14:paraId="586FD0CC" w14:textId="77777777" w:rsidR="0047197B" w:rsidRDefault="0047197B" w:rsidP="0076444C">
      <w:pPr>
        <w:pStyle w:val="EndnoteText"/>
        <w:widowControl w:val="0"/>
        <w:tabs>
          <w:tab w:val="clear" w:pos="567"/>
        </w:tabs>
        <w:rPr>
          <w:color w:val="000000"/>
          <w:szCs w:val="22"/>
          <w:lang w:val="fi-FI"/>
        </w:rPr>
      </w:pPr>
    </w:p>
    <w:p w14:paraId="586FD0CD" w14:textId="77777777" w:rsidR="0076444C" w:rsidRDefault="0047197B" w:rsidP="0076444C">
      <w:pPr>
        <w:pStyle w:val="EndnoteText"/>
        <w:widowControl w:val="0"/>
        <w:tabs>
          <w:tab w:val="clear" w:pos="567"/>
        </w:tabs>
        <w:rPr>
          <w:color w:val="000000"/>
          <w:szCs w:val="22"/>
          <w:lang w:val="fi-FI"/>
        </w:rPr>
      </w:pPr>
      <w:r>
        <w:rPr>
          <w:color w:val="000000"/>
          <w:szCs w:val="22"/>
          <w:lang w:val="fi-FI"/>
        </w:rPr>
        <w:t>Kerro lääkärille, jos käytät veritulppien muodostumista ehkäisevää lääkitystä.</w:t>
      </w:r>
    </w:p>
    <w:p w14:paraId="586FD0CE" w14:textId="77777777" w:rsidR="0047197B" w:rsidRPr="00756B01" w:rsidRDefault="0047197B" w:rsidP="00756B01">
      <w:pPr>
        <w:pStyle w:val="EndnoteText"/>
        <w:widowControl w:val="0"/>
        <w:tabs>
          <w:tab w:val="clear" w:pos="567"/>
        </w:tabs>
        <w:rPr>
          <w:color w:val="000000"/>
          <w:szCs w:val="22"/>
          <w:lang w:val="fi-FI"/>
        </w:rPr>
      </w:pPr>
    </w:p>
    <w:p w14:paraId="586FD0CF" w14:textId="77777777" w:rsidR="0076444C" w:rsidRDefault="0076444C" w:rsidP="0076444C">
      <w:pPr>
        <w:pStyle w:val="EndnoteText"/>
        <w:keepNext/>
        <w:widowControl w:val="0"/>
        <w:tabs>
          <w:tab w:val="clear" w:pos="567"/>
        </w:tabs>
        <w:rPr>
          <w:b/>
          <w:color w:val="000000"/>
          <w:szCs w:val="22"/>
          <w:lang w:val="fi-FI"/>
        </w:rPr>
      </w:pPr>
      <w:r>
        <w:rPr>
          <w:b/>
          <w:color w:val="000000"/>
          <w:szCs w:val="22"/>
          <w:lang w:val="fi-FI"/>
        </w:rPr>
        <w:t xml:space="preserve">Raskaus, imetys ja </w:t>
      </w:r>
      <w:r w:rsidR="00DD56C2">
        <w:rPr>
          <w:b/>
          <w:color w:val="000000"/>
          <w:szCs w:val="22"/>
          <w:lang w:val="fi-FI"/>
        </w:rPr>
        <w:t>hedelmällisyys</w:t>
      </w:r>
    </w:p>
    <w:p w14:paraId="586FD0D0" w14:textId="77777777" w:rsidR="0076444C"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szCs w:val="22"/>
        </w:rPr>
        <w:t>Jos olet raskaana tai imetät, epäilet olevasi raskaana tai jos suunnittelet lapsen hankkimista, kysy lääkäriltä neuvoa ennen tämän lääkkeen käyttöä.</w:t>
      </w:r>
    </w:p>
    <w:p w14:paraId="586FD0D1" w14:textId="77777777" w:rsidR="0076444C"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szCs w:val="22"/>
        </w:rPr>
        <w:t>Gliveciä ei suositella raskauden aikana ellei se ole selvästi välttämätöntä, sillä se saattaa vahingoittaa lasta. Lääkärisi keskustelee kanssasi Glivecin raskaudenaikaiseen käyttöön liittyvistä mahdollisista riskeistä.</w:t>
      </w:r>
    </w:p>
    <w:p w14:paraId="586FD0D2" w14:textId="77777777" w:rsidR="0076444C" w:rsidRPr="00176737"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szCs w:val="22"/>
        </w:rPr>
        <w:t>Naisia, joilla on mahdollisuus tulla raskaaksi, neuvotaan käyttämään tehokasta raskaudenehkäisyä hoidon aikana</w:t>
      </w:r>
      <w:r w:rsidR="00CD1774">
        <w:rPr>
          <w:rFonts w:ascii="Times New Roman" w:hAnsi="Times New Roman"/>
          <w:sz w:val="22"/>
          <w:szCs w:val="22"/>
        </w:rPr>
        <w:t xml:space="preserve"> ja 15 päivän ajan hoidon lopettamisen jälkeen</w:t>
      </w:r>
      <w:r>
        <w:rPr>
          <w:rFonts w:ascii="Times New Roman" w:hAnsi="Times New Roman"/>
          <w:sz w:val="22"/>
          <w:szCs w:val="22"/>
        </w:rPr>
        <w:t>.</w:t>
      </w:r>
    </w:p>
    <w:p w14:paraId="586FD0D3" w14:textId="77777777" w:rsidR="0076444C"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szCs w:val="22"/>
        </w:rPr>
        <w:t>Älä imetä Glivec-hoidon aikana</w:t>
      </w:r>
      <w:r w:rsidR="00AC4C4E">
        <w:rPr>
          <w:rFonts w:ascii="Times New Roman" w:hAnsi="Times New Roman"/>
          <w:sz w:val="22"/>
          <w:szCs w:val="22"/>
        </w:rPr>
        <w:t>, äläkä 15 päivään hoidon lopettamisen jälkeen, koska se voi olla vahingollista lapsellesi</w:t>
      </w:r>
      <w:r>
        <w:rPr>
          <w:rFonts w:ascii="Times New Roman" w:hAnsi="Times New Roman"/>
          <w:sz w:val="22"/>
          <w:szCs w:val="22"/>
        </w:rPr>
        <w:t>.</w:t>
      </w:r>
    </w:p>
    <w:p w14:paraId="586FD0D4" w14:textId="77777777" w:rsidR="0076444C" w:rsidRDefault="0076444C" w:rsidP="0076444C">
      <w:pPr>
        <w:widowControl w:val="0"/>
        <w:numPr>
          <w:ilvl w:val="0"/>
          <w:numId w:val="21"/>
        </w:numPr>
        <w:tabs>
          <w:tab w:val="clear" w:pos="927"/>
        </w:tabs>
        <w:ind w:left="567" w:hanging="567"/>
        <w:rPr>
          <w:rFonts w:ascii="Times New Roman" w:hAnsi="Times New Roman"/>
          <w:sz w:val="22"/>
          <w:szCs w:val="22"/>
        </w:rPr>
      </w:pPr>
      <w:r>
        <w:rPr>
          <w:rFonts w:ascii="Times New Roman" w:hAnsi="Times New Roman"/>
          <w:sz w:val="22"/>
        </w:rPr>
        <w:t>Potilaiden, jotka ovat huolissaan Glivec-hoidon vaikutuksesta hedelmällisyyteen, tulee keskustella lääkärin kanssa.</w:t>
      </w:r>
    </w:p>
    <w:p w14:paraId="586FD0D5" w14:textId="77777777" w:rsidR="0076444C" w:rsidRDefault="0076444C" w:rsidP="0076444C">
      <w:pPr>
        <w:widowControl w:val="0"/>
        <w:rPr>
          <w:rFonts w:ascii="Times New Roman" w:hAnsi="Times New Roman"/>
          <w:sz w:val="22"/>
          <w:szCs w:val="22"/>
        </w:rPr>
      </w:pPr>
    </w:p>
    <w:p w14:paraId="586FD0D6" w14:textId="77777777" w:rsidR="0076444C" w:rsidRDefault="0076444C" w:rsidP="0076444C">
      <w:pPr>
        <w:pStyle w:val="Heading1"/>
        <w:widowControl w:val="0"/>
        <w:rPr>
          <w:szCs w:val="22"/>
        </w:rPr>
      </w:pPr>
      <w:r>
        <w:rPr>
          <w:szCs w:val="22"/>
        </w:rPr>
        <w:t>Ajaminen ja koneiden käyttö</w:t>
      </w:r>
    </w:p>
    <w:p w14:paraId="586FD0D7" w14:textId="77777777" w:rsidR="0076444C" w:rsidRDefault="0076444C" w:rsidP="0076444C">
      <w:pPr>
        <w:widowControl w:val="0"/>
        <w:ind w:right="-29"/>
        <w:rPr>
          <w:rFonts w:ascii="Times New Roman" w:hAnsi="Times New Roman"/>
          <w:sz w:val="22"/>
          <w:szCs w:val="22"/>
        </w:rPr>
      </w:pPr>
      <w:r>
        <w:rPr>
          <w:rFonts w:ascii="Times New Roman" w:hAnsi="Times New Roman"/>
          <w:sz w:val="22"/>
          <w:szCs w:val="22"/>
        </w:rPr>
        <w:t>Voit kokea tämän lääkkeen käytön aikana huimausta, uneliaisuutta tai näön hämärtymistä. Jos saat näitä oireita, älä aja autoa tai käytä mitään työvälineitä tai koneita ennen kuin tunnet olosi taas hyväksi.</w:t>
      </w:r>
    </w:p>
    <w:p w14:paraId="586FD0D8" w14:textId="77777777" w:rsidR="008F2D51" w:rsidRDefault="008F2D51" w:rsidP="008F2D51">
      <w:pPr>
        <w:widowControl w:val="0"/>
        <w:ind w:right="-29"/>
        <w:rPr>
          <w:rFonts w:ascii="Times New Roman" w:hAnsi="Times New Roman"/>
          <w:sz w:val="22"/>
          <w:szCs w:val="22"/>
        </w:rPr>
      </w:pPr>
    </w:p>
    <w:p w14:paraId="586FD0D9" w14:textId="77777777" w:rsidR="008F2D51" w:rsidRDefault="008F2D51" w:rsidP="008F2D51">
      <w:pPr>
        <w:widowControl w:val="0"/>
        <w:ind w:right="-29"/>
        <w:rPr>
          <w:rFonts w:ascii="Times New Roman" w:hAnsi="Times New Roman"/>
          <w:sz w:val="22"/>
          <w:szCs w:val="22"/>
        </w:rPr>
      </w:pPr>
    </w:p>
    <w:p w14:paraId="586FD0DA" w14:textId="77777777" w:rsidR="008F2D51" w:rsidRDefault="008F2D51" w:rsidP="00774A0B">
      <w:pPr>
        <w:keepNext/>
        <w:widowControl w:val="0"/>
        <w:ind w:left="567" w:right="-2" w:hanging="567"/>
        <w:rPr>
          <w:rFonts w:ascii="Times New Roman" w:hAnsi="Times New Roman"/>
          <w:b/>
          <w:sz w:val="22"/>
          <w:szCs w:val="22"/>
        </w:rPr>
      </w:pPr>
      <w:r>
        <w:rPr>
          <w:rFonts w:ascii="Times New Roman" w:hAnsi="Times New Roman"/>
          <w:b/>
          <w:sz w:val="22"/>
          <w:szCs w:val="22"/>
        </w:rPr>
        <w:t>3.</w:t>
      </w:r>
      <w:r>
        <w:rPr>
          <w:rFonts w:ascii="Times New Roman" w:hAnsi="Times New Roman"/>
          <w:b/>
          <w:sz w:val="22"/>
          <w:szCs w:val="22"/>
        </w:rPr>
        <w:tab/>
        <w:t>M</w:t>
      </w:r>
      <w:r w:rsidR="00E94548">
        <w:rPr>
          <w:rFonts w:ascii="Times New Roman" w:hAnsi="Times New Roman"/>
          <w:b/>
          <w:sz w:val="22"/>
          <w:szCs w:val="22"/>
        </w:rPr>
        <w:t>iten Gliveciä käytetään</w:t>
      </w:r>
    </w:p>
    <w:p w14:paraId="586FD0DB" w14:textId="77777777" w:rsidR="008F2D51" w:rsidRDefault="008F2D51" w:rsidP="00774A0B">
      <w:pPr>
        <w:pStyle w:val="EndnoteText"/>
        <w:keepNext/>
        <w:widowControl w:val="0"/>
        <w:tabs>
          <w:tab w:val="clear" w:pos="567"/>
        </w:tabs>
        <w:rPr>
          <w:color w:val="000000"/>
          <w:szCs w:val="22"/>
          <w:lang w:val="fi-FI"/>
        </w:rPr>
      </w:pPr>
    </w:p>
    <w:p w14:paraId="586FD0DC" w14:textId="77777777" w:rsidR="008F2D51" w:rsidRDefault="008F2D51" w:rsidP="008F2D51">
      <w:pPr>
        <w:rPr>
          <w:rFonts w:ascii="Times New Roman" w:hAnsi="Times New Roman"/>
          <w:noProof/>
          <w:sz w:val="22"/>
          <w:szCs w:val="22"/>
        </w:rPr>
      </w:pPr>
      <w:r>
        <w:rPr>
          <w:rFonts w:ascii="Times New Roman" w:hAnsi="Times New Roman"/>
          <w:noProof/>
          <w:sz w:val="22"/>
          <w:szCs w:val="22"/>
        </w:rPr>
        <w:t>Lääkärisi on määrännyt sinulle Gliveciä, koska sinulla on vakava sairaus. Glivec voi auttaa sinua parantumaan tästä sairaudesta.</w:t>
      </w:r>
    </w:p>
    <w:p w14:paraId="586FD0DD" w14:textId="77777777" w:rsidR="008F2D51" w:rsidRDefault="008F2D51" w:rsidP="008F2D51">
      <w:pPr>
        <w:rPr>
          <w:rFonts w:ascii="Times New Roman" w:hAnsi="Times New Roman"/>
          <w:noProof/>
          <w:sz w:val="22"/>
          <w:szCs w:val="22"/>
        </w:rPr>
      </w:pPr>
    </w:p>
    <w:p w14:paraId="586FD0DE" w14:textId="77777777" w:rsidR="008F2D51" w:rsidRDefault="008F2D51" w:rsidP="008F2D51">
      <w:pPr>
        <w:rPr>
          <w:rFonts w:ascii="Times New Roman" w:hAnsi="Times New Roman"/>
          <w:noProof/>
          <w:sz w:val="22"/>
          <w:szCs w:val="22"/>
        </w:rPr>
      </w:pPr>
      <w:r>
        <w:rPr>
          <w:rFonts w:ascii="Times New Roman" w:hAnsi="Times New Roman"/>
          <w:noProof/>
          <w:sz w:val="22"/>
          <w:szCs w:val="22"/>
        </w:rPr>
        <w:t xml:space="preserve">Käytä </w:t>
      </w:r>
      <w:r w:rsidR="00E94548">
        <w:rPr>
          <w:rFonts w:ascii="Times New Roman" w:hAnsi="Times New Roman"/>
          <w:noProof/>
          <w:sz w:val="22"/>
          <w:szCs w:val="22"/>
        </w:rPr>
        <w:t xml:space="preserve">tätä lääkettä </w:t>
      </w:r>
      <w:r>
        <w:rPr>
          <w:rFonts w:ascii="Times New Roman" w:hAnsi="Times New Roman"/>
          <w:noProof/>
          <w:sz w:val="22"/>
          <w:szCs w:val="22"/>
        </w:rPr>
        <w:t xml:space="preserve">kuitenkin juuri </w:t>
      </w:r>
      <w:r w:rsidR="00E94548">
        <w:rPr>
          <w:rFonts w:ascii="Times New Roman" w:hAnsi="Times New Roman"/>
          <w:noProof/>
          <w:sz w:val="22"/>
          <w:szCs w:val="22"/>
        </w:rPr>
        <w:t>siten</w:t>
      </w:r>
      <w:r>
        <w:rPr>
          <w:rFonts w:ascii="Times New Roman" w:hAnsi="Times New Roman"/>
          <w:noProof/>
          <w:sz w:val="22"/>
          <w:szCs w:val="22"/>
        </w:rPr>
        <w:t xml:space="preserve"> kuin lääkäri on määrännyt</w:t>
      </w:r>
      <w:r w:rsidR="00E94548">
        <w:rPr>
          <w:rFonts w:ascii="Times New Roman" w:hAnsi="Times New Roman"/>
          <w:noProof/>
          <w:sz w:val="22"/>
          <w:szCs w:val="22"/>
        </w:rPr>
        <w:t xml:space="preserve"> tai apteekkihenkilökunta on neuvonut</w:t>
      </w:r>
      <w:r>
        <w:rPr>
          <w:rFonts w:ascii="Times New Roman" w:hAnsi="Times New Roman"/>
          <w:noProof/>
          <w:sz w:val="22"/>
          <w:szCs w:val="22"/>
        </w:rPr>
        <w:t xml:space="preserve">. On tärkeää, että teet näin niin pitkään kuin lääkärisi </w:t>
      </w:r>
      <w:r w:rsidR="00E94548">
        <w:rPr>
          <w:rFonts w:ascii="Times New Roman" w:hAnsi="Times New Roman"/>
          <w:noProof/>
          <w:sz w:val="22"/>
          <w:szCs w:val="22"/>
        </w:rPr>
        <w:t xml:space="preserve">tai apteekkihenkilökunta </w:t>
      </w:r>
      <w:r>
        <w:rPr>
          <w:rFonts w:ascii="Times New Roman" w:hAnsi="Times New Roman"/>
          <w:noProof/>
          <w:sz w:val="22"/>
          <w:szCs w:val="22"/>
        </w:rPr>
        <w:t>neuvoo. Tarkista ohjeet lääkäriltä tai apteekista, jos olet epävarma.</w:t>
      </w:r>
    </w:p>
    <w:p w14:paraId="586FD0DF" w14:textId="77777777" w:rsidR="008F2D51" w:rsidRDefault="008F2D51" w:rsidP="008F2D51">
      <w:pPr>
        <w:rPr>
          <w:rFonts w:ascii="Times New Roman" w:hAnsi="Times New Roman"/>
          <w:sz w:val="22"/>
          <w:szCs w:val="22"/>
        </w:rPr>
      </w:pPr>
    </w:p>
    <w:p w14:paraId="586FD0E0" w14:textId="77777777" w:rsidR="008F2D51" w:rsidRDefault="008F2D51" w:rsidP="008F2D51">
      <w:pPr>
        <w:rPr>
          <w:rFonts w:ascii="Times New Roman" w:hAnsi="Times New Roman"/>
          <w:noProof/>
          <w:sz w:val="22"/>
          <w:szCs w:val="22"/>
        </w:rPr>
      </w:pPr>
      <w:r>
        <w:rPr>
          <w:rFonts w:ascii="Times New Roman" w:hAnsi="Times New Roman"/>
          <w:noProof/>
          <w:sz w:val="22"/>
          <w:szCs w:val="22"/>
        </w:rPr>
        <w:t>Älä lopeta Glivecin käyttöä, ellei lääkärisi neuvo sinua lopettamaan. Jos et pysty ottamaan lääkettä lääkärin ohjeiden mukaisesti tai jos et enää koe tarvitsevasi sitä, ota välittömästi yhteys lääkäriisi.</w:t>
      </w:r>
    </w:p>
    <w:p w14:paraId="586FD0E1" w14:textId="77777777" w:rsidR="008F2D51" w:rsidRDefault="008F2D51" w:rsidP="008F2D51">
      <w:pPr>
        <w:pStyle w:val="Heading2"/>
        <w:keepNext w:val="0"/>
        <w:widowControl w:val="0"/>
        <w:tabs>
          <w:tab w:val="clear" w:pos="567"/>
        </w:tabs>
        <w:spacing w:before="0" w:after="0" w:line="240" w:lineRule="auto"/>
        <w:rPr>
          <w:rFonts w:ascii="Times New Roman" w:hAnsi="Times New Roman"/>
          <w:b w:val="0"/>
          <w:bCs/>
          <w:i w:val="0"/>
          <w:color w:val="000000"/>
          <w:sz w:val="22"/>
          <w:szCs w:val="22"/>
          <w:lang w:val="fi-FI"/>
        </w:rPr>
      </w:pPr>
    </w:p>
    <w:p w14:paraId="586FD0E2" w14:textId="77777777" w:rsidR="008F2D51" w:rsidRDefault="004301A7" w:rsidP="00774A0B">
      <w:pPr>
        <w:pStyle w:val="Heading2"/>
        <w:widowControl w:val="0"/>
        <w:tabs>
          <w:tab w:val="clear" w:pos="567"/>
        </w:tabs>
        <w:spacing w:before="0" w:after="0" w:line="240" w:lineRule="auto"/>
        <w:rPr>
          <w:rFonts w:ascii="Times New Roman" w:hAnsi="Times New Roman"/>
          <w:i w:val="0"/>
          <w:color w:val="000000"/>
          <w:sz w:val="22"/>
          <w:szCs w:val="22"/>
          <w:lang w:val="fi-FI"/>
        </w:rPr>
      </w:pPr>
      <w:r>
        <w:rPr>
          <w:rFonts w:ascii="Times New Roman" w:hAnsi="Times New Roman"/>
          <w:i w:val="0"/>
          <w:color w:val="000000"/>
          <w:sz w:val="22"/>
          <w:szCs w:val="22"/>
          <w:lang w:val="fi-FI"/>
        </w:rPr>
        <w:t>Glivec-a</w:t>
      </w:r>
      <w:r w:rsidR="008F2D51">
        <w:rPr>
          <w:rFonts w:ascii="Times New Roman" w:hAnsi="Times New Roman"/>
          <w:i w:val="0"/>
          <w:color w:val="000000"/>
          <w:sz w:val="22"/>
          <w:szCs w:val="22"/>
          <w:lang w:val="fi-FI"/>
        </w:rPr>
        <w:t>nnostus</w:t>
      </w:r>
    </w:p>
    <w:p w14:paraId="586FD0E3" w14:textId="77777777" w:rsidR="008F2D51" w:rsidRDefault="008F2D51" w:rsidP="00774A0B">
      <w:pPr>
        <w:keepNext/>
        <w:rPr>
          <w:rFonts w:ascii="Times New Roman" w:hAnsi="Times New Roman"/>
          <w:sz w:val="22"/>
          <w:szCs w:val="22"/>
        </w:rPr>
      </w:pPr>
    </w:p>
    <w:p w14:paraId="586FD0E4" w14:textId="77777777" w:rsidR="008F2D51" w:rsidRDefault="008F2D51" w:rsidP="00774A0B">
      <w:pPr>
        <w:keepNext/>
        <w:rPr>
          <w:rFonts w:ascii="Times New Roman" w:hAnsi="Times New Roman"/>
          <w:b/>
          <w:sz w:val="22"/>
          <w:szCs w:val="22"/>
        </w:rPr>
      </w:pPr>
      <w:r>
        <w:rPr>
          <w:rFonts w:ascii="Times New Roman" w:hAnsi="Times New Roman"/>
          <w:b/>
          <w:sz w:val="22"/>
          <w:szCs w:val="22"/>
        </w:rPr>
        <w:t>Käyttö aikuisill</w:t>
      </w:r>
      <w:r w:rsidR="00BC138E">
        <w:rPr>
          <w:rFonts w:ascii="Times New Roman" w:hAnsi="Times New Roman"/>
          <w:b/>
          <w:sz w:val="22"/>
          <w:szCs w:val="22"/>
        </w:rPr>
        <w:t>e</w:t>
      </w:r>
    </w:p>
    <w:p w14:paraId="586FD0E5" w14:textId="77777777" w:rsidR="008F2D51" w:rsidRDefault="008F2D51" w:rsidP="00774A0B">
      <w:pPr>
        <w:pStyle w:val="Text"/>
        <w:keepNext/>
        <w:widowControl w:val="0"/>
        <w:spacing w:before="0"/>
        <w:jc w:val="left"/>
        <w:rPr>
          <w:color w:val="000000"/>
          <w:sz w:val="22"/>
          <w:szCs w:val="22"/>
          <w:lang w:val="fi-FI"/>
        </w:rPr>
      </w:pPr>
      <w:r>
        <w:rPr>
          <w:color w:val="000000"/>
          <w:sz w:val="22"/>
          <w:szCs w:val="22"/>
          <w:lang w:val="fi-FI"/>
        </w:rPr>
        <w:t>Lääkärisi kertoo sinulle tarkalleen, kuinka monta Glivec-tablettia sinun tulee ottaa.</w:t>
      </w:r>
    </w:p>
    <w:p w14:paraId="586FD0E6" w14:textId="77777777" w:rsidR="008F2D51" w:rsidRDefault="008F2D51" w:rsidP="00774A0B">
      <w:pPr>
        <w:pStyle w:val="Text"/>
        <w:keepNext/>
        <w:widowControl w:val="0"/>
        <w:spacing w:before="0"/>
        <w:jc w:val="left"/>
        <w:rPr>
          <w:color w:val="000000"/>
          <w:sz w:val="22"/>
          <w:szCs w:val="22"/>
          <w:lang w:val="fi-FI"/>
        </w:rPr>
      </w:pPr>
    </w:p>
    <w:p w14:paraId="586FD0E7" w14:textId="77777777" w:rsidR="008F2D51" w:rsidRDefault="008F2D51" w:rsidP="00774A0B">
      <w:pPr>
        <w:pStyle w:val="Text"/>
        <w:keepNext/>
        <w:widowControl w:val="0"/>
        <w:numPr>
          <w:ilvl w:val="0"/>
          <w:numId w:val="19"/>
        </w:numPr>
        <w:tabs>
          <w:tab w:val="clear" w:pos="454"/>
        </w:tabs>
        <w:spacing w:before="0"/>
        <w:ind w:left="567" w:hanging="567"/>
        <w:jc w:val="left"/>
        <w:rPr>
          <w:b/>
          <w:color w:val="000000"/>
          <w:sz w:val="22"/>
          <w:szCs w:val="22"/>
          <w:lang w:val="fi-FI"/>
        </w:rPr>
      </w:pPr>
      <w:r>
        <w:rPr>
          <w:b/>
          <w:color w:val="000000"/>
          <w:sz w:val="22"/>
          <w:szCs w:val="22"/>
          <w:lang w:val="fi-FI"/>
        </w:rPr>
        <w:t>Jos saat hoitoa krooniseen myelooiseen leukemiaan:</w:t>
      </w:r>
    </w:p>
    <w:p w14:paraId="586FD0EA" w14:textId="0D63126A" w:rsidR="008F2D51" w:rsidRDefault="008F2D51" w:rsidP="002A600D">
      <w:pPr>
        <w:pStyle w:val="Text"/>
        <w:keepNext/>
        <w:widowControl w:val="0"/>
        <w:spacing w:before="0"/>
        <w:ind w:left="567"/>
        <w:jc w:val="left"/>
        <w:rPr>
          <w:color w:val="000000"/>
          <w:sz w:val="22"/>
          <w:szCs w:val="22"/>
          <w:lang w:val="fi-FI"/>
        </w:rPr>
      </w:pPr>
      <w:r>
        <w:rPr>
          <w:color w:val="000000"/>
          <w:sz w:val="22"/>
          <w:szCs w:val="22"/>
          <w:lang w:val="fi-FI"/>
        </w:rPr>
        <w:t xml:space="preserve">Voinnistasi riippuen tavanomainen aloitusannos on joko </w:t>
      </w:r>
      <w:r w:rsidRPr="002A600D">
        <w:rPr>
          <w:b/>
          <w:sz w:val="22"/>
          <w:szCs w:val="22"/>
          <w:lang w:val="fi-FI"/>
        </w:rPr>
        <w:t>400 mg</w:t>
      </w:r>
      <w:r>
        <w:rPr>
          <w:color w:val="000000"/>
          <w:sz w:val="22"/>
          <w:szCs w:val="22"/>
          <w:lang w:val="fi-FI"/>
        </w:rPr>
        <w:t xml:space="preserve"> tai </w:t>
      </w:r>
      <w:r w:rsidRPr="002A600D">
        <w:rPr>
          <w:b/>
          <w:sz w:val="22"/>
          <w:szCs w:val="22"/>
          <w:lang w:val="fi-FI"/>
        </w:rPr>
        <w:t>600 mg</w:t>
      </w:r>
      <w:r w:rsidR="008F247D" w:rsidRPr="008F247D">
        <w:rPr>
          <w:rFonts w:ascii="Times New Roman Bold" w:hAnsi="Times New Roman Bold"/>
          <w:b/>
          <w:color w:val="000000"/>
          <w:sz w:val="22"/>
          <w:szCs w:val="22"/>
          <w:lang w:val="fi-FI"/>
        </w:rPr>
        <w:t xml:space="preserve"> </w:t>
      </w:r>
      <w:r w:rsidR="008F247D">
        <w:rPr>
          <w:rFonts w:ascii="Times New Roman Bold" w:hAnsi="Times New Roman Bold"/>
          <w:b/>
          <w:color w:val="000000"/>
          <w:sz w:val="22"/>
          <w:szCs w:val="22"/>
          <w:lang w:val="fi-FI"/>
        </w:rPr>
        <w:t>kerran</w:t>
      </w:r>
      <w:r w:rsidR="008F247D">
        <w:rPr>
          <w:color w:val="000000"/>
          <w:sz w:val="22"/>
          <w:szCs w:val="22"/>
          <w:lang w:val="fi-FI"/>
        </w:rPr>
        <w:t xml:space="preserve"> vuorokaudessa.</w:t>
      </w:r>
    </w:p>
    <w:p w14:paraId="586FD0EB" w14:textId="77777777" w:rsidR="008F2D51" w:rsidRDefault="008F2D51" w:rsidP="008F2D51">
      <w:pPr>
        <w:pStyle w:val="Text"/>
        <w:widowControl w:val="0"/>
        <w:spacing w:before="0"/>
        <w:jc w:val="left"/>
        <w:rPr>
          <w:color w:val="000000"/>
          <w:sz w:val="22"/>
          <w:szCs w:val="22"/>
          <w:lang w:val="fi-FI"/>
        </w:rPr>
      </w:pPr>
    </w:p>
    <w:p w14:paraId="586FD0EC" w14:textId="77777777" w:rsidR="008F2D51" w:rsidRDefault="008F2D51" w:rsidP="00774A0B">
      <w:pPr>
        <w:pStyle w:val="Text"/>
        <w:keepNext/>
        <w:widowControl w:val="0"/>
        <w:numPr>
          <w:ilvl w:val="0"/>
          <w:numId w:val="19"/>
        </w:numPr>
        <w:tabs>
          <w:tab w:val="clear" w:pos="454"/>
        </w:tabs>
        <w:spacing w:before="0"/>
        <w:ind w:left="567" w:hanging="567"/>
        <w:jc w:val="left"/>
        <w:rPr>
          <w:color w:val="000000"/>
          <w:sz w:val="22"/>
          <w:szCs w:val="22"/>
          <w:lang w:val="fi-FI"/>
        </w:rPr>
      </w:pPr>
      <w:r>
        <w:rPr>
          <w:b/>
          <w:color w:val="000000"/>
          <w:sz w:val="22"/>
          <w:szCs w:val="22"/>
          <w:lang w:val="fi-FI"/>
        </w:rPr>
        <w:t>Jos saat hoitoa ruuansulatuskanavan tukikudosten kasvaimiin:</w:t>
      </w:r>
    </w:p>
    <w:p w14:paraId="586FD0ED" w14:textId="2CC62FF2" w:rsidR="008F2D51" w:rsidRDefault="008F2D51" w:rsidP="008F2D51">
      <w:pPr>
        <w:pStyle w:val="Text"/>
        <w:widowControl w:val="0"/>
        <w:spacing w:before="0"/>
        <w:ind w:firstLine="567"/>
        <w:jc w:val="left"/>
        <w:rPr>
          <w:color w:val="000000"/>
          <w:sz w:val="22"/>
          <w:szCs w:val="22"/>
          <w:lang w:val="fi-FI"/>
        </w:rPr>
      </w:pPr>
      <w:r>
        <w:rPr>
          <w:color w:val="000000"/>
          <w:sz w:val="22"/>
          <w:szCs w:val="22"/>
          <w:lang w:val="fi-FI"/>
        </w:rPr>
        <w:t xml:space="preserve">Aloitusannos on 400 mg </w:t>
      </w:r>
      <w:r>
        <w:rPr>
          <w:rFonts w:ascii="Times New Roman Bold" w:hAnsi="Times New Roman Bold"/>
          <w:b/>
          <w:color w:val="000000"/>
          <w:sz w:val="22"/>
          <w:szCs w:val="22"/>
          <w:lang w:val="fi-FI"/>
        </w:rPr>
        <w:t>kerran</w:t>
      </w:r>
      <w:r>
        <w:rPr>
          <w:color w:val="000000"/>
          <w:sz w:val="22"/>
          <w:szCs w:val="22"/>
          <w:lang w:val="fi-FI"/>
        </w:rPr>
        <w:t xml:space="preserve"> vuorokaudessa.</w:t>
      </w:r>
    </w:p>
    <w:p w14:paraId="586FD0EE" w14:textId="77777777" w:rsidR="008F2D51" w:rsidRDefault="008F2D51" w:rsidP="008F2D51">
      <w:pPr>
        <w:pStyle w:val="Text"/>
        <w:widowControl w:val="0"/>
        <w:spacing w:before="0"/>
        <w:jc w:val="left"/>
        <w:rPr>
          <w:color w:val="000000"/>
          <w:sz w:val="22"/>
          <w:szCs w:val="22"/>
          <w:lang w:val="fi-FI"/>
        </w:rPr>
      </w:pPr>
    </w:p>
    <w:p w14:paraId="586FD0EF" w14:textId="6A3B76B6" w:rsidR="008F2D51" w:rsidRDefault="008F2D51" w:rsidP="008F2D51">
      <w:pPr>
        <w:pStyle w:val="Text"/>
        <w:widowControl w:val="0"/>
        <w:spacing w:before="0"/>
        <w:jc w:val="left"/>
        <w:rPr>
          <w:color w:val="000000"/>
          <w:sz w:val="22"/>
          <w:szCs w:val="22"/>
          <w:lang w:val="fi-FI"/>
        </w:rPr>
      </w:pPr>
      <w:r>
        <w:rPr>
          <w:color w:val="000000"/>
          <w:sz w:val="22"/>
          <w:szCs w:val="22"/>
          <w:lang w:val="fi-FI"/>
        </w:rPr>
        <w:t xml:space="preserve">KML:n ja GIST:in hoidossa lääkärisi saattaa määrätä suuremman tai pienemmän annoksen hoitovasteen perusteella. Jos päivittäinen annoksesi on 800 mg, sinun tulee ottaa </w:t>
      </w:r>
      <w:r w:rsidR="00800EFA">
        <w:rPr>
          <w:color w:val="000000"/>
          <w:sz w:val="22"/>
          <w:szCs w:val="22"/>
          <w:lang w:val="fi-FI"/>
        </w:rPr>
        <w:t>400 mg</w:t>
      </w:r>
      <w:r>
        <w:rPr>
          <w:color w:val="000000"/>
          <w:sz w:val="22"/>
          <w:szCs w:val="22"/>
          <w:lang w:val="fi-FI"/>
        </w:rPr>
        <w:t xml:space="preserve"> aamulla ja </w:t>
      </w:r>
      <w:r w:rsidR="00800EFA">
        <w:rPr>
          <w:color w:val="000000"/>
          <w:sz w:val="22"/>
          <w:szCs w:val="22"/>
          <w:lang w:val="fi-FI"/>
        </w:rPr>
        <w:t>400 mg</w:t>
      </w:r>
      <w:r>
        <w:rPr>
          <w:color w:val="000000"/>
          <w:sz w:val="22"/>
          <w:szCs w:val="22"/>
          <w:lang w:val="fi-FI"/>
        </w:rPr>
        <w:t xml:space="preserve"> illalla.</w:t>
      </w:r>
    </w:p>
    <w:p w14:paraId="586FD0F0" w14:textId="77777777" w:rsidR="008F2D51" w:rsidRDefault="008F2D51" w:rsidP="008F2D51">
      <w:pPr>
        <w:pStyle w:val="Text"/>
        <w:widowControl w:val="0"/>
        <w:spacing w:before="0"/>
        <w:jc w:val="left"/>
        <w:rPr>
          <w:color w:val="000000"/>
          <w:sz w:val="22"/>
          <w:szCs w:val="22"/>
          <w:lang w:val="fi-FI"/>
        </w:rPr>
      </w:pPr>
    </w:p>
    <w:p w14:paraId="586FD0F1" w14:textId="77777777" w:rsidR="008F2D51" w:rsidRDefault="008F2D51" w:rsidP="00774A0B">
      <w:pPr>
        <w:pStyle w:val="Text"/>
        <w:keepLines/>
        <w:widowControl w:val="0"/>
        <w:numPr>
          <w:ilvl w:val="0"/>
          <w:numId w:val="19"/>
        </w:numPr>
        <w:tabs>
          <w:tab w:val="clear" w:pos="454"/>
        </w:tabs>
        <w:spacing w:before="0"/>
        <w:ind w:left="567" w:hanging="567"/>
        <w:jc w:val="left"/>
        <w:rPr>
          <w:color w:val="000000"/>
          <w:sz w:val="22"/>
          <w:szCs w:val="22"/>
          <w:lang w:val="fi-FI"/>
        </w:rPr>
      </w:pPr>
      <w:r>
        <w:rPr>
          <w:b/>
          <w:color w:val="000000"/>
          <w:sz w:val="22"/>
          <w:szCs w:val="22"/>
          <w:lang w:val="fi-FI"/>
        </w:rPr>
        <w:lastRenderedPageBreak/>
        <w:t>Jos saat hoitoa Philadelphia-kromosomipositiiviseen akuuttiin lymfaattiseen leukemiaan (Ph+ ALL):</w:t>
      </w:r>
    </w:p>
    <w:p w14:paraId="586FD0F2" w14:textId="06460108" w:rsidR="008F2D51" w:rsidRDefault="008F2D51" w:rsidP="008F2D51">
      <w:pPr>
        <w:pStyle w:val="Text"/>
        <w:widowControl w:val="0"/>
        <w:spacing w:before="0"/>
        <w:ind w:firstLine="567"/>
        <w:jc w:val="left"/>
        <w:rPr>
          <w:color w:val="000000"/>
          <w:sz w:val="22"/>
          <w:szCs w:val="22"/>
          <w:lang w:val="fi-FI"/>
        </w:rPr>
      </w:pPr>
      <w:r>
        <w:rPr>
          <w:color w:val="000000"/>
          <w:sz w:val="22"/>
          <w:szCs w:val="22"/>
          <w:lang w:val="fi-FI"/>
        </w:rPr>
        <w:t xml:space="preserve">Aloitusannos on 600 mg </w:t>
      </w:r>
      <w:r>
        <w:rPr>
          <w:rFonts w:ascii="Times New Roman Bold" w:hAnsi="Times New Roman Bold"/>
          <w:b/>
          <w:color w:val="000000"/>
          <w:sz w:val="22"/>
          <w:szCs w:val="22"/>
          <w:lang w:val="fi-FI"/>
        </w:rPr>
        <w:t>kerran</w:t>
      </w:r>
      <w:r>
        <w:rPr>
          <w:color w:val="000000"/>
          <w:sz w:val="22"/>
          <w:szCs w:val="22"/>
          <w:lang w:val="fi-FI"/>
        </w:rPr>
        <w:t xml:space="preserve"> vuorokaudessa.</w:t>
      </w:r>
    </w:p>
    <w:p w14:paraId="586FD0F3" w14:textId="77777777" w:rsidR="008F2D51" w:rsidRDefault="008F2D51" w:rsidP="008F2D51">
      <w:pPr>
        <w:pStyle w:val="Text"/>
        <w:widowControl w:val="0"/>
        <w:spacing w:before="0"/>
        <w:jc w:val="left"/>
        <w:rPr>
          <w:color w:val="000000"/>
          <w:sz w:val="22"/>
          <w:szCs w:val="22"/>
          <w:lang w:val="fi-FI"/>
        </w:rPr>
      </w:pPr>
    </w:p>
    <w:p w14:paraId="586FD0F4" w14:textId="77777777" w:rsidR="008F2D51" w:rsidRDefault="008F2D51" w:rsidP="008F2D51">
      <w:pPr>
        <w:pStyle w:val="Text"/>
        <w:widowControl w:val="0"/>
        <w:numPr>
          <w:ilvl w:val="0"/>
          <w:numId w:val="19"/>
        </w:numPr>
        <w:tabs>
          <w:tab w:val="clear" w:pos="454"/>
        </w:tabs>
        <w:spacing w:before="0"/>
        <w:ind w:left="567" w:hanging="567"/>
        <w:jc w:val="left"/>
        <w:rPr>
          <w:b/>
          <w:color w:val="000000"/>
          <w:sz w:val="22"/>
          <w:szCs w:val="22"/>
          <w:lang w:val="fi-FI"/>
        </w:rPr>
      </w:pPr>
      <w:r>
        <w:rPr>
          <w:b/>
          <w:color w:val="000000"/>
          <w:sz w:val="22"/>
          <w:szCs w:val="22"/>
          <w:lang w:val="fi-FI"/>
        </w:rPr>
        <w:t>Jos saat hoitoa myelodysplastiseen oireyhtymään tai myeloproliferatiiviseen sairauteen (MDS/MPD):</w:t>
      </w:r>
    </w:p>
    <w:p w14:paraId="586FD0F5" w14:textId="46A24C60" w:rsidR="008F2D51" w:rsidRDefault="008F2D51" w:rsidP="008F2D51">
      <w:pPr>
        <w:pStyle w:val="Text"/>
        <w:widowControl w:val="0"/>
        <w:spacing w:before="0"/>
        <w:ind w:firstLine="567"/>
        <w:jc w:val="left"/>
        <w:rPr>
          <w:color w:val="000000"/>
          <w:sz w:val="22"/>
          <w:szCs w:val="22"/>
          <w:lang w:val="fi-FI"/>
        </w:rPr>
      </w:pPr>
      <w:r>
        <w:rPr>
          <w:color w:val="000000"/>
          <w:sz w:val="22"/>
          <w:szCs w:val="22"/>
          <w:lang w:val="fi-FI"/>
        </w:rPr>
        <w:t xml:space="preserve">Aloitusannos on 400 mg </w:t>
      </w:r>
      <w:r>
        <w:rPr>
          <w:rFonts w:ascii="Times New Roman Bold" w:hAnsi="Times New Roman Bold"/>
          <w:b/>
          <w:color w:val="000000"/>
          <w:sz w:val="22"/>
          <w:szCs w:val="22"/>
          <w:lang w:val="fi-FI"/>
        </w:rPr>
        <w:t>kerran</w:t>
      </w:r>
      <w:r>
        <w:rPr>
          <w:color w:val="000000"/>
          <w:sz w:val="22"/>
          <w:szCs w:val="22"/>
          <w:lang w:val="fi-FI"/>
        </w:rPr>
        <w:t xml:space="preserve"> vuorokaudessa.</w:t>
      </w:r>
    </w:p>
    <w:p w14:paraId="586FD0F6" w14:textId="77777777" w:rsidR="008F2D51" w:rsidRDefault="008F2D51" w:rsidP="008F2D51">
      <w:pPr>
        <w:pStyle w:val="Text"/>
        <w:widowControl w:val="0"/>
        <w:spacing w:before="0"/>
        <w:jc w:val="left"/>
        <w:rPr>
          <w:color w:val="000000"/>
          <w:sz w:val="22"/>
          <w:szCs w:val="22"/>
          <w:lang w:val="fi-FI"/>
        </w:rPr>
      </w:pPr>
    </w:p>
    <w:p w14:paraId="586FD0F7" w14:textId="781A71B2" w:rsidR="008F2D51" w:rsidRDefault="008F2D51" w:rsidP="008F2D51">
      <w:pPr>
        <w:pStyle w:val="Text"/>
        <w:widowControl w:val="0"/>
        <w:numPr>
          <w:ilvl w:val="0"/>
          <w:numId w:val="19"/>
        </w:numPr>
        <w:tabs>
          <w:tab w:val="clear" w:pos="454"/>
        </w:tabs>
        <w:spacing w:before="0"/>
        <w:ind w:left="567" w:hanging="567"/>
        <w:jc w:val="left"/>
        <w:rPr>
          <w:color w:val="000000"/>
          <w:sz w:val="22"/>
          <w:szCs w:val="22"/>
          <w:lang w:val="fi-FI"/>
        </w:rPr>
      </w:pPr>
      <w:r>
        <w:rPr>
          <w:b/>
          <w:bCs/>
          <w:color w:val="000000"/>
          <w:sz w:val="22"/>
          <w:szCs w:val="22"/>
          <w:lang w:val="fi-FI"/>
        </w:rPr>
        <w:t xml:space="preserve">Jos saat hoitoa </w:t>
      </w:r>
      <w:r>
        <w:rPr>
          <w:b/>
          <w:color w:val="000000"/>
          <w:sz w:val="22"/>
          <w:szCs w:val="22"/>
          <w:lang w:val="fi-FI"/>
        </w:rPr>
        <w:t>hypereosinofiiliseen oireyhtymään/krooniseen eosinofiiliseen leukemiaan:</w:t>
      </w:r>
      <w:r>
        <w:rPr>
          <w:color w:val="000000"/>
          <w:sz w:val="22"/>
          <w:szCs w:val="22"/>
          <w:lang w:val="fi-FI"/>
        </w:rPr>
        <w:t xml:space="preserve"> Aloitusannos on 100 mg </w:t>
      </w:r>
      <w:r>
        <w:rPr>
          <w:rFonts w:ascii="Times New Roman Bold" w:hAnsi="Times New Roman Bold"/>
          <w:b/>
          <w:color w:val="000000"/>
          <w:sz w:val="22"/>
          <w:szCs w:val="22"/>
          <w:lang w:val="fi-FI"/>
        </w:rPr>
        <w:t>kerran</w:t>
      </w:r>
      <w:r>
        <w:rPr>
          <w:color w:val="000000"/>
          <w:sz w:val="22"/>
          <w:szCs w:val="22"/>
          <w:lang w:val="fi-FI"/>
        </w:rPr>
        <w:t xml:space="preserve"> vuorokaudessa. Lääkärisi voi suurentaa annoksen hoitovasteen perusteella tasolle 400 mg </w:t>
      </w:r>
      <w:r>
        <w:rPr>
          <w:rFonts w:ascii="Times New Roman Bold" w:hAnsi="Times New Roman Bold"/>
          <w:b/>
          <w:color w:val="000000"/>
          <w:sz w:val="22"/>
          <w:szCs w:val="22"/>
          <w:lang w:val="fi-FI"/>
        </w:rPr>
        <w:t>kerran</w:t>
      </w:r>
      <w:r>
        <w:rPr>
          <w:color w:val="000000"/>
          <w:sz w:val="22"/>
          <w:szCs w:val="22"/>
          <w:lang w:val="fi-FI"/>
        </w:rPr>
        <w:t xml:space="preserve"> vuorokaudessa.</w:t>
      </w:r>
    </w:p>
    <w:p w14:paraId="586FD0F8" w14:textId="77777777" w:rsidR="008F2D51" w:rsidRDefault="008F2D51" w:rsidP="008F2D51">
      <w:pPr>
        <w:pStyle w:val="Text"/>
        <w:widowControl w:val="0"/>
        <w:spacing w:before="0"/>
        <w:jc w:val="left"/>
        <w:rPr>
          <w:color w:val="000000"/>
          <w:sz w:val="22"/>
          <w:szCs w:val="22"/>
          <w:lang w:val="fi-FI"/>
        </w:rPr>
      </w:pPr>
    </w:p>
    <w:p w14:paraId="586FD0F9" w14:textId="77777777" w:rsidR="008F2D51" w:rsidRDefault="008F2D51" w:rsidP="008F2D51">
      <w:pPr>
        <w:pStyle w:val="Text"/>
        <w:widowControl w:val="0"/>
        <w:numPr>
          <w:ilvl w:val="0"/>
          <w:numId w:val="19"/>
        </w:numPr>
        <w:tabs>
          <w:tab w:val="clear" w:pos="454"/>
        </w:tabs>
        <w:spacing w:before="0"/>
        <w:ind w:left="567" w:hanging="567"/>
        <w:jc w:val="left"/>
        <w:rPr>
          <w:b/>
          <w:color w:val="000000"/>
          <w:sz w:val="22"/>
          <w:szCs w:val="22"/>
          <w:lang w:val="fi-FI"/>
        </w:rPr>
      </w:pPr>
      <w:r>
        <w:rPr>
          <w:b/>
          <w:color w:val="000000"/>
          <w:sz w:val="22"/>
          <w:szCs w:val="22"/>
          <w:lang w:val="fi-FI"/>
        </w:rPr>
        <w:t>Jos saat hoitoa dermatofibrosarcoma protuberansiin (DFSP):</w:t>
      </w:r>
    </w:p>
    <w:p w14:paraId="586FD0FA" w14:textId="099BAB82" w:rsidR="008F2D51" w:rsidRDefault="008F2D51" w:rsidP="002A600D">
      <w:pPr>
        <w:pStyle w:val="Text"/>
        <w:widowControl w:val="0"/>
        <w:spacing w:before="0"/>
        <w:ind w:left="567"/>
        <w:jc w:val="left"/>
        <w:rPr>
          <w:color w:val="000000"/>
          <w:sz w:val="22"/>
          <w:szCs w:val="22"/>
          <w:lang w:val="fi-FI"/>
        </w:rPr>
      </w:pPr>
      <w:r>
        <w:rPr>
          <w:color w:val="000000"/>
          <w:sz w:val="22"/>
          <w:szCs w:val="22"/>
          <w:lang w:val="fi-FI"/>
        </w:rPr>
        <w:t xml:space="preserve">Annos on 800 mg vuorokaudessa eli </w:t>
      </w:r>
      <w:r w:rsidR="00800EFA">
        <w:rPr>
          <w:color w:val="000000"/>
          <w:sz w:val="22"/>
          <w:szCs w:val="22"/>
          <w:lang w:val="fi-FI"/>
        </w:rPr>
        <w:t>400 mg</w:t>
      </w:r>
      <w:r>
        <w:rPr>
          <w:color w:val="000000"/>
          <w:sz w:val="22"/>
          <w:szCs w:val="22"/>
          <w:lang w:val="fi-FI"/>
        </w:rPr>
        <w:t xml:space="preserve"> aamulla ja </w:t>
      </w:r>
      <w:r w:rsidR="00800EFA">
        <w:rPr>
          <w:color w:val="000000"/>
          <w:sz w:val="22"/>
          <w:szCs w:val="22"/>
          <w:lang w:val="fi-FI"/>
        </w:rPr>
        <w:t>400 mg</w:t>
      </w:r>
      <w:r>
        <w:rPr>
          <w:color w:val="000000"/>
          <w:sz w:val="22"/>
          <w:szCs w:val="22"/>
          <w:lang w:val="fi-FI"/>
        </w:rPr>
        <w:t xml:space="preserve"> illalla.</w:t>
      </w:r>
    </w:p>
    <w:p w14:paraId="586FD0FB" w14:textId="796019AE" w:rsidR="008F2D51" w:rsidRDefault="008F2D51" w:rsidP="008F2D51">
      <w:pPr>
        <w:pStyle w:val="Text"/>
        <w:widowControl w:val="0"/>
        <w:spacing w:before="0"/>
        <w:jc w:val="left"/>
        <w:rPr>
          <w:color w:val="000000"/>
          <w:sz w:val="22"/>
          <w:szCs w:val="22"/>
          <w:lang w:val="fi-FI"/>
        </w:rPr>
      </w:pPr>
    </w:p>
    <w:p w14:paraId="76C622DE" w14:textId="45ECBCDA" w:rsidR="00800EFA" w:rsidRDefault="00800EFA" w:rsidP="008F2D51">
      <w:pPr>
        <w:pStyle w:val="Text"/>
        <w:widowControl w:val="0"/>
        <w:spacing w:before="0"/>
        <w:jc w:val="left"/>
        <w:rPr>
          <w:color w:val="000000"/>
          <w:sz w:val="22"/>
          <w:szCs w:val="22"/>
          <w:lang w:val="fi-FI"/>
        </w:rPr>
      </w:pPr>
      <w:r>
        <w:rPr>
          <w:color w:val="000000"/>
          <w:sz w:val="22"/>
          <w:szCs w:val="22"/>
          <w:lang w:val="fi-FI"/>
        </w:rPr>
        <w:t>400 mg:n annos voidaan ottaa joko yhtenä 400 mg:n tablettina tai neljänä 100 mg:n tablettina.</w:t>
      </w:r>
    </w:p>
    <w:p w14:paraId="2615C4BF" w14:textId="25390222" w:rsidR="00800EFA" w:rsidRDefault="00800EFA" w:rsidP="008F2D51">
      <w:pPr>
        <w:pStyle w:val="Text"/>
        <w:widowControl w:val="0"/>
        <w:spacing w:before="0"/>
        <w:jc w:val="left"/>
        <w:rPr>
          <w:color w:val="000000"/>
          <w:sz w:val="22"/>
          <w:szCs w:val="22"/>
          <w:lang w:val="fi-FI"/>
        </w:rPr>
      </w:pPr>
      <w:r>
        <w:rPr>
          <w:color w:val="000000"/>
          <w:sz w:val="22"/>
          <w:szCs w:val="22"/>
          <w:lang w:val="fi-FI"/>
        </w:rPr>
        <w:t xml:space="preserve">600 mg:n annos </w:t>
      </w:r>
      <w:r w:rsidR="00E121FB">
        <w:rPr>
          <w:color w:val="000000"/>
          <w:sz w:val="22"/>
          <w:szCs w:val="22"/>
          <w:lang w:val="fi-FI"/>
        </w:rPr>
        <w:t>saadaan ottamalla yksi</w:t>
      </w:r>
      <w:r>
        <w:rPr>
          <w:color w:val="000000"/>
          <w:sz w:val="22"/>
          <w:szCs w:val="22"/>
          <w:lang w:val="fi-FI"/>
        </w:rPr>
        <w:t xml:space="preserve"> 400 mg:n tabletti ja </w:t>
      </w:r>
      <w:r w:rsidR="00E121FB">
        <w:rPr>
          <w:color w:val="000000"/>
          <w:sz w:val="22"/>
          <w:szCs w:val="22"/>
          <w:lang w:val="fi-FI"/>
        </w:rPr>
        <w:t>kaksi 100 mg:n tablettia.</w:t>
      </w:r>
    </w:p>
    <w:p w14:paraId="171397BD" w14:textId="77777777" w:rsidR="00E121FB" w:rsidRDefault="00E121FB" w:rsidP="008F2D51">
      <w:pPr>
        <w:pStyle w:val="Text"/>
        <w:widowControl w:val="0"/>
        <w:spacing w:before="0"/>
        <w:jc w:val="left"/>
        <w:rPr>
          <w:color w:val="000000"/>
          <w:sz w:val="22"/>
          <w:szCs w:val="22"/>
          <w:lang w:val="fi-FI"/>
        </w:rPr>
      </w:pPr>
    </w:p>
    <w:p w14:paraId="586FD0FC" w14:textId="77777777" w:rsidR="008F2D51" w:rsidRDefault="008F2D51" w:rsidP="00774A0B">
      <w:pPr>
        <w:pStyle w:val="Text"/>
        <w:keepNext/>
        <w:widowControl w:val="0"/>
        <w:spacing w:before="0"/>
        <w:jc w:val="left"/>
        <w:rPr>
          <w:b/>
          <w:color w:val="000000"/>
          <w:sz w:val="22"/>
          <w:szCs w:val="22"/>
          <w:lang w:val="fi-FI"/>
        </w:rPr>
      </w:pPr>
      <w:r>
        <w:rPr>
          <w:b/>
          <w:color w:val="000000"/>
          <w:sz w:val="22"/>
          <w:szCs w:val="22"/>
          <w:lang w:val="fi-FI"/>
        </w:rPr>
        <w:t>Käyttö lapsill</w:t>
      </w:r>
      <w:r w:rsidR="00BC138E">
        <w:rPr>
          <w:b/>
          <w:color w:val="000000"/>
          <w:sz w:val="22"/>
          <w:szCs w:val="22"/>
          <w:lang w:val="fi-FI"/>
        </w:rPr>
        <w:t>e ja nuorille</w:t>
      </w:r>
    </w:p>
    <w:p w14:paraId="586FD0FD" w14:textId="77777777" w:rsidR="008F2D51" w:rsidRDefault="008F2D51" w:rsidP="008F2D51">
      <w:pPr>
        <w:pStyle w:val="Text"/>
        <w:widowControl w:val="0"/>
        <w:spacing w:before="0"/>
        <w:jc w:val="left"/>
        <w:rPr>
          <w:color w:val="000000"/>
          <w:sz w:val="22"/>
          <w:szCs w:val="22"/>
          <w:lang w:val="fi-FI"/>
        </w:rPr>
      </w:pPr>
      <w:r>
        <w:rPr>
          <w:color w:val="000000"/>
          <w:sz w:val="22"/>
          <w:szCs w:val="22"/>
          <w:lang w:val="fi-FI"/>
        </w:rPr>
        <w:t xml:space="preserve">Lääkäri kertoo sinulle kuinka monta tablettia Gliveciä lapsellesi tulee antaa. Glivecin annos määräytyy lapsen yleistilan, painon ja pituuden mukaan. Lapselle annettava päivittäinen kokonaisannos ei saa olla </w:t>
      </w:r>
      <w:r w:rsidR="00D07DCE">
        <w:rPr>
          <w:color w:val="000000"/>
          <w:sz w:val="22"/>
          <w:szCs w:val="22"/>
          <w:lang w:val="fi-FI"/>
        </w:rPr>
        <w:t xml:space="preserve">kroonisen myelooisen leukemian hoidossa </w:t>
      </w:r>
      <w:r>
        <w:rPr>
          <w:color w:val="000000"/>
          <w:sz w:val="22"/>
          <w:szCs w:val="22"/>
          <w:lang w:val="fi-FI"/>
        </w:rPr>
        <w:t>suurempi kuin 800 mg</w:t>
      </w:r>
      <w:r w:rsidR="00D07DCE">
        <w:rPr>
          <w:color w:val="000000"/>
          <w:sz w:val="22"/>
          <w:szCs w:val="22"/>
          <w:lang w:val="fi-FI"/>
        </w:rPr>
        <w:t>, eikä Ph-positiivisen akuutin lymfaattisen leukemian hoidossa suurempi kuin 600</w:t>
      </w:r>
      <w:r w:rsidR="00F105E0">
        <w:rPr>
          <w:color w:val="000000"/>
          <w:sz w:val="22"/>
          <w:szCs w:val="22"/>
          <w:lang w:val="fi-FI"/>
        </w:rPr>
        <w:t> </w:t>
      </w:r>
      <w:r w:rsidR="00D07DCE">
        <w:rPr>
          <w:color w:val="000000"/>
          <w:sz w:val="22"/>
          <w:szCs w:val="22"/>
          <w:lang w:val="fi-FI"/>
        </w:rPr>
        <w:t>mg</w:t>
      </w:r>
      <w:r>
        <w:rPr>
          <w:color w:val="000000"/>
          <w:sz w:val="22"/>
          <w:szCs w:val="22"/>
          <w:lang w:val="fi-FI"/>
        </w:rPr>
        <w:t>. Lääke voidaan antaa lapsellesi joko kerran päivässä tai vaihtoehtoisesti päiväannos voidaan jakaa kahteen annostelukertaan (puolet aamulla ja puolet illalla).</w:t>
      </w:r>
    </w:p>
    <w:p w14:paraId="586FD0FE" w14:textId="77777777" w:rsidR="008F2D51" w:rsidRDefault="008F2D51" w:rsidP="008F2D51">
      <w:pPr>
        <w:pStyle w:val="Text"/>
        <w:widowControl w:val="0"/>
        <w:spacing w:before="0"/>
        <w:jc w:val="left"/>
        <w:rPr>
          <w:color w:val="000000"/>
          <w:sz w:val="22"/>
          <w:szCs w:val="22"/>
          <w:lang w:val="fi-FI"/>
        </w:rPr>
      </w:pPr>
    </w:p>
    <w:p w14:paraId="586FD0FF" w14:textId="77777777" w:rsidR="008F2D51" w:rsidRDefault="008F2D51" w:rsidP="00774A0B">
      <w:pPr>
        <w:pStyle w:val="Text"/>
        <w:keepNext/>
        <w:widowControl w:val="0"/>
        <w:spacing w:before="0"/>
        <w:jc w:val="left"/>
        <w:rPr>
          <w:b/>
          <w:color w:val="000000"/>
          <w:sz w:val="22"/>
          <w:szCs w:val="22"/>
          <w:lang w:val="fi-FI"/>
        </w:rPr>
      </w:pPr>
      <w:r>
        <w:rPr>
          <w:b/>
          <w:color w:val="000000"/>
          <w:sz w:val="22"/>
          <w:szCs w:val="22"/>
          <w:lang w:val="fi-FI"/>
        </w:rPr>
        <w:t>Milloin ja miten Gliveciä käytetään</w:t>
      </w:r>
    </w:p>
    <w:p w14:paraId="586FD100" w14:textId="77777777" w:rsidR="008F2D51" w:rsidRDefault="008F2D51" w:rsidP="00774A0B">
      <w:pPr>
        <w:pStyle w:val="Text"/>
        <w:keepNext/>
        <w:widowControl w:val="0"/>
        <w:numPr>
          <w:ilvl w:val="0"/>
          <w:numId w:val="25"/>
        </w:numPr>
        <w:tabs>
          <w:tab w:val="clear" w:pos="927"/>
        </w:tabs>
        <w:spacing w:before="0"/>
        <w:ind w:left="567" w:hanging="567"/>
        <w:jc w:val="left"/>
        <w:rPr>
          <w:color w:val="000000"/>
          <w:sz w:val="22"/>
          <w:szCs w:val="22"/>
          <w:lang w:val="fi-FI"/>
        </w:rPr>
      </w:pPr>
      <w:r>
        <w:rPr>
          <w:b/>
          <w:color w:val="000000"/>
          <w:sz w:val="22"/>
          <w:szCs w:val="22"/>
          <w:lang w:val="fi-FI"/>
        </w:rPr>
        <w:t xml:space="preserve">Ota Glivec ruokailun yhteydessä. </w:t>
      </w:r>
      <w:r>
        <w:rPr>
          <w:color w:val="000000"/>
          <w:sz w:val="22"/>
          <w:szCs w:val="22"/>
          <w:lang w:val="fi-FI"/>
        </w:rPr>
        <w:t>Tämä auttaa sinua välttymään vatsaongelmilta Glivecin käytön aikana.</w:t>
      </w:r>
    </w:p>
    <w:p w14:paraId="586FD101" w14:textId="77777777" w:rsidR="008F2D51" w:rsidRDefault="008F2D51" w:rsidP="008F2D51">
      <w:pPr>
        <w:pStyle w:val="Text"/>
        <w:widowControl w:val="0"/>
        <w:numPr>
          <w:ilvl w:val="0"/>
          <w:numId w:val="25"/>
        </w:numPr>
        <w:tabs>
          <w:tab w:val="clear" w:pos="927"/>
        </w:tabs>
        <w:spacing w:before="0"/>
        <w:ind w:left="567" w:hanging="567"/>
        <w:jc w:val="left"/>
        <w:rPr>
          <w:b/>
          <w:color w:val="000000"/>
          <w:sz w:val="22"/>
          <w:szCs w:val="22"/>
          <w:lang w:val="fi-FI"/>
        </w:rPr>
      </w:pPr>
      <w:r>
        <w:rPr>
          <w:b/>
          <w:color w:val="000000"/>
          <w:sz w:val="22"/>
          <w:szCs w:val="22"/>
          <w:lang w:val="fi-FI"/>
        </w:rPr>
        <w:t>Nielaise tabletit kokonaisina ison vesilasillisen kera.</w:t>
      </w:r>
    </w:p>
    <w:p w14:paraId="586FD102" w14:textId="77777777" w:rsidR="008F2D51" w:rsidRDefault="008F2D51" w:rsidP="008F2D51">
      <w:pPr>
        <w:pStyle w:val="Text"/>
        <w:widowControl w:val="0"/>
        <w:spacing w:before="0"/>
        <w:jc w:val="left"/>
        <w:rPr>
          <w:color w:val="000000"/>
          <w:sz w:val="22"/>
          <w:szCs w:val="22"/>
          <w:lang w:val="fi-FI"/>
        </w:rPr>
      </w:pPr>
    </w:p>
    <w:p w14:paraId="586FD103" w14:textId="77777777" w:rsidR="008F2D51" w:rsidRDefault="008F2D51" w:rsidP="00774A0B">
      <w:pPr>
        <w:pStyle w:val="Text"/>
        <w:keepNext/>
        <w:widowControl w:val="0"/>
        <w:spacing w:before="0"/>
        <w:jc w:val="left"/>
        <w:rPr>
          <w:color w:val="000000"/>
          <w:sz w:val="22"/>
          <w:szCs w:val="22"/>
          <w:lang w:val="fi-FI"/>
        </w:rPr>
      </w:pPr>
      <w:r>
        <w:rPr>
          <w:color w:val="000000"/>
          <w:sz w:val="22"/>
          <w:szCs w:val="22"/>
          <w:lang w:val="fi-FI"/>
        </w:rPr>
        <w:t>Jos et pysty nielemään tabletteja kokonaisina, voit sekoittaa ne veteen tai omenamehuun:</w:t>
      </w:r>
    </w:p>
    <w:p w14:paraId="586FD104" w14:textId="55055516" w:rsidR="008F2D51" w:rsidRDefault="008F2D51" w:rsidP="008F2D51">
      <w:pPr>
        <w:pStyle w:val="Text"/>
        <w:widowControl w:val="0"/>
        <w:numPr>
          <w:ilvl w:val="0"/>
          <w:numId w:val="16"/>
        </w:numPr>
        <w:tabs>
          <w:tab w:val="clear" w:pos="720"/>
        </w:tabs>
        <w:spacing w:before="0"/>
        <w:ind w:left="567" w:hanging="567"/>
        <w:jc w:val="left"/>
        <w:rPr>
          <w:color w:val="000000"/>
          <w:sz w:val="22"/>
          <w:szCs w:val="22"/>
          <w:lang w:val="fi-FI"/>
        </w:rPr>
      </w:pPr>
      <w:r>
        <w:rPr>
          <w:color w:val="000000"/>
          <w:sz w:val="22"/>
          <w:szCs w:val="22"/>
          <w:lang w:val="fi-FI"/>
        </w:rPr>
        <w:t>Käytä nestettä noin 50 ml yhtä 100 mg:n tablettia kohti</w:t>
      </w:r>
      <w:r w:rsidR="00E121FB">
        <w:rPr>
          <w:color w:val="000000"/>
          <w:sz w:val="22"/>
          <w:szCs w:val="22"/>
          <w:lang w:val="fi-FI"/>
        </w:rPr>
        <w:t xml:space="preserve"> tai 200 ml yhtä 400 mg:n tablettia kohti</w:t>
      </w:r>
      <w:r>
        <w:rPr>
          <w:color w:val="000000"/>
          <w:sz w:val="22"/>
          <w:szCs w:val="22"/>
          <w:lang w:val="fi-FI"/>
        </w:rPr>
        <w:t>.</w:t>
      </w:r>
    </w:p>
    <w:p w14:paraId="586FD105" w14:textId="77777777" w:rsidR="008F2D51" w:rsidRDefault="008F2D51" w:rsidP="008F2D51">
      <w:pPr>
        <w:pStyle w:val="Text"/>
        <w:widowControl w:val="0"/>
        <w:numPr>
          <w:ilvl w:val="0"/>
          <w:numId w:val="16"/>
        </w:numPr>
        <w:tabs>
          <w:tab w:val="clear" w:pos="720"/>
        </w:tabs>
        <w:spacing w:before="0"/>
        <w:ind w:left="567" w:hanging="567"/>
        <w:jc w:val="left"/>
        <w:rPr>
          <w:color w:val="000000"/>
          <w:sz w:val="22"/>
          <w:szCs w:val="22"/>
          <w:lang w:val="fi-FI"/>
        </w:rPr>
      </w:pPr>
      <w:r>
        <w:rPr>
          <w:color w:val="000000"/>
          <w:sz w:val="22"/>
          <w:szCs w:val="22"/>
          <w:lang w:val="fi-FI"/>
        </w:rPr>
        <w:t>Sekoita lusikalla kunnes tabletit ovat liuenneet täydellisesti.</w:t>
      </w:r>
    </w:p>
    <w:p w14:paraId="586FD106" w14:textId="77777777" w:rsidR="008F2D51" w:rsidRDefault="008F2D51" w:rsidP="008F2D51">
      <w:pPr>
        <w:pStyle w:val="Text"/>
        <w:widowControl w:val="0"/>
        <w:numPr>
          <w:ilvl w:val="0"/>
          <w:numId w:val="16"/>
        </w:numPr>
        <w:tabs>
          <w:tab w:val="clear" w:pos="720"/>
        </w:tabs>
        <w:spacing w:before="0"/>
        <w:ind w:left="567" w:hanging="567"/>
        <w:jc w:val="left"/>
        <w:rPr>
          <w:color w:val="000000"/>
          <w:sz w:val="22"/>
          <w:szCs w:val="22"/>
          <w:lang w:val="fi-FI"/>
        </w:rPr>
      </w:pPr>
      <w:r>
        <w:rPr>
          <w:color w:val="000000"/>
          <w:sz w:val="22"/>
          <w:szCs w:val="22"/>
          <w:lang w:val="fi-FI"/>
        </w:rPr>
        <w:t>Kun tabletti on liuennut, juo välittömästi koko lasin sisältö. Lasiin saattaa jäädä jäämiä liuenneista tableteista.</w:t>
      </w:r>
    </w:p>
    <w:p w14:paraId="586FD107" w14:textId="77777777" w:rsidR="008F2D51" w:rsidRDefault="008F2D51" w:rsidP="008F2D51">
      <w:pPr>
        <w:pStyle w:val="Text"/>
        <w:widowControl w:val="0"/>
        <w:spacing w:before="0"/>
        <w:jc w:val="left"/>
        <w:rPr>
          <w:color w:val="000000"/>
          <w:sz w:val="22"/>
          <w:szCs w:val="22"/>
          <w:lang w:val="fi-FI"/>
        </w:rPr>
      </w:pPr>
    </w:p>
    <w:p w14:paraId="586FD108" w14:textId="77777777" w:rsidR="008F2D51" w:rsidRDefault="008F2D51" w:rsidP="00774A0B">
      <w:pPr>
        <w:pStyle w:val="Text"/>
        <w:keepNext/>
        <w:widowControl w:val="0"/>
        <w:spacing w:before="0"/>
        <w:jc w:val="left"/>
        <w:rPr>
          <w:b/>
          <w:color w:val="000000"/>
          <w:sz w:val="22"/>
          <w:szCs w:val="22"/>
          <w:lang w:val="fi-FI"/>
        </w:rPr>
      </w:pPr>
      <w:r>
        <w:rPr>
          <w:b/>
          <w:color w:val="000000"/>
          <w:sz w:val="22"/>
          <w:szCs w:val="22"/>
          <w:lang w:val="fi-FI"/>
        </w:rPr>
        <w:t>Miten pitkään Gliveciä käytetään</w:t>
      </w:r>
    </w:p>
    <w:p w14:paraId="586FD109" w14:textId="77777777" w:rsidR="008F2D51" w:rsidRDefault="008F2D51" w:rsidP="008F2D51">
      <w:pPr>
        <w:pStyle w:val="Text"/>
        <w:widowControl w:val="0"/>
        <w:spacing w:before="0"/>
        <w:jc w:val="left"/>
        <w:rPr>
          <w:color w:val="000000"/>
          <w:sz w:val="22"/>
          <w:szCs w:val="22"/>
          <w:lang w:val="fi-FI"/>
        </w:rPr>
      </w:pPr>
      <w:r>
        <w:rPr>
          <w:color w:val="000000"/>
          <w:sz w:val="22"/>
          <w:szCs w:val="22"/>
          <w:lang w:val="fi-FI"/>
        </w:rPr>
        <w:t>Jatka Glivecin käyttöä joka päivä niin pitkään kuin lääkärisi neuvoo.</w:t>
      </w:r>
    </w:p>
    <w:p w14:paraId="586FD10A" w14:textId="77777777" w:rsidR="008F2D51" w:rsidRDefault="008F2D51" w:rsidP="008F2D51">
      <w:pPr>
        <w:pStyle w:val="Text"/>
        <w:widowControl w:val="0"/>
        <w:spacing w:before="0"/>
        <w:jc w:val="left"/>
        <w:rPr>
          <w:color w:val="000000"/>
          <w:sz w:val="22"/>
          <w:szCs w:val="22"/>
          <w:lang w:val="fi-FI"/>
        </w:rPr>
      </w:pPr>
    </w:p>
    <w:p w14:paraId="586FD10B" w14:textId="77777777" w:rsidR="008F2D51" w:rsidRDefault="008F2D51" w:rsidP="00774A0B">
      <w:pPr>
        <w:keepNext/>
        <w:widowControl w:val="0"/>
        <w:ind w:right="-2"/>
        <w:rPr>
          <w:rFonts w:ascii="Times New Roman" w:hAnsi="Times New Roman"/>
          <w:sz w:val="22"/>
          <w:szCs w:val="22"/>
        </w:rPr>
      </w:pPr>
      <w:r>
        <w:rPr>
          <w:rFonts w:ascii="Times New Roman" w:hAnsi="Times New Roman"/>
          <w:b/>
          <w:sz w:val="22"/>
          <w:szCs w:val="22"/>
        </w:rPr>
        <w:t>Jos otat enemmän Gliveciä kuin sinun pitäisi</w:t>
      </w:r>
    </w:p>
    <w:p w14:paraId="586FD10C" w14:textId="77777777" w:rsidR="008F2D51" w:rsidRDefault="008F2D51" w:rsidP="008F2D51">
      <w:pPr>
        <w:pStyle w:val="Text"/>
        <w:widowControl w:val="0"/>
        <w:spacing w:before="0"/>
        <w:jc w:val="left"/>
        <w:rPr>
          <w:color w:val="000000"/>
          <w:sz w:val="22"/>
          <w:szCs w:val="22"/>
          <w:lang w:val="fi-FI"/>
        </w:rPr>
      </w:pPr>
      <w:r>
        <w:rPr>
          <w:color w:val="000000"/>
          <w:sz w:val="22"/>
          <w:szCs w:val="22"/>
          <w:lang w:val="fi-FI"/>
        </w:rPr>
        <w:t xml:space="preserve">Ota </w:t>
      </w:r>
      <w:r>
        <w:rPr>
          <w:b/>
          <w:color w:val="000000"/>
          <w:sz w:val="22"/>
          <w:szCs w:val="22"/>
          <w:lang w:val="fi-FI"/>
        </w:rPr>
        <w:t>heti</w:t>
      </w:r>
      <w:r>
        <w:rPr>
          <w:color w:val="000000"/>
          <w:sz w:val="22"/>
          <w:szCs w:val="22"/>
          <w:lang w:val="fi-FI"/>
        </w:rPr>
        <w:t xml:space="preserve"> yhteys lääkäriisi, jos olet vahingossa ottanut liian monta tablettia. Saatat tarvita lääkärin hoitoa. Ota lääkepakkaus mukaasi lääkäriin.</w:t>
      </w:r>
    </w:p>
    <w:p w14:paraId="586FD10D" w14:textId="77777777" w:rsidR="008F2D51" w:rsidRDefault="008F2D51" w:rsidP="008F2D51">
      <w:pPr>
        <w:ind w:right="-2"/>
        <w:rPr>
          <w:rFonts w:ascii="Times New Roman" w:hAnsi="Times New Roman"/>
          <w:noProof/>
          <w:sz w:val="22"/>
          <w:szCs w:val="22"/>
        </w:rPr>
      </w:pPr>
    </w:p>
    <w:p w14:paraId="586FD10E" w14:textId="77777777" w:rsidR="008F2D51" w:rsidRDefault="008F2D51" w:rsidP="00774A0B">
      <w:pPr>
        <w:keepNext/>
        <w:ind w:right="-2"/>
        <w:rPr>
          <w:rFonts w:ascii="Times New Roman" w:hAnsi="Times New Roman"/>
          <w:noProof/>
          <w:sz w:val="22"/>
          <w:szCs w:val="22"/>
        </w:rPr>
      </w:pPr>
      <w:r>
        <w:rPr>
          <w:rFonts w:ascii="Times New Roman" w:hAnsi="Times New Roman"/>
          <w:b/>
          <w:noProof/>
          <w:sz w:val="22"/>
          <w:szCs w:val="22"/>
        </w:rPr>
        <w:t>Jos unohdat ottaa Gliveciä</w:t>
      </w:r>
    </w:p>
    <w:p w14:paraId="586FD10F" w14:textId="77777777" w:rsidR="008F2D51" w:rsidRDefault="008F2D51" w:rsidP="008F2D51">
      <w:pPr>
        <w:widowControl w:val="0"/>
        <w:numPr>
          <w:ilvl w:val="0"/>
          <w:numId w:val="23"/>
        </w:numPr>
        <w:tabs>
          <w:tab w:val="clear" w:pos="927"/>
        </w:tabs>
        <w:ind w:left="567" w:right="-2" w:hanging="567"/>
        <w:rPr>
          <w:rFonts w:ascii="Times New Roman" w:hAnsi="Times New Roman"/>
          <w:noProof/>
          <w:sz w:val="22"/>
          <w:szCs w:val="22"/>
        </w:rPr>
      </w:pPr>
      <w:r>
        <w:rPr>
          <w:rFonts w:ascii="Times New Roman" w:hAnsi="Times New Roman"/>
          <w:noProof/>
          <w:sz w:val="22"/>
          <w:szCs w:val="22"/>
        </w:rPr>
        <w:t>Jos unohdat ottaa yhden annoksen, ota se heti kun muistat. Jos on kuitenkin jo melkein aika ottaa seuraava annos, jätä unohtunut annos väliin.</w:t>
      </w:r>
    </w:p>
    <w:p w14:paraId="586FD110" w14:textId="77777777" w:rsidR="008F2D51" w:rsidRDefault="008F2D51" w:rsidP="008F2D51">
      <w:pPr>
        <w:widowControl w:val="0"/>
        <w:numPr>
          <w:ilvl w:val="0"/>
          <w:numId w:val="23"/>
        </w:numPr>
        <w:tabs>
          <w:tab w:val="clear" w:pos="927"/>
        </w:tabs>
        <w:ind w:left="567" w:right="-2" w:hanging="567"/>
        <w:rPr>
          <w:rFonts w:ascii="Times New Roman" w:hAnsi="Times New Roman"/>
          <w:noProof/>
          <w:sz w:val="22"/>
          <w:szCs w:val="22"/>
        </w:rPr>
      </w:pPr>
      <w:r>
        <w:rPr>
          <w:rFonts w:ascii="Times New Roman" w:hAnsi="Times New Roman"/>
          <w:noProof/>
          <w:sz w:val="22"/>
          <w:szCs w:val="22"/>
        </w:rPr>
        <w:t>Sen jälkeen jatka normaalin aikataulun mukaisesti.</w:t>
      </w:r>
    </w:p>
    <w:p w14:paraId="586FD111" w14:textId="77777777" w:rsidR="008F2D51" w:rsidRDefault="008F2D51" w:rsidP="008F2D51">
      <w:pPr>
        <w:widowControl w:val="0"/>
        <w:numPr>
          <w:ilvl w:val="0"/>
          <w:numId w:val="23"/>
        </w:numPr>
        <w:tabs>
          <w:tab w:val="clear" w:pos="927"/>
        </w:tabs>
        <w:ind w:left="567" w:right="-2" w:hanging="567"/>
        <w:rPr>
          <w:rFonts w:ascii="Times New Roman" w:hAnsi="Times New Roman"/>
          <w:noProof/>
          <w:sz w:val="22"/>
          <w:szCs w:val="22"/>
        </w:rPr>
      </w:pPr>
      <w:r>
        <w:rPr>
          <w:rFonts w:ascii="Times New Roman" w:hAnsi="Times New Roman"/>
          <w:noProof/>
          <w:sz w:val="22"/>
          <w:szCs w:val="22"/>
        </w:rPr>
        <w:t>Älä ota kaksinkertaista annosta korvataksesi unohtamasi kerta-annoksen.</w:t>
      </w:r>
    </w:p>
    <w:p w14:paraId="586FD112" w14:textId="77777777" w:rsidR="008F2D51" w:rsidRDefault="008F2D51" w:rsidP="008F2D51">
      <w:pPr>
        <w:widowControl w:val="0"/>
        <w:ind w:right="-2"/>
        <w:rPr>
          <w:rFonts w:ascii="Times New Roman" w:hAnsi="Times New Roman"/>
          <w:sz w:val="22"/>
          <w:szCs w:val="22"/>
        </w:rPr>
      </w:pPr>
    </w:p>
    <w:p w14:paraId="586FD113" w14:textId="77777777" w:rsidR="008F2D51" w:rsidRDefault="008F2D51" w:rsidP="008F2D51">
      <w:pPr>
        <w:ind w:right="-2"/>
        <w:rPr>
          <w:rFonts w:ascii="Times New Roman" w:hAnsi="Times New Roman"/>
          <w:noProof/>
          <w:sz w:val="22"/>
          <w:szCs w:val="22"/>
        </w:rPr>
      </w:pPr>
      <w:r>
        <w:rPr>
          <w:rFonts w:ascii="Times New Roman" w:hAnsi="Times New Roman"/>
          <w:noProof/>
          <w:sz w:val="22"/>
          <w:szCs w:val="22"/>
        </w:rPr>
        <w:t>Jos sinulla on kysymyksiä tämän lääkkeen käytöstä, käänny lääkärin</w:t>
      </w:r>
      <w:r w:rsidR="00B27753">
        <w:rPr>
          <w:rFonts w:ascii="Times New Roman" w:hAnsi="Times New Roman"/>
          <w:noProof/>
          <w:sz w:val="22"/>
          <w:szCs w:val="22"/>
        </w:rPr>
        <w:t>,</w:t>
      </w:r>
      <w:r>
        <w:rPr>
          <w:rFonts w:ascii="Times New Roman" w:hAnsi="Times New Roman"/>
          <w:noProof/>
          <w:sz w:val="22"/>
          <w:szCs w:val="22"/>
        </w:rPr>
        <w:t xml:space="preserve"> apteekkihenkilökunnan </w:t>
      </w:r>
      <w:r w:rsidR="00B27753">
        <w:rPr>
          <w:rFonts w:ascii="Times New Roman" w:hAnsi="Times New Roman"/>
          <w:noProof/>
          <w:sz w:val="22"/>
          <w:szCs w:val="22"/>
        </w:rPr>
        <w:t xml:space="preserve">tai sairaanhoitajan </w:t>
      </w:r>
      <w:r>
        <w:rPr>
          <w:rFonts w:ascii="Times New Roman" w:hAnsi="Times New Roman"/>
          <w:noProof/>
          <w:sz w:val="22"/>
          <w:szCs w:val="22"/>
        </w:rPr>
        <w:t>puoleen.</w:t>
      </w:r>
    </w:p>
    <w:p w14:paraId="586FD114" w14:textId="77777777" w:rsidR="008F2D51" w:rsidRDefault="008F2D51" w:rsidP="008F2D51">
      <w:pPr>
        <w:widowControl w:val="0"/>
        <w:ind w:right="-2"/>
        <w:rPr>
          <w:rFonts w:ascii="Times New Roman" w:hAnsi="Times New Roman"/>
          <w:sz w:val="22"/>
          <w:szCs w:val="22"/>
        </w:rPr>
      </w:pPr>
    </w:p>
    <w:p w14:paraId="586FD115" w14:textId="77777777" w:rsidR="008F2D51" w:rsidRDefault="008F2D51" w:rsidP="008F2D51">
      <w:pPr>
        <w:widowControl w:val="0"/>
        <w:ind w:right="-2"/>
        <w:rPr>
          <w:rFonts w:ascii="Times New Roman" w:hAnsi="Times New Roman"/>
          <w:sz w:val="22"/>
          <w:szCs w:val="22"/>
        </w:rPr>
      </w:pPr>
    </w:p>
    <w:p w14:paraId="586FD116" w14:textId="77777777" w:rsidR="00311DC5" w:rsidRDefault="00311DC5" w:rsidP="00311DC5">
      <w:pPr>
        <w:keepNext/>
        <w:widowControl w:val="0"/>
        <w:ind w:left="567" w:right="-2" w:hanging="567"/>
        <w:rPr>
          <w:rFonts w:ascii="Times New Roman" w:hAnsi="Times New Roman"/>
          <w:sz w:val="22"/>
          <w:szCs w:val="22"/>
        </w:rPr>
      </w:pPr>
      <w:r>
        <w:rPr>
          <w:rFonts w:ascii="Times New Roman" w:hAnsi="Times New Roman"/>
          <w:b/>
          <w:sz w:val="22"/>
          <w:szCs w:val="22"/>
        </w:rPr>
        <w:lastRenderedPageBreak/>
        <w:t>4.</w:t>
      </w:r>
      <w:r>
        <w:rPr>
          <w:rFonts w:ascii="Times New Roman" w:hAnsi="Times New Roman"/>
          <w:b/>
          <w:sz w:val="22"/>
          <w:szCs w:val="22"/>
        </w:rPr>
        <w:tab/>
        <w:t>Mahdolliset haittavaikutukset</w:t>
      </w:r>
    </w:p>
    <w:p w14:paraId="586FD117" w14:textId="77777777" w:rsidR="00311DC5" w:rsidRDefault="00311DC5" w:rsidP="00311DC5">
      <w:pPr>
        <w:pStyle w:val="Text"/>
        <w:keepNext/>
        <w:widowControl w:val="0"/>
        <w:spacing w:before="0"/>
        <w:jc w:val="left"/>
        <w:rPr>
          <w:color w:val="000000"/>
          <w:sz w:val="22"/>
          <w:szCs w:val="22"/>
          <w:lang w:val="fi-FI"/>
        </w:rPr>
      </w:pPr>
    </w:p>
    <w:p w14:paraId="586FD118" w14:textId="77777777" w:rsidR="00311DC5" w:rsidRDefault="00311DC5" w:rsidP="00774A0B">
      <w:pPr>
        <w:keepNext/>
        <w:keepLines/>
        <w:widowControl w:val="0"/>
        <w:ind w:right="-28"/>
        <w:rPr>
          <w:rFonts w:ascii="Times New Roman" w:hAnsi="Times New Roman"/>
          <w:sz w:val="22"/>
          <w:szCs w:val="22"/>
        </w:rPr>
      </w:pPr>
      <w:r>
        <w:rPr>
          <w:rFonts w:ascii="Times New Roman" w:hAnsi="Times New Roman"/>
          <w:noProof/>
          <w:sz w:val="22"/>
          <w:szCs w:val="22"/>
        </w:rPr>
        <w:t>Kuten kaikki lääkkeet, tämäkin lääke voi aiheuttaa haittavaikutuksia. Kaikki eivät kuitenkaan niitä saa</w:t>
      </w:r>
      <w:r>
        <w:rPr>
          <w:rFonts w:ascii="Times New Roman" w:hAnsi="Times New Roman"/>
          <w:sz w:val="22"/>
          <w:szCs w:val="22"/>
        </w:rPr>
        <w:t>. Ne ovat tavallisesti lieviä tai kohtalaisia.</w:t>
      </w:r>
    </w:p>
    <w:p w14:paraId="586FD119" w14:textId="77777777" w:rsidR="00311DC5" w:rsidRDefault="00311DC5" w:rsidP="00774A0B">
      <w:pPr>
        <w:pStyle w:val="Text"/>
        <w:keepNext/>
        <w:widowControl w:val="0"/>
        <w:spacing w:before="0"/>
        <w:ind w:left="567" w:hanging="567"/>
        <w:jc w:val="left"/>
        <w:rPr>
          <w:color w:val="000000"/>
          <w:sz w:val="22"/>
          <w:szCs w:val="22"/>
          <w:lang w:val="fi-FI"/>
        </w:rPr>
      </w:pPr>
    </w:p>
    <w:p w14:paraId="586FD11A" w14:textId="77777777" w:rsidR="00311DC5" w:rsidRDefault="00311DC5" w:rsidP="00774A0B">
      <w:pPr>
        <w:keepNext/>
        <w:keepLines/>
        <w:widowControl w:val="0"/>
        <w:ind w:right="-28"/>
        <w:rPr>
          <w:rFonts w:ascii="Times New Roman" w:hAnsi="Times New Roman"/>
          <w:sz w:val="22"/>
          <w:szCs w:val="22"/>
        </w:rPr>
      </w:pPr>
      <w:r>
        <w:rPr>
          <w:rFonts w:ascii="Times New Roman" w:hAnsi="Times New Roman"/>
          <w:b/>
          <w:sz w:val="22"/>
          <w:szCs w:val="22"/>
        </w:rPr>
        <w:t>Osa haittavaikutuksista voi olla vakavia. Mikäli saat jonkin seuraavista haittavaikutuksista,</w:t>
      </w:r>
      <w:r>
        <w:rPr>
          <w:rFonts w:ascii="Times New Roman" w:hAnsi="Times New Roman"/>
          <w:sz w:val="22"/>
          <w:szCs w:val="22"/>
        </w:rPr>
        <w:t xml:space="preserve"> </w:t>
      </w:r>
      <w:r>
        <w:rPr>
          <w:rFonts w:ascii="Times New Roman" w:hAnsi="Times New Roman"/>
          <w:b/>
          <w:sz w:val="22"/>
          <w:szCs w:val="22"/>
        </w:rPr>
        <w:t>kerro heti asiasta lääkärillesi:</w:t>
      </w:r>
    </w:p>
    <w:p w14:paraId="586FD11B" w14:textId="77777777" w:rsidR="00311DC5" w:rsidRPr="00774A0B" w:rsidRDefault="00311DC5" w:rsidP="00774A0B">
      <w:pPr>
        <w:pStyle w:val="Text"/>
        <w:keepNext/>
        <w:widowControl w:val="0"/>
        <w:spacing w:before="0"/>
        <w:jc w:val="left"/>
        <w:rPr>
          <w:color w:val="000000"/>
          <w:sz w:val="22"/>
          <w:szCs w:val="22"/>
          <w:lang w:val="fi-FI"/>
        </w:rPr>
      </w:pPr>
    </w:p>
    <w:p w14:paraId="586FD11C" w14:textId="77777777" w:rsidR="00311DC5" w:rsidRPr="00BD27A3" w:rsidRDefault="00311DC5" w:rsidP="00774A0B">
      <w:pPr>
        <w:pStyle w:val="Text"/>
        <w:keepNext/>
        <w:widowControl w:val="0"/>
        <w:spacing w:before="0"/>
        <w:jc w:val="left"/>
        <w:rPr>
          <w:bCs/>
          <w:iCs/>
          <w:color w:val="000000"/>
          <w:sz w:val="22"/>
          <w:szCs w:val="22"/>
          <w:lang w:val="fi-FI"/>
        </w:rPr>
      </w:pPr>
      <w:r>
        <w:rPr>
          <w:b/>
          <w:bCs/>
          <w:iCs/>
          <w:color w:val="000000"/>
          <w:sz w:val="22"/>
          <w:szCs w:val="22"/>
          <w:lang w:val="fi-FI"/>
        </w:rPr>
        <w:t>Hyvin yleisiä</w:t>
      </w:r>
      <w:r w:rsidRPr="001F41C8">
        <w:rPr>
          <w:bCs/>
          <w:iCs/>
          <w:color w:val="000000"/>
          <w:sz w:val="22"/>
          <w:szCs w:val="22"/>
          <w:lang w:val="fi-FI"/>
        </w:rPr>
        <w:t xml:space="preserve"> </w:t>
      </w:r>
      <w:r w:rsidRPr="003B78EE">
        <w:rPr>
          <w:bCs/>
          <w:iCs/>
          <w:color w:val="000000"/>
          <w:sz w:val="22"/>
          <w:szCs w:val="22"/>
          <w:lang w:val="fi-FI"/>
        </w:rPr>
        <w:t>(yli 1 käyttäjällä 10:stä)</w:t>
      </w:r>
      <w:r>
        <w:rPr>
          <w:b/>
          <w:bCs/>
          <w:iCs/>
          <w:color w:val="000000"/>
          <w:sz w:val="22"/>
          <w:szCs w:val="22"/>
          <w:lang w:val="fi-FI"/>
        </w:rPr>
        <w:t xml:space="preserve"> tai yleisiä </w:t>
      </w:r>
      <w:r w:rsidRPr="003B78EE">
        <w:rPr>
          <w:bCs/>
          <w:iCs/>
          <w:color w:val="000000"/>
          <w:sz w:val="22"/>
          <w:szCs w:val="22"/>
          <w:lang w:val="fi-FI"/>
        </w:rPr>
        <w:t>(enintään 1 käyttäjällä 10:stä)</w:t>
      </w:r>
      <w:r w:rsidRPr="00BD27A3">
        <w:rPr>
          <w:bCs/>
          <w:iCs/>
          <w:color w:val="000000"/>
          <w:sz w:val="22"/>
          <w:szCs w:val="22"/>
          <w:lang w:val="fi-FI"/>
        </w:rPr>
        <w:t>:</w:t>
      </w:r>
    </w:p>
    <w:p w14:paraId="586FD11D" w14:textId="77777777" w:rsidR="00311DC5" w:rsidRDefault="00311DC5" w:rsidP="00311DC5">
      <w:pPr>
        <w:pStyle w:val="Text"/>
        <w:widowControl w:val="0"/>
        <w:numPr>
          <w:ilvl w:val="0"/>
          <w:numId w:val="3"/>
        </w:numPr>
        <w:tabs>
          <w:tab w:val="clear" w:pos="360"/>
        </w:tabs>
        <w:spacing w:before="0"/>
        <w:ind w:left="567" w:hanging="567"/>
        <w:jc w:val="left"/>
        <w:rPr>
          <w:color w:val="000000"/>
          <w:sz w:val="22"/>
          <w:szCs w:val="22"/>
          <w:lang w:val="fi-FI"/>
        </w:rPr>
      </w:pPr>
      <w:r>
        <w:rPr>
          <w:bCs/>
          <w:color w:val="000000"/>
          <w:sz w:val="22"/>
          <w:szCs w:val="22"/>
          <w:lang w:val="fi-FI"/>
        </w:rPr>
        <w:t xml:space="preserve">Nopea painon nousu. </w:t>
      </w:r>
      <w:r>
        <w:rPr>
          <w:color w:val="000000"/>
          <w:sz w:val="22"/>
          <w:szCs w:val="22"/>
          <w:lang w:val="fi-FI"/>
        </w:rPr>
        <w:t>Glivec-hoito voi aiheuttaa nesteen kertymistä elimistöön (vaikea turvotus).</w:t>
      </w:r>
    </w:p>
    <w:p w14:paraId="586FD11E" w14:textId="77777777" w:rsidR="00311DC5" w:rsidRDefault="00311DC5" w:rsidP="00311DC5">
      <w:pPr>
        <w:pStyle w:val="Text"/>
        <w:widowControl w:val="0"/>
        <w:numPr>
          <w:ilvl w:val="0"/>
          <w:numId w:val="4"/>
        </w:numPr>
        <w:tabs>
          <w:tab w:val="clear" w:pos="360"/>
        </w:tabs>
        <w:spacing w:before="0"/>
        <w:ind w:left="567" w:hanging="567"/>
        <w:jc w:val="left"/>
        <w:rPr>
          <w:color w:val="000000"/>
          <w:sz w:val="22"/>
          <w:szCs w:val="22"/>
          <w:lang w:val="fi-FI"/>
        </w:rPr>
      </w:pPr>
      <w:r>
        <w:rPr>
          <w:color w:val="000000"/>
          <w:sz w:val="22"/>
          <w:szCs w:val="22"/>
          <w:lang w:val="fi-FI"/>
        </w:rPr>
        <w:t>Infektion oireet, kuten kuume, pahat vilunväristykset, kurkkukipu tai suun haavaumat. Glivec voi vähentää veren valkosolujen määrää, joten voit saada infektioita herkemmin.</w:t>
      </w:r>
    </w:p>
    <w:p w14:paraId="586FD11F"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Yllättävä verenvuoto tai mustelmat (jotka eivät johdu loukkaantumisesta).</w:t>
      </w:r>
    </w:p>
    <w:p w14:paraId="586FD120" w14:textId="77777777" w:rsidR="00311DC5" w:rsidRDefault="00311DC5" w:rsidP="00311DC5">
      <w:pPr>
        <w:pStyle w:val="Text"/>
        <w:widowControl w:val="0"/>
        <w:spacing w:before="0"/>
        <w:jc w:val="left"/>
        <w:rPr>
          <w:color w:val="000000"/>
          <w:sz w:val="22"/>
          <w:szCs w:val="22"/>
          <w:lang w:val="fi-FI"/>
        </w:rPr>
      </w:pPr>
    </w:p>
    <w:p w14:paraId="586FD121" w14:textId="77777777" w:rsidR="00311DC5" w:rsidRPr="00BD27A3" w:rsidRDefault="00311DC5" w:rsidP="00774A0B">
      <w:pPr>
        <w:pStyle w:val="Text"/>
        <w:keepNext/>
        <w:widowControl w:val="0"/>
        <w:spacing w:before="0"/>
        <w:jc w:val="left"/>
        <w:rPr>
          <w:bCs/>
          <w:iCs/>
          <w:color w:val="000000"/>
          <w:sz w:val="22"/>
          <w:szCs w:val="22"/>
          <w:lang w:val="fi-FI"/>
        </w:rPr>
      </w:pPr>
      <w:r>
        <w:rPr>
          <w:b/>
          <w:bCs/>
          <w:iCs/>
          <w:color w:val="000000"/>
          <w:sz w:val="22"/>
          <w:szCs w:val="22"/>
          <w:lang w:val="fi-FI"/>
        </w:rPr>
        <w:t>Melko harvinaisia</w:t>
      </w:r>
      <w:r w:rsidRPr="001F41C8">
        <w:rPr>
          <w:bCs/>
          <w:iCs/>
          <w:color w:val="000000"/>
          <w:sz w:val="22"/>
          <w:szCs w:val="22"/>
          <w:lang w:val="fi-FI"/>
        </w:rPr>
        <w:t xml:space="preserve"> </w:t>
      </w:r>
      <w:r w:rsidRPr="003B78EE">
        <w:rPr>
          <w:bCs/>
          <w:iCs/>
          <w:color w:val="000000"/>
          <w:sz w:val="22"/>
          <w:szCs w:val="22"/>
          <w:lang w:val="fi-FI"/>
        </w:rPr>
        <w:t xml:space="preserve">(enintään 1 käyttäjällä 100:sta) </w:t>
      </w:r>
      <w:r>
        <w:rPr>
          <w:b/>
          <w:bCs/>
          <w:iCs/>
          <w:color w:val="000000"/>
          <w:sz w:val="22"/>
          <w:szCs w:val="22"/>
          <w:lang w:val="fi-FI"/>
        </w:rPr>
        <w:t xml:space="preserve">tai harvinaisia </w:t>
      </w:r>
      <w:r w:rsidRPr="003B78EE">
        <w:rPr>
          <w:bCs/>
          <w:iCs/>
          <w:color w:val="000000"/>
          <w:sz w:val="22"/>
          <w:szCs w:val="22"/>
          <w:lang w:val="fi-FI"/>
        </w:rPr>
        <w:t>(enintään 1 käyttäjällä 1 000:sta)</w:t>
      </w:r>
      <w:r w:rsidRPr="00BD27A3">
        <w:rPr>
          <w:bCs/>
          <w:iCs/>
          <w:color w:val="000000"/>
          <w:sz w:val="22"/>
          <w:szCs w:val="22"/>
          <w:lang w:val="fi-FI"/>
        </w:rPr>
        <w:t>:</w:t>
      </w:r>
    </w:p>
    <w:p w14:paraId="586FD122" w14:textId="77777777" w:rsidR="00311DC5" w:rsidRDefault="00311DC5" w:rsidP="00311DC5">
      <w:pPr>
        <w:pStyle w:val="Text"/>
        <w:widowControl w:val="0"/>
        <w:numPr>
          <w:ilvl w:val="0"/>
          <w:numId w:val="3"/>
        </w:numPr>
        <w:tabs>
          <w:tab w:val="clear" w:pos="360"/>
        </w:tabs>
        <w:spacing w:before="0"/>
        <w:ind w:left="567" w:hanging="567"/>
        <w:jc w:val="left"/>
        <w:rPr>
          <w:color w:val="000000"/>
          <w:sz w:val="22"/>
          <w:szCs w:val="22"/>
          <w:lang w:val="fi-FI"/>
        </w:rPr>
      </w:pPr>
      <w:r>
        <w:rPr>
          <w:color w:val="000000"/>
          <w:sz w:val="22"/>
          <w:szCs w:val="22"/>
          <w:lang w:val="fi-FI"/>
        </w:rPr>
        <w:t>Rintakipu, sydämen rytmihäiriöt (merkkejä sydänongelmista).</w:t>
      </w:r>
    </w:p>
    <w:p w14:paraId="586FD123" w14:textId="77777777" w:rsidR="00311DC5" w:rsidRDefault="00311DC5" w:rsidP="00311DC5">
      <w:pPr>
        <w:pStyle w:val="Text"/>
        <w:widowControl w:val="0"/>
        <w:numPr>
          <w:ilvl w:val="0"/>
          <w:numId w:val="3"/>
        </w:numPr>
        <w:tabs>
          <w:tab w:val="clear" w:pos="360"/>
        </w:tabs>
        <w:spacing w:before="0"/>
        <w:ind w:left="567" w:hanging="567"/>
        <w:jc w:val="left"/>
        <w:rPr>
          <w:color w:val="000000"/>
          <w:sz w:val="22"/>
          <w:szCs w:val="22"/>
          <w:lang w:val="fi-FI"/>
        </w:rPr>
      </w:pPr>
      <w:r>
        <w:rPr>
          <w:color w:val="000000"/>
          <w:sz w:val="22"/>
          <w:szCs w:val="22"/>
          <w:lang w:val="fi-FI"/>
        </w:rPr>
        <w:t>Yskä, hengitysvaikeudet tai kipu hengittämisen yhteydessä (merkkejä keuhko-ongelmista).</w:t>
      </w:r>
    </w:p>
    <w:p w14:paraId="586FD124" w14:textId="77777777" w:rsidR="00311DC5" w:rsidRDefault="00311DC5" w:rsidP="00311DC5">
      <w:pPr>
        <w:pStyle w:val="Text"/>
        <w:widowControl w:val="0"/>
        <w:numPr>
          <w:ilvl w:val="0"/>
          <w:numId w:val="3"/>
        </w:numPr>
        <w:tabs>
          <w:tab w:val="clear" w:pos="360"/>
        </w:tabs>
        <w:spacing w:before="0"/>
        <w:ind w:left="567" w:hanging="567"/>
        <w:jc w:val="left"/>
        <w:rPr>
          <w:color w:val="000000"/>
          <w:sz w:val="22"/>
          <w:szCs w:val="22"/>
          <w:lang w:val="fi-FI"/>
        </w:rPr>
      </w:pPr>
      <w:r>
        <w:rPr>
          <w:color w:val="000000"/>
          <w:sz w:val="22"/>
          <w:szCs w:val="22"/>
          <w:lang w:val="fi-FI"/>
        </w:rPr>
        <w:t>Pyörrytyksen tunne, huimaus tai pyörtyminen (alhaisen verenpaineen merkkejä).</w:t>
      </w:r>
    </w:p>
    <w:p w14:paraId="586FD125"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 xml:space="preserve">Huonovointisuus (pahoinvointi), johon liittyy ruokahaluttomuus, tumma virtsa tai </w:t>
      </w:r>
      <w:r>
        <w:rPr>
          <w:bCs/>
          <w:color w:val="000000"/>
          <w:sz w:val="22"/>
          <w:szCs w:val="22"/>
          <w:lang w:val="fi-FI"/>
        </w:rPr>
        <w:t>ihon tai silmien keltaisuus (merkkejä maksaongelmista)</w:t>
      </w:r>
      <w:r>
        <w:rPr>
          <w:color w:val="000000"/>
          <w:sz w:val="22"/>
          <w:szCs w:val="22"/>
          <w:lang w:val="fi-FI"/>
        </w:rPr>
        <w:t>.</w:t>
      </w:r>
    </w:p>
    <w:p w14:paraId="586FD126"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Ihottuma, ihon punoitus, johon liittyy rakkuloita huulilla, silmien alueella, iholla tai suussa, ihon kuoriutuminen, kuume, kohollaan olevat punaiset tai sinipunaiset läiskät iholla, kutina, polte, rakkulainen ihottuma (merkkejä iho-ongelmista).</w:t>
      </w:r>
    </w:p>
    <w:p w14:paraId="586FD127"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Vaikea vatsakipu, verta oksennuksessa, ulosteessa tai virtsassa tai mustat ulosteet (ruoansulatuskanavan häiriöiden merkkejä).</w:t>
      </w:r>
    </w:p>
    <w:p w14:paraId="586FD128"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Huomattavasti vähentynyt virtsaneritys, janon tunne (merkkejä munuaisongelmista).</w:t>
      </w:r>
    </w:p>
    <w:p w14:paraId="586FD129"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Huonovointisuus (pahoinvointi), johon liittyy ripulia ja oksentelua, vatsakipu tai kuume (suolisto-ongelmien merkkejä).</w:t>
      </w:r>
    </w:p>
    <w:p w14:paraId="586FD12A"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Vaikea päänsärky, raajojen tai kasvojen heikkous tai halvaantuminen, puhumisvaikeudet, äkillinen tajunnan menetys (hermoston häiriöiden, kuten kallonsisäisen/aivojen verenvuodon tai turvotuksen merkkejä).</w:t>
      </w:r>
    </w:p>
    <w:p w14:paraId="586FD12B"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Kalpeus, väsymyksen tunne ja hengästyminen ja tummavirtsaisuus (alhaisen veren punasolumäärän merkkejä).</w:t>
      </w:r>
    </w:p>
    <w:p w14:paraId="586FD12C"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Silmäkipu tai näön huonontuminen, silmien verenvuotoa.</w:t>
      </w:r>
    </w:p>
    <w:p w14:paraId="586FD12D"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Kipu lantiolla tai kävelyvaikeudet.</w:t>
      </w:r>
    </w:p>
    <w:p w14:paraId="586FD12E"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Sormien ja varpaiden kylmyys tai tunnottomuus (Raynaudin oireyhtymän merkkejä).</w:t>
      </w:r>
    </w:p>
    <w:p w14:paraId="586FD12F"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Äkillinen ihon turvotus ja punoitus (selluliitiksi kutsutun ihotulehduksen merkkejä).</w:t>
      </w:r>
    </w:p>
    <w:p w14:paraId="586FD130"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Kuulon heikkeneminen.</w:t>
      </w:r>
    </w:p>
    <w:p w14:paraId="586FD131"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Lihasheikkous ja lihaskrampit, joihin liittyy sydämen epäsäännöllinen rytmi (merkki veressäsi olevan kaliumin määrän muutoksesta).</w:t>
      </w:r>
    </w:p>
    <w:p w14:paraId="586FD132"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Mustelmat.</w:t>
      </w:r>
    </w:p>
    <w:p w14:paraId="586FD133"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Vatsakipu, johon liittyy huonovointisuus (pahoinvointi).</w:t>
      </w:r>
    </w:p>
    <w:p w14:paraId="586FD134"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Lihaskouristuksia, joihin liittyy kuume, punaruskea virtsa, kipua tai heikkoutta lihaksissasi (lihasongelmien merkkejä).</w:t>
      </w:r>
    </w:p>
    <w:p w14:paraId="586FD135"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Lantion kipu, johon liittyy joskus pahoinvointia ja oksentelua, odottamatonta verenvuotoa emättimestä, verenpaineen alenemisesta johtuva huimauksen tunne tai pyörtyminen (merkkejä munasarjojen tai kohdun ongelmista).</w:t>
      </w:r>
    </w:p>
    <w:p w14:paraId="586FD136"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 xml:space="preserve">Pahoinvointi, hengästyneisyys, epäsäännöllinen sydämen rytmi, sameavirtsaisuus, väsymys ja/tai nivelvaivat, joihin liittyy poikkeavia laboratoriokoetuloksia (esim. veren korkeat kalium-, virtsahappo- ja </w:t>
      </w:r>
      <w:r w:rsidR="00D5691E">
        <w:rPr>
          <w:color w:val="000000"/>
          <w:sz w:val="22"/>
          <w:szCs w:val="22"/>
          <w:lang w:val="fi-FI"/>
        </w:rPr>
        <w:t>kalsium</w:t>
      </w:r>
      <w:r>
        <w:rPr>
          <w:color w:val="000000"/>
          <w:sz w:val="22"/>
          <w:szCs w:val="22"/>
          <w:lang w:val="fi-FI"/>
        </w:rPr>
        <w:t xml:space="preserve">pitoisuudet ja matalat </w:t>
      </w:r>
      <w:r w:rsidR="00D5691E">
        <w:rPr>
          <w:color w:val="000000"/>
          <w:sz w:val="22"/>
          <w:szCs w:val="22"/>
          <w:lang w:val="fi-FI"/>
        </w:rPr>
        <w:t>fosfaatti</w:t>
      </w:r>
      <w:r>
        <w:rPr>
          <w:color w:val="000000"/>
          <w:sz w:val="22"/>
          <w:szCs w:val="22"/>
          <w:lang w:val="fi-FI"/>
        </w:rPr>
        <w:t>pitoisuudet).</w:t>
      </w:r>
    </w:p>
    <w:p w14:paraId="586FD137" w14:textId="77777777" w:rsidR="002C6E31" w:rsidRDefault="002C6E31" w:rsidP="00311DC5">
      <w:pPr>
        <w:pStyle w:val="Text"/>
        <w:widowControl w:val="0"/>
        <w:numPr>
          <w:ilvl w:val="0"/>
          <w:numId w:val="5"/>
        </w:numPr>
        <w:tabs>
          <w:tab w:val="clear" w:pos="360"/>
        </w:tabs>
        <w:spacing w:before="0"/>
        <w:ind w:left="567" w:hanging="567"/>
        <w:jc w:val="left"/>
        <w:rPr>
          <w:color w:val="000000"/>
          <w:sz w:val="22"/>
          <w:szCs w:val="22"/>
          <w:lang w:val="fi-FI"/>
        </w:rPr>
      </w:pPr>
      <w:r w:rsidRPr="008E1A3F">
        <w:rPr>
          <w:color w:val="000000"/>
          <w:sz w:val="22"/>
          <w:szCs w:val="22"/>
          <w:lang w:val="fi-FI"/>
        </w:rPr>
        <w:t>Veritulpat pienissä verisuonissa (ns. tromboottinen mikroangiopatia).</w:t>
      </w:r>
    </w:p>
    <w:p w14:paraId="586FD138" w14:textId="77777777" w:rsidR="00D4380D" w:rsidRPr="00F105E0" w:rsidRDefault="00D4380D" w:rsidP="00D4380D">
      <w:pPr>
        <w:pStyle w:val="Text"/>
        <w:widowControl w:val="0"/>
        <w:spacing w:before="0"/>
        <w:jc w:val="left"/>
        <w:rPr>
          <w:color w:val="000000"/>
          <w:sz w:val="22"/>
          <w:szCs w:val="22"/>
          <w:lang w:val="fi-FI"/>
        </w:rPr>
      </w:pPr>
    </w:p>
    <w:p w14:paraId="586FD139" w14:textId="77777777" w:rsidR="00D4380D" w:rsidRPr="004677BE" w:rsidRDefault="00D4380D" w:rsidP="00C54CAD">
      <w:pPr>
        <w:pStyle w:val="Text"/>
        <w:keepNext/>
        <w:widowControl w:val="0"/>
        <w:spacing w:before="0"/>
        <w:jc w:val="left"/>
        <w:rPr>
          <w:color w:val="000000"/>
          <w:sz w:val="22"/>
          <w:szCs w:val="22"/>
          <w:lang w:val="fi-FI"/>
        </w:rPr>
      </w:pPr>
      <w:r>
        <w:rPr>
          <w:b/>
          <w:color w:val="000000"/>
          <w:sz w:val="22"/>
          <w:szCs w:val="22"/>
          <w:lang w:val="fi-FI"/>
        </w:rPr>
        <w:lastRenderedPageBreak/>
        <w:t>Tuntematon</w:t>
      </w:r>
      <w:r w:rsidR="00D5691E">
        <w:rPr>
          <w:b/>
          <w:color w:val="000000"/>
          <w:sz w:val="22"/>
          <w:szCs w:val="22"/>
          <w:lang w:val="fi-FI"/>
        </w:rPr>
        <w:t xml:space="preserve"> </w:t>
      </w:r>
      <w:r w:rsidR="00D5691E">
        <w:rPr>
          <w:color w:val="000000"/>
          <w:sz w:val="22"/>
          <w:szCs w:val="22"/>
          <w:lang w:val="fi-FI"/>
        </w:rPr>
        <w:t>(</w:t>
      </w:r>
      <w:r w:rsidR="00D5691E" w:rsidRPr="00577BC6">
        <w:rPr>
          <w:sz w:val="22"/>
          <w:szCs w:val="22"/>
          <w:lang w:val="fi-FI"/>
        </w:rPr>
        <w:t>saatavissa oleva tieto ei riitä arviointiin</w:t>
      </w:r>
      <w:r w:rsidR="00D5691E">
        <w:rPr>
          <w:sz w:val="22"/>
          <w:szCs w:val="22"/>
          <w:lang w:val="fi-FI"/>
        </w:rPr>
        <w:t>)</w:t>
      </w:r>
      <w:r w:rsidRPr="004677BE">
        <w:rPr>
          <w:color w:val="000000"/>
          <w:sz w:val="22"/>
          <w:szCs w:val="22"/>
          <w:lang w:val="fi-FI"/>
        </w:rPr>
        <w:t>:</w:t>
      </w:r>
    </w:p>
    <w:p w14:paraId="586FD13A" w14:textId="77777777" w:rsidR="00D4380D" w:rsidRDefault="00D4380D" w:rsidP="00774A0B">
      <w:pPr>
        <w:pStyle w:val="Text"/>
        <w:keepLines/>
        <w:widowControl w:val="0"/>
        <w:numPr>
          <w:ilvl w:val="0"/>
          <w:numId w:val="32"/>
        </w:numPr>
        <w:spacing w:before="0"/>
        <w:ind w:left="567" w:hanging="567"/>
        <w:jc w:val="left"/>
        <w:rPr>
          <w:color w:val="000000"/>
          <w:sz w:val="22"/>
          <w:szCs w:val="22"/>
          <w:lang w:val="fi-FI"/>
        </w:rPr>
      </w:pPr>
      <w:r>
        <w:rPr>
          <w:color w:val="000000"/>
          <w:sz w:val="22"/>
          <w:szCs w:val="22"/>
          <w:lang w:val="fi-FI"/>
        </w:rPr>
        <w:t>Samanaikainen laaja-alainen vaikea ihottuma, huonovointisuus, kuume, tiettyjen veren valkosolujen runsaus tai ihon tai silmien keltaisuus (ikteruksen merkkejä), joihin liittyy hengästyneisyys, kipu tai epämiellyttävä tunne rinnassa, voimakkaasti vähentynyt virtsaneritys ja janon tunne ym. (merkkejä hoitoon liittyvästä allergisesta reaktiosta).</w:t>
      </w:r>
    </w:p>
    <w:p w14:paraId="586FD13B" w14:textId="77777777" w:rsidR="00E95B04" w:rsidRDefault="00E95B04" w:rsidP="00E95B04">
      <w:pPr>
        <w:pStyle w:val="Text"/>
        <w:widowControl w:val="0"/>
        <w:numPr>
          <w:ilvl w:val="0"/>
          <w:numId w:val="29"/>
        </w:numPr>
        <w:spacing w:before="0"/>
        <w:ind w:left="567" w:hanging="567"/>
        <w:jc w:val="left"/>
        <w:rPr>
          <w:color w:val="000000"/>
          <w:sz w:val="22"/>
          <w:szCs w:val="22"/>
          <w:lang w:val="fi-FI"/>
        </w:rPr>
      </w:pPr>
      <w:r>
        <w:rPr>
          <w:sz w:val="22"/>
          <w:szCs w:val="22"/>
        </w:rPr>
        <w:t>Krooninen munuaisten vajaatoiminta</w:t>
      </w:r>
      <w:r w:rsidR="006E726C">
        <w:rPr>
          <w:sz w:val="22"/>
          <w:szCs w:val="22"/>
        </w:rPr>
        <w:t>.</w:t>
      </w:r>
    </w:p>
    <w:p w14:paraId="586FD13C" w14:textId="77777777" w:rsidR="008810DF" w:rsidRPr="008810DF" w:rsidRDefault="008810DF" w:rsidP="008810DF">
      <w:pPr>
        <w:widowControl w:val="0"/>
        <w:numPr>
          <w:ilvl w:val="0"/>
          <w:numId w:val="29"/>
        </w:numPr>
        <w:ind w:left="567" w:hanging="567"/>
        <w:rPr>
          <w:rFonts w:ascii="Times New Roman" w:hAnsi="Times New Roman"/>
          <w:sz w:val="22"/>
          <w:szCs w:val="22"/>
        </w:rPr>
      </w:pPr>
      <w:r w:rsidRPr="008810DF">
        <w:rPr>
          <w:rFonts w:ascii="Times New Roman" w:hAnsi="Times New Roman"/>
          <w:sz w:val="22"/>
          <w:szCs w:val="22"/>
        </w:rPr>
        <w:t>Hepatiitti B -infektion uudelleen aktivoituminen, kun potilaalla on ollut aiemmin hepatiitti B (maksatulehdus).</w:t>
      </w:r>
    </w:p>
    <w:p w14:paraId="586FD13D" w14:textId="77777777" w:rsidR="00D4380D" w:rsidRDefault="00D4380D" w:rsidP="00D4380D">
      <w:pPr>
        <w:pStyle w:val="Text"/>
        <w:widowControl w:val="0"/>
        <w:spacing w:before="0"/>
        <w:jc w:val="left"/>
        <w:rPr>
          <w:color w:val="000000"/>
          <w:sz w:val="22"/>
          <w:szCs w:val="22"/>
          <w:lang w:val="fi-FI"/>
        </w:rPr>
      </w:pPr>
    </w:p>
    <w:p w14:paraId="586FD13E" w14:textId="77777777" w:rsidR="00311DC5" w:rsidRDefault="00311DC5" w:rsidP="00311DC5">
      <w:pPr>
        <w:pStyle w:val="Text"/>
        <w:widowControl w:val="0"/>
        <w:spacing w:before="0"/>
        <w:jc w:val="left"/>
        <w:rPr>
          <w:b/>
          <w:color w:val="000000"/>
          <w:sz w:val="22"/>
          <w:szCs w:val="22"/>
          <w:lang w:val="fi-FI"/>
        </w:rPr>
      </w:pPr>
      <w:r>
        <w:rPr>
          <w:color w:val="000000"/>
          <w:sz w:val="22"/>
          <w:szCs w:val="22"/>
          <w:lang w:val="fi-FI"/>
        </w:rPr>
        <w:t xml:space="preserve">Jos saat jonkin yllämainituista oireista, </w:t>
      </w:r>
      <w:r>
        <w:rPr>
          <w:b/>
          <w:color w:val="000000"/>
          <w:sz w:val="22"/>
          <w:szCs w:val="22"/>
          <w:lang w:val="fi-FI"/>
        </w:rPr>
        <w:t>kerro siitä heti lääkärillesi.</w:t>
      </w:r>
    </w:p>
    <w:p w14:paraId="586FD13F" w14:textId="77777777" w:rsidR="00311DC5" w:rsidRDefault="00311DC5" w:rsidP="00311DC5">
      <w:pPr>
        <w:pStyle w:val="Text"/>
        <w:widowControl w:val="0"/>
        <w:spacing w:before="0"/>
        <w:jc w:val="left"/>
        <w:rPr>
          <w:color w:val="000000"/>
          <w:sz w:val="22"/>
          <w:szCs w:val="22"/>
          <w:lang w:val="fi-FI"/>
        </w:rPr>
      </w:pPr>
    </w:p>
    <w:p w14:paraId="586FD140" w14:textId="77777777" w:rsidR="00311DC5" w:rsidRDefault="00311DC5" w:rsidP="00774A0B">
      <w:pPr>
        <w:pStyle w:val="Text"/>
        <w:keepNext/>
        <w:widowControl w:val="0"/>
        <w:spacing w:before="0"/>
        <w:jc w:val="left"/>
        <w:rPr>
          <w:b/>
          <w:color w:val="000000"/>
          <w:sz w:val="22"/>
          <w:szCs w:val="22"/>
          <w:lang w:val="fi-FI"/>
        </w:rPr>
      </w:pPr>
      <w:r>
        <w:rPr>
          <w:b/>
          <w:color w:val="000000"/>
          <w:sz w:val="22"/>
          <w:szCs w:val="22"/>
          <w:lang w:val="fi-FI"/>
        </w:rPr>
        <w:t>Muita haittavaikutuksia ovat:</w:t>
      </w:r>
    </w:p>
    <w:p w14:paraId="586FD141" w14:textId="77777777" w:rsidR="00311DC5" w:rsidRDefault="00311DC5" w:rsidP="00774A0B">
      <w:pPr>
        <w:pStyle w:val="Text"/>
        <w:keepNext/>
        <w:widowControl w:val="0"/>
        <w:spacing w:before="0"/>
        <w:jc w:val="left"/>
        <w:rPr>
          <w:bCs/>
          <w:color w:val="000000"/>
          <w:sz w:val="22"/>
          <w:szCs w:val="22"/>
          <w:lang w:val="fi-FI"/>
        </w:rPr>
      </w:pPr>
    </w:p>
    <w:p w14:paraId="586FD142" w14:textId="77777777" w:rsidR="00311DC5" w:rsidRPr="00BD27A3" w:rsidRDefault="00311DC5" w:rsidP="00774A0B">
      <w:pPr>
        <w:pStyle w:val="Text"/>
        <w:keepNext/>
        <w:widowControl w:val="0"/>
        <w:spacing w:before="0"/>
        <w:jc w:val="left"/>
        <w:rPr>
          <w:color w:val="000000"/>
          <w:sz w:val="22"/>
          <w:szCs w:val="22"/>
          <w:lang w:val="fi-FI"/>
        </w:rPr>
      </w:pPr>
      <w:r>
        <w:rPr>
          <w:b/>
          <w:color w:val="000000"/>
          <w:sz w:val="22"/>
          <w:szCs w:val="22"/>
          <w:lang w:val="fi-FI"/>
        </w:rPr>
        <w:t>Hyvin yleisiä</w:t>
      </w:r>
      <w:r w:rsidRPr="00BD27A3">
        <w:rPr>
          <w:color w:val="000000"/>
          <w:sz w:val="22"/>
          <w:szCs w:val="22"/>
          <w:lang w:val="fi-FI"/>
        </w:rPr>
        <w:t xml:space="preserve"> </w:t>
      </w:r>
      <w:r w:rsidRPr="003B78EE">
        <w:rPr>
          <w:bCs/>
          <w:iCs/>
          <w:color w:val="000000"/>
          <w:sz w:val="22"/>
          <w:szCs w:val="22"/>
          <w:lang w:val="fi-FI"/>
        </w:rPr>
        <w:t>(yli 1 käyttäjällä 10:stä)</w:t>
      </w:r>
      <w:r w:rsidRPr="00BD27A3">
        <w:rPr>
          <w:color w:val="000000"/>
          <w:sz w:val="22"/>
          <w:szCs w:val="22"/>
          <w:lang w:val="fi-FI"/>
        </w:rPr>
        <w:t>:</w:t>
      </w:r>
    </w:p>
    <w:p w14:paraId="586FD143"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Päänsärky tai väsymyksen tunne.</w:t>
      </w:r>
    </w:p>
    <w:p w14:paraId="586FD144"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Huonovointisuus (pahoinvointi), oksentelu, ripuli tai ruuansulatushäiriöt.</w:t>
      </w:r>
    </w:p>
    <w:p w14:paraId="586FD145"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Ihottuma.</w:t>
      </w:r>
    </w:p>
    <w:p w14:paraId="586FD146" w14:textId="77777777" w:rsidR="00311DC5" w:rsidRPr="004B2D62"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sidRPr="004B2D62">
        <w:rPr>
          <w:color w:val="000000"/>
          <w:sz w:val="22"/>
          <w:szCs w:val="22"/>
          <w:lang w:val="fi-FI"/>
        </w:rPr>
        <w:t>Lihaskouristukset tai kipu nivelissä, lihaksissa tai luustossa</w:t>
      </w:r>
      <w:r w:rsidR="0057782D" w:rsidRPr="004B2D62">
        <w:rPr>
          <w:color w:val="000000"/>
          <w:sz w:val="22"/>
          <w:szCs w:val="22"/>
          <w:lang w:val="fi-FI"/>
        </w:rPr>
        <w:t xml:space="preserve"> Glivec-hoidon aikana tai sen lopettamisen jälkeen</w:t>
      </w:r>
      <w:r w:rsidRPr="004B2D62">
        <w:rPr>
          <w:color w:val="000000"/>
          <w:sz w:val="22"/>
          <w:szCs w:val="22"/>
          <w:lang w:val="fi-FI"/>
        </w:rPr>
        <w:t>.</w:t>
      </w:r>
    </w:p>
    <w:p w14:paraId="586FD147"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Turvotus (esimerkiksi turvonneet silmäluomet ja nilkat).</w:t>
      </w:r>
    </w:p>
    <w:p w14:paraId="586FD148" w14:textId="77777777" w:rsidR="00311DC5" w:rsidRDefault="00311DC5" w:rsidP="00774A0B">
      <w:pPr>
        <w:pStyle w:val="Text"/>
        <w:keepN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Painon nousu.</w:t>
      </w:r>
    </w:p>
    <w:p w14:paraId="586FD149" w14:textId="77777777" w:rsidR="00311DC5" w:rsidRDefault="00311DC5" w:rsidP="00311DC5">
      <w:pPr>
        <w:pStyle w:val="Text"/>
        <w:widowControl w:val="0"/>
        <w:spacing w:before="0"/>
        <w:jc w:val="left"/>
        <w:rPr>
          <w:color w:val="000000"/>
          <w:sz w:val="22"/>
          <w:szCs w:val="22"/>
          <w:lang w:val="fi-FI"/>
        </w:rPr>
      </w:pPr>
      <w:r>
        <w:rPr>
          <w:b/>
          <w:color w:val="000000"/>
          <w:sz w:val="22"/>
          <w:szCs w:val="22"/>
          <w:lang w:val="fi-FI"/>
        </w:rPr>
        <w:t>Kerro lääkärillesi</w:t>
      </w:r>
      <w:r>
        <w:rPr>
          <w:color w:val="000000"/>
          <w:sz w:val="22"/>
          <w:szCs w:val="22"/>
          <w:lang w:val="fi-FI"/>
        </w:rPr>
        <w:t>, jos sinulla on jokin näistä sivuvaikutuksista vaikeana.</w:t>
      </w:r>
    </w:p>
    <w:p w14:paraId="586FD14A" w14:textId="77777777" w:rsidR="00311DC5" w:rsidRDefault="00311DC5" w:rsidP="00311DC5">
      <w:pPr>
        <w:pStyle w:val="Text"/>
        <w:widowControl w:val="0"/>
        <w:spacing w:before="0"/>
        <w:jc w:val="left"/>
        <w:rPr>
          <w:color w:val="000000"/>
          <w:sz w:val="22"/>
          <w:szCs w:val="22"/>
          <w:lang w:val="fi-FI"/>
        </w:rPr>
      </w:pPr>
    </w:p>
    <w:p w14:paraId="586FD14B" w14:textId="77777777" w:rsidR="00311DC5" w:rsidRPr="00BD27A3" w:rsidRDefault="00311DC5" w:rsidP="00774A0B">
      <w:pPr>
        <w:pStyle w:val="Text"/>
        <w:keepNext/>
        <w:widowControl w:val="0"/>
        <w:spacing w:before="0"/>
        <w:jc w:val="left"/>
        <w:rPr>
          <w:color w:val="000000"/>
          <w:sz w:val="22"/>
          <w:szCs w:val="22"/>
          <w:lang w:val="fi-FI"/>
        </w:rPr>
      </w:pPr>
      <w:r>
        <w:rPr>
          <w:b/>
          <w:color w:val="000000"/>
          <w:sz w:val="22"/>
          <w:szCs w:val="22"/>
          <w:lang w:val="fi-FI"/>
        </w:rPr>
        <w:t>Yleisiä</w:t>
      </w:r>
      <w:r w:rsidRPr="00BD27A3">
        <w:rPr>
          <w:color w:val="000000"/>
          <w:sz w:val="22"/>
          <w:szCs w:val="22"/>
          <w:lang w:val="fi-FI"/>
        </w:rPr>
        <w:t xml:space="preserve"> </w:t>
      </w:r>
      <w:r w:rsidRPr="003B78EE">
        <w:rPr>
          <w:bCs/>
          <w:iCs/>
          <w:color w:val="000000"/>
          <w:sz w:val="22"/>
          <w:szCs w:val="22"/>
          <w:lang w:val="fi-FI"/>
        </w:rPr>
        <w:t>(</w:t>
      </w:r>
      <w:r>
        <w:rPr>
          <w:bCs/>
          <w:iCs/>
          <w:color w:val="000000"/>
          <w:sz w:val="22"/>
          <w:szCs w:val="22"/>
          <w:lang w:val="fi-FI"/>
        </w:rPr>
        <w:t>enintään</w:t>
      </w:r>
      <w:r w:rsidRPr="003B78EE">
        <w:rPr>
          <w:bCs/>
          <w:iCs/>
          <w:color w:val="000000"/>
          <w:sz w:val="22"/>
          <w:szCs w:val="22"/>
          <w:lang w:val="fi-FI"/>
        </w:rPr>
        <w:t xml:space="preserve"> 1 käyttäjällä 10:stä)</w:t>
      </w:r>
      <w:r w:rsidRPr="00BD27A3">
        <w:rPr>
          <w:color w:val="000000"/>
          <w:sz w:val="22"/>
          <w:szCs w:val="22"/>
          <w:lang w:val="fi-FI"/>
        </w:rPr>
        <w:t>:</w:t>
      </w:r>
    </w:p>
    <w:p w14:paraId="586FD14C"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Ruokahaluttomuus, painon lasku tai makuaistin häiriöt.</w:t>
      </w:r>
    </w:p>
    <w:p w14:paraId="586FD14D"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Huimauksen tai heikotuksen tunne.</w:t>
      </w:r>
    </w:p>
    <w:p w14:paraId="586FD14E"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Nukkumisvaikeudet (unettomuus)</w:t>
      </w:r>
    </w:p>
    <w:p w14:paraId="586FD14F"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Silmän rähmiminen, johon liittyy kutinaa, punoitusta ja turvotusta (sidekalvon tulehdus), kyynelerityksen lisääntyminen tai näön hämärtyminen.</w:t>
      </w:r>
    </w:p>
    <w:p w14:paraId="586FD150"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Nenäverenvuoto.</w:t>
      </w:r>
    </w:p>
    <w:p w14:paraId="586FD151"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Vatsan kipu tai turvotus, ilmavaivat, närästys tai ummetus.</w:t>
      </w:r>
    </w:p>
    <w:p w14:paraId="586FD152"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Kutina.</w:t>
      </w:r>
    </w:p>
    <w:p w14:paraId="586FD153"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Epätavallinen hiustenlähtö tai hiusten oheneminen.</w:t>
      </w:r>
    </w:p>
    <w:p w14:paraId="586FD154"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Käsien tai jalkojen puutuminen.</w:t>
      </w:r>
    </w:p>
    <w:p w14:paraId="586FD155"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Suun haavaumat.</w:t>
      </w:r>
    </w:p>
    <w:p w14:paraId="586FD156"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Nivelkipu, johon liittyy turvotusta.</w:t>
      </w:r>
    </w:p>
    <w:p w14:paraId="586FD157"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Suun, ihon tai silmän kuivuus.</w:t>
      </w:r>
    </w:p>
    <w:p w14:paraId="586FD158"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Ihon tuntoherkkyyden heikkeneminen tai voimistuminen.</w:t>
      </w:r>
    </w:p>
    <w:p w14:paraId="586FD159" w14:textId="77777777" w:rsidR="00311DC5" w:rsidRDefault="00311DC5" w:rsidP="00774A0B">
      <w:pPr>
        <w:pStyle w:val="Text"/>
        <w:keepN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Kuumat aallot, vilunväreet tai yöllinen hikoilu.</w:t>
      </w:r>
    </w:p>
    <w:p w14:paraId="586FD15A" w14:textId="77777777" w:rsidR="00311DC5" w:rsidRDefault="00311DC5" w:rsidP="00311DC5">
      <w:pPr>
        <w:pStyle w:val="Text"/>
        <w:widowControl w:val="0"/>
        <w:spacing w:before="0"/>
        <w:jc w:val="left"/>
        <w:rPr>
          <w:color w:val="000000"/>
          <w:sz w:val="22"/>
          <w:szCs w:val="22"/>
          <w:lang w:val="fi-FI"/>
        </w:rPr>
      </w:pPr>
      <w:r>
        <w:rPr>
          <w:b/>
          <w:color w:val="000000"/>
          <w:sz w:val="22"/>
          <w:szCs w:val="22"/>
          <w:lang w:val="fi-FI"/>
        </w:rPr>
        <w:t>Kerro lääkärillesi,</w:t>
      </w:r>
      <w:r>
        <w:rPr>
          <w:color w:val="000000"/>
          <w:sz w:val="22"/>
          <w:szCs w:val="22"/>
          <w:lang w:val="fi-FI"/>
        </w:rPr>
        <w:t xml:space="preserve"> jos sinulla on jokin edellämainituista haittavaikutuksista vaikeana.</w:t>
      </w:r>
    </w:p>
    <w:p w14:paraId="586FD15B" w14:textId="77777777" w:rsidR="00311DC5" w:rsidRDefault="00311DC5" w:rsidP="00311DC5">
      <w:pPr>
        <w:pStyle w:val="Text"/>
        <w:widowControl w:val="0"/>
        <w:spacing w:before="0"/>
        <w:jc w:val="left"/>
        <w:rPr>
          <w:color w:val="000000"/>
          <w:sz w:val="22"/>
          <w:szCs w:val="22"/>
          <w:lang w:val="fi-FI"/>
        </w:rPr>
      </w:pPr>
    </w:p>
    <w:p w14:paraId="586FD15C" w14:textId="77777777" w:rsidR="00311DC5" w:rsidRPr="00BD27A3" w:rsidRDefault="00311DC5" w:rsidP="00774A0B">
      <w:pPr>
        <w:pStyle w:val="Text"/>
        <w:keepNext/>
        <w:widowControl w:val="0"/>
        <w:spacing w:before="0"/>
        <w:jc w:val="left"/>
        <w:rPr>
          <w:color w:val="000000"/>
          <w:sz w:val="22"/>
          <w:szCs w:val="22"/>
          <w:lang w:val="fi-FI"/>
        </w:rPr>
      </w:pPr>
      <w:r>
        <w:rPr>
          <w:b/>
          <w:color w:val="000000"/>
          <w:sz w:val="22"/>
          <w:szCs w:val="22"/>
          <w:lang w:val="fi-FI"/>
        </w:rPr>
        <w:t>Tuntematon</w:t>
      </w:r>
      <w:r>
        <w:rPr>
          <w:color w:val="000000"/>
          <w:sz w:val="22"/>
          <w:szCs w:val="22"/>
          <w:lang w:val="fi-FI"/>
        </w:rPr>
        <w:t xml:space="preserve"> (</w:t>
      </w:r>
      <w:r w:rsidRPr="00577BC6">
        <w:rPr>
          <w:sz w:val="22"/>
          <w:szCs w:val="22"/>
          <w:lang w:val="fi-FI"/>
        </w:rPr>
        <w:t>saatavissa oleva tieto ei riitä arviointiin</w:t>
      </w:r>
      <w:r>
        <w:rPr>
          <w:sz w:val="22"/>
          <w:szCs w:val="22"/>
          <w:lang w:val="fi-FI"/>
        </w:rPr>
        <w:t>)</w:t>
      </w:r>
      <w:r w:rsidRPr="00BD27A3">
        <w:rPr>
          <w:color w:val="000000"/>
          <w:sz w:val="22"/>
          <w:szCs w:val="22"/>
          <w:lang w:val="fi-FI"/>
        </w:rPr>
        <w:t>:</w:t>
      </w:r>
    </w:p>
    <w:p w14:paraId="586FD15D" w14:textId="77777777" w:rsidR="00311DC5" w:rsidRDefault="00311DC5"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Kämmenten ja jalkapohjien punoitus ja/tai turvotus, johon voi liittyä kihelmöintiä ja polttavaa kipua.</w:t>
      </w:r>
    </w:p>
    <w:p w14:paraId="586FD15E" w14:textId="77777777" w:rsidR="00AB26B9" w:rsidRDefault="00AB26B9" w:rsidP="00311DC5">
      <w:pPr>
        <w:pStyle w:val="T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Kivuliaat ja/tai rakkulaiset ihovauriot.</w:t>
      </w:r>
    </w:p>
    <w:p w14:paraId="586FD15F" w14:textId="77777777" w:rsidR="00311DC5" w:rsidRDefault="00311DC5" w:rsidP="00774A0B">
      <w:pPr>
        <w:pStyle w:val="Text"/>
        <w:keepNext/>
        <w:widowControl w:val="0"/>
        <w:numPr>
          <w:ilvl w:val="0"/>
          <w:numId w:val="5"/>
        </w:numPr>
        <w:tabs>
          <w:tab w:val="clear" w:pos="360"/>
        </w:tabs>
        <w:spacing w:before="0"/>
        <w:ind w:left="567" w:hanging="567"/>
        <w:jc w:val="left"/>
        <w:rPr>
          <w:color w:val="000000"/>
          <w:sz w:val="22"/>
          <w:szCs w:val="22"/>
          <w:lang w:val="fi-FI"/>
        </w:rPr>
      </w:pPr>
      <w:r>
        <w:rPr>
          <w:color w:val="000000"/>
          <w:sz w:val="22"/>
          <w:szCs w:val="22"/>
          <w:lang w:val="fi-FI"/>
        </w:rPr>
        <w:t>Kasvun hidastuminen lapsilla ja nuorilla.</w:t>
      </w:r>
    </w:p>
    <w:p w14:paraId="586FD160" w14:textId="77777777" w:rsidR="00311DC5" w:rsidRDefault="00311DC5" w:rsidP="00311DC5">
      <w:pPr>
        <w:pStyle w:val="Text"/>
        <w:widowControl w:val="0"/>
        <w:spacing w:before="0"/>
        <w:jc w:val="left"/>
        <w:rPr>
          <w:color w:val="000000"/>
          <w:sz w:val="22"/>
          <w:szCs w:val="22"/>
          <w:lang w:val="fi-FI"/>
        </w:rPr>
      </w:pPr>
      <w:r>
        <w:rPr>
          <w:b/>
          <w:color w:val="000000"/>
          <w:sz w:val="22"/>
          <w:szCs w:val="22"/>
          <w:lang w:val="fi-FI"/>
        </w:rPr>
        <w:t>Kerro lääkärillesi,</w:t>
      </w:r>
      <w:r>
        <w:rPr>
          <w:color w:val="000000"/>
          <w:sz w:val="22"/>
          <w:szCs w:val="22"/>
          <w:lang w:val="fi-FI"/>
        </w:rPr>
        <w:t xml:space="preserve"> jos sinulla on jokin edellämainituista haittavaikutuksista vaikeana.</w:t>
      </w:r>
    </w:p>
    <w:p w14:paraId="586FD161" w14:textId="77777777" w:rsidR="00311DC5" w:rsidRPr="00852285" w:rsidRDefault="00311DC5" w:rsidP="00311DC5">
      <w:pPr>
        <w:pStyle w:val="Text"/>
        <w:widowControl w:val="0"/>
        <w:spacing w:before="0"/>
        <w:jc w:val="left"/>
        <w:rPr>
          <w:color w:val="000000"/>
          <w:sz w:val="22"/>
          <w:szCs w:val="22"/>
          <w:lang w:val="fi-FI"/>
        </w:rPr>
      </w:pPr>
    </w:p>
    <w:p w14:paraId="586FD162" w14:textId="77777777" w:rsidR="00311DC5" w:rsidRPr="00852285" w:rsidRDefault="00311DC5" w:rsidP="00774A0B">
      <w:pPr>
        <w:keepNext/>
        <w:ind w:right="-2"/>
        <w:rPr>
          <w:rFonts w:ascii="Times New Roman" w:hAnsi="Times New Roman"/>
          <w:b/>
          <w:noProof/>
          <w:sz w:val="22"/>
          <w:szCs w:val="22"/>
        </w:rPr>
      </w:pPr>
      <w:r w:rsidRPr="00852285">
        <w:rPr>
          <w:rFonts w:ascii="Times New Roman" w:hAnsi="Times New Roman"/>
          <w:b/>
          <w:noProof/>
          <w:sz w:val="22"/>
          <w:szCs w:val="22"/>
        </w:rPr>
        <w:t>Haittavaikutuksista ilmoittaminen</w:t>
      </w:r>
    </w:p>
    <w:p w14:paraId="586FD163" w14:textId="77777777" w:rsidR="00311DC5" w:rsidRPr="00852285" w:rsidRDefault="00311DC5" w:rsidP="00311DC5">
      <w:pPr>
        <w:ind w:right="-2"/>
        <w:rPr>
          <w:rFonts w:ascii="Times New Roman" w:hAnsi="Times New Roman"/>
          <w:sz w:val="22"/>
          <w:szCs w:val="22"/>
        </w:rPr>
      </w:pPr>
      <w:r w:rsidRPr="00852285">
        <w:rPr>
          <w:rFonts w:ascii="Times New Roman" w:hAnsi="Times New Roman"/>
          <w:sz w:val="22"/>
          <w:szCs w:val="22"/>
        </w:rPr>
        <w:t>Jos havaitset h</w:t>
      </w:r>
      <w:r>
        <w:rPr>
          <w:rFonts w:ascii="Times New Roman" w:hAnsi="Times New Roman"/>
          <w:sz w:val="22"/>
          <w:szCs w:val="22"/>
        </w:rPr>
        <w:t xml:space="preserve">aittavaikutuksia, kerro niistä </w:t>
      </w:r>
      <w:r w:rsidRPr="00852285">
        <w:rPr>
          <w:rFonts w:ascii="Times New Roman" w:hAnsi="Times New Roman"/>
          <w:sz w:val="22"/>
          <w:szCs w:val="22"/>
        </w:rPr>
        <w:t>lääkärille,</w:t>
      </w:r>
      <w:r>
        <w:rPr>
          <w:rFonts w:ascii="Times New Roman" w:hAnsi="Times New Roman"/>
          <w:sz w:val="22"/>
          <w:szCs w:val="22"/>
        </w:rPr>
        <w:t xml:space="preserve"> </w:t>
      </w:r>
      <w:r w:rsidRPr="00852285">
        <w:rPr>
          <w:rFonts w:ascii="Times New Roman" w:hAnsi="Times New Roman"/>
          <w:sz w:val="22"/>
          <w:szCs w:val="22"/>
        </w:rPr>
        <w:t xml:space="preserve">apteekkihenkilökunnalle tai sairaanhoitajalle. Tämä koskee myös </w:t>
      </w:r>
      <w:r w:rsidRPr="00852285">
        <w:rPr>
          <w:rFonts w:ascii="Times New Roman" w:hAnsi="Times New Roman"/>
          <w:noProof/>
          <w:sz w:val="22"/>
          <w:szCs w:val="22"/>
        </w:rPr>
        <w:t>sellaisia</w:t>
      </w:r>
      <w:r w:rsidRPr="00852285">
        <w:rPr>
          <w:rFonts w:ascii="Times New Roman" w:hAnsi="Times New Roman"/>
          <w:sz w:val="22"/>
          <w:szCs w:val="22"/>
        </w:rPr>
        <w:t xml:space="preserve"> mahdollisia haittavaikutuksia, joita ei ole mainittu tässä pakkausselosteessa</w:t>
      </w:r>
      <w:r w:rsidRPr="00852285">
        <w:rPr>
          <w:rFonts w:ascii="Times New Roman" w:hAnsi="Times New Roman"/>
          <w:noProof/>
          <w:sz w:val="22"/>
          <w:szCs w:val="22"/>
        </w:rPr>
        <w:t xml:space="preserve">. </w:t>
      </w:r>
      <w:r w:rsidRPr="00852285">
        <w:rPr>
          <w:rFonts w:ascii="Times New Roman" w:hAnsi="Times New Roman"/>
          <w:sz w:val="22"/>
          <w:szCs w:val="22"/>
        </w:rPr>
        <w:t xml:space="preserve">Voit ilmoittaa haittavaikutuksista myös suoraan </w:t>
      </w:r>
      <w:hyperlink r:id="rId18" w:history="1">
        <w:r w:rsidRPr="00C61A01">
          <w:rPr>
            <w:rStyle w:val="Hyperlink"/>
            <w:rFonts w:ascii="Times New Roman" w:hAnsi="Times New Roman"/>
            <w:sz w:val="22"/>
            <w:szCs w:val="22"/>
            <w:shd w:val="clear" w:color="auto" w:fill="D9D9D9"/>
          </w:rPr>
          <w:t>liitteessä V</w:t>
        </w:r>
      </w:hyperlink>
      <w:r w:rsidRPr="00C61A01">
        <w:rPr>
          <w:rStyle w:val="Hyperlink"/>
          <w:rFonts w:ascii="Times New Roman" w:hAnsi="Times New Roman"/>
          <w:sz w:val="22"/>
          <w:szCs w:val="22"/>
          <w:shd w:val="clear" w:color="auto" w:fill="D9D9D9"/>
        </w:rPr>
        <w:t xml:space="preserve"> </w:t>
      </w:r>
      <w:r w:rsidRPr="00C61A01">
        <w:rPr>
          <w:rFonts w:ascii="Times New Roman" w:hAnsi="Times New Roman"/>
          <w:sz w:val="22"/>
          <w:szCs w:val="22"/>
          <w:shd w:val="clear" w:color="auto" w:fill="D9D9D9"/>
        </w:rPr>
        <w:t>luetellun kansallisen ilmoitusjärjestelmän kautta</w:t>
      </w:r>
      <w:r w:rsidRPr="00852285">
        <w:rPr>
          <w:rFonts w:ascii="Times New Roman" w:hAnsi="Times New Roman"/>
          <w:sz w:val="22"/>
          <w:szCs w:val="22"/>
        </w:rPr>
        <w:t>. Ilmoittamalla haittavaikutuksista voit auttaa saamaan enemmän tietoa tämän lääkevalmisteen turvallisuudesta.</w:t>
      </w:r>
    </w:p>
    <w:p w14:paraId="586FD164" w14:textId="77777777" w:rsidR="00311DC5" w:rsidRDefault="00311DC5" w:rsidP="00311DC5">
      <w:pPr>
        <w:widowControl w:val="0"/>
        <w:ind w:right="-2"/>
        <w:rPr>
          <w:rFonts w:ascii="Times New Roman" w:hAnsi="Times New Roman"/>
          <w:sz w:val="22"/>
          <w:szCs w:val="22"/>
        </w:rPr>
      </w:pPr>
    </w:p>
    <w:p w14:paraId="586FD165" w14:textId="77777777" w:rsidR="00311DC5" w:rsidRDefault="00311DC5" w:rsidP="00311DC5">
      <w:pPr>
        <w:widowControl w:val="0"/>
        <w:ind w:right="-2"/>
        <w:rPr>
          <w:rFonts w:ascii="Times New Roman" w:hAnsi="Times New Roman"/>
          <w:sz w:val="22"/>
          <w:szCs w:val="22"/>
        </w:rPr>
      </w:pPr>
    </w:p>
    <w:p w14:paraId="586FD166" w14:textId="77777777" w:rsidR="0076444C" w:rsidRDefault="0076444C" w:rsidP="0076444C">
      <w:pPr>
        <w:keepNext/>
        <w:widowControl w:val="0"/>
        <w:ind w:left="567" w:hanging="567"/>
        <w:rPr>
          <w:rFonts w:ascii="Times New Roman" w:hAnsi="Times New Roman"/>
          <w:b/>
          <w:sz w:val="22"/>
          <w:szCs w:val="22"/>
        </w:rPr>
      </w:pPr>
      <w:r>
        <w:rPr>
          <w:rFonts w:ascii="Times New Roman" w:hAnsi="Times New Roman"/>
          <w:b/>
          <w:sz w:val="22"/>
          <w:szCs w:val="22"/>
        </w:rPr>
        <w:t>5.</w:t>
      </w:r>
      <w:r>
        <w:rPr>
          <w:rFonts w:ascii="Times New Roman" w:hAnsi="Times New Roman"/>
          <w:b/>
          <w:sz w:val="22"/>
          <w:szCs w:val="22"/>
        </w:rPr>
        <w:tab/>
        <w:t>Glivecin säilyttäminen</w:t>
      </w:r>
    </w:p>
    <w:p w14:paraId="586FD167" w14:textId="77777777" w:rsidR="0076444C" w:rsidRDefault="0076444C" w:rsidP="0076444C">
      <w:pPr>
        <w:keepNext/>
        <w:widowControl w:val="0"/>
        <w:rPr>
          <w:rFonts w:ascii="Times New Roman" w:hAnsi="Times New Roman"/>
          <w:sz w:val="22"/>
          <w:szCs w:val="22"/>
        </w:rPr>
      </w:pPr>
    </w:p>
    <w:p w14:paraId="586FD168" w14:textId="77777777" w:rsidR="0076444C" w:rsidRDefault="0076444C" w:rsidP="0076444C">
      <w:pPr>
        <w:widowControl w:val="0"/>
        <w:numPr>
          <w:ilvl w:val="0"/>
          <w:numId w:val="6"/>
        </w:numPr>
        <w:tabs>
          <w:tab w:val="clear" w:pos="360"/>
          <w:tab w:val="num" w:pos="567"/>
        </w:tabs>
        <w:ind w:right="-2"/>
        <w:rPr>
          <w:rFonts w:ascii="Times New Roman" w:hAnsi="Times New Roman"/>
          <w:sz w:val="22"/>
          <w:szCs w:val="22"/>
        </w:rPr>
      </w:pPr>
      <w:r>
        <w:rPr>
          <w:rFonts w:ascii="Times New Roman" w:hAnsi="Times New Roman"/>
          <w:sz w:val="22"/>
          <w:szCs w:val="22"/>
        </w:rPr>
        <w:t>Ei lasten ulottuville eikä näkyville.</w:t>
      </w:r>
    </w:p>
    <w:p w14:paraId="586FD169" w14:textId="77777777" w:rsidR="0076444C" w:rsidRDefault="0076444C" w:rsidP="0076444C">
      <w:pPr>
        <w:widowControl w:val="0"/>
        <w:numPr>
          <w:ilvl w:val="0"/>
          <w:numId w:val="6"/>
        </w:numPr>
        <w:tabs>
          <w:tab w:val="clear" w:pos="360"/>
          <w:tab w:val="num" w:pos="567"/>
        </w:tabs>
        <w:ind w:right="-2"/>
        <w:rPr>
          <w:rFonts w:ascii="Times New Roman" w:hAnsi="Times New Roman"/>
          <w:sz w:val="22"/>
          <w:szCs w:val="22"/>
        </w:rPr>
      </w:pPr>
      <w:r>
        <w:rPr>
          <w:rFonts w:ascii="Times New Roman" w:hAnsi="Times New Roman"/>
          <w:sz w:val="22"/>
          <w:szCs w:val="22"/>
        </w:rPr>
        <w:t xml:space="preserve">Älä käytä tätä lääkettä pakkauksessa mainitun viimeisen käyttöpäivämäärän </w:t>
      </w:r>
      <w:r w:rsidR="00AB26B9">
        <w:rPr>
          <w:rFonts w:ascii="Times New Roman" w:hAnsi="Times New Roman"/>
          <w:sz w:val="22"/>
          <w:szCs w:val="22"/>
        </w:rPr>
        <w:t xml:space="preserve">(EXP) </w:t>
      </w:r>
      <w:r>
        <w:rPr>
          <w:rFonts w:ascii="Times New Roman" w:hAnsi="Times New Roman"/>
          <w:sz w:val="22"/>
          <w:szCs w:val="22"/>
        </w:rPr>
        <w:t>jälkeen.</w:t>
      </w:r>
    </w:p>
    <w:p w14:paraId="586FD16A" w14:textId="77777777" w:rsidR="0076444C" w:rsidRDefault="0076444C" w:rsidP="0076444C">
      <w:pPr>
        <w:pStyle w:val="Text"/>
        <w:widowControl w:val="0"/>
        <w:numPr>
          <w:ilvl w:val="0"/>
          <w:numId w:val="2"/>
        </w:numPr>
        <w:spacing w:before="0"/>
        <w:ind w:left="567" w:hanging="567"/>
        <w:jc w:val="left"/>
        <w:rPr>
          <w:color w:val="000000"/>
          <w:sz w:val="22"/>
          <w:szCs w:val="22"/>
          <w:lang w:val="fi-FI"/>
        </w:rPr>
      </w:pPr>
      <w:r>
        <w:rPr>
          <w:color w:val="000000"/>
          <w:sz w:val="22"/>
          <w:szCs w:val="22"/>
          <w:lang w:val="fi-FI"/>
        </w:rPr>
        <w:t>Säilytä alle 30°C.</w:t>
      </w:r>
    </w:p>
    <w:p w14:paraId="586FD16B" w14:textId="77777777" w:rsidR="0076444C" w:rsidRDefault="0076444C" w:rsidP="0076444C">
      <w:pPr>
        <w:pStyle w:val="Text"/>
        <w:widowControl w:val="0"/>
        <w:numPr>
          <w:ilvl w:val="0"/>
          <w:numId w:val="2"/>
        </w:numPr>
        <w:spacing w:before="0"/>
        <w:ind w:left="567" w:hanging="567"/>
        <w:jc w:val="left"/>
        <w:rPr>
          <w:color w:val="000000"/>
          <w:sz w:val="22"/>
          <w:szCs w:val="22"/>
          <w:lang w:val="fi-FI"/>
        </w:rPr>
      </w:pPr>
      <w:r>
        <w:rPr>
          <w:color w:val="000000"/>
          <w:sz w:val="22"/>
          <w:szCs w:val="22"/>
          <w:lang w:val="fi-FI"/>
        </w:rPr>
        <w:t>Säilytä alkuperäispakkauksessa. Herkkä kosteudelle.</w:t>
      </w:r>
    </w:p>
    <w:p w14:paraId="586FD16C" w14:textId="77777777" w:rsidR="0076444C" w:rsidRDefault="0076444C" w:rsidP="0076444C">
      <w:pPr>
        <w:pStyle w:val="Text"/>
        <w:widowControl w:val="0"/>
        <w:numPr>
          <w:ilvl w:val="0"/>
          <w:numId w:val="2"/>
        </w:numPr>
        <w:spacing w:before="0"/>
        <w:ind w:left="567" w:hanging="567"/>
        <w:jc w:val="left"/>
        <w:rPr>
          <w:color w:val="000000"/>
          <w:sz w:val="22"/>
          <w:szCs w:val="22"/>
          <w:lang w:val="fi-FI"/>
        </w:rPr>
      </w:pPr>
      <w:r>
        <w:rPr>
          <w:color w:val="000000"/>
          <w:sz w:val="22"/>
          <w:szCs w:val="22"/>
          <w:lang w:val="fi-FI"/>
        </w:rPr>
        <w:t>Älä käytä pakkausta, jos se on vahingoittunut tai näyttää avatulta.</w:t>
      </w:r>
    </w:p>
    <w:p w14:paraId="586FD16D" w14:textId="77777777" w:rsidR="00E35343" w:rsidRPr="00931910" w:rsidRDefault="00E35343" w:rsidP="00E35343">
      <w:pPr>
        <w:pStyle w:val="Text"/>
        <w:widowControl w:val="0"/>
        <w:numPr>
          <w:ilvl w:val="0"/>
          <w:numId w:val="2"/>
        </w:numPr>
        <w:spacing w:before="0"/>
        <w:ind w:left="567" w:hanging="567"/>
        <w:jc w:val="left"/>
        <w:rPr>
          <w:color w:val="000000"/>
          <w:sz w:val="22"/>
          <w:szCs w:val="22"/>
          <w:lang w:val="fi-FI"/>
        </w:rPr>
      </w:pPr>
      <w:r w:rsidRPr="00931910">
        <w:rPr>
          <w:noProof/>
          <w:snapToGrid w:val="0"/>
          <w:sz w:val="22"/>
          <w:szCs w:val="22"/>
          <w:lang w:val="fi-FI"/>
        </w:rPr>
        <w:t>Lääkk</w:t>
      </w:r>
      <w:r>
        <w:rPr>
          <w:noProof/>
          <w:snapToGrid w:val="0"/>
          <w:sz w:val="22"/>
          <w:szCs w:val="22"/>
          <w:lang w:val="fi-FI"/>
        </w:rPr>
        <w:t xml:space="preserve">eitä ei tule heittää viemäriin </w:t>
      </w:r>
      <w:r w:rsidRPr="00931910">
        <w:rPr>
          <w:noProof/>
          <w:snapToGrid w:val="0"/>
          <w:sz w:val="22"/>
          <w:szCs w:val="22"/>
          <w:lang w:val="fi-FI"/>
        </w:rPr>
        <w:t>eikä hävittää talousjätteiden mukana. Kysy käyttämättömien lääkkeiden hävittämisestä apteekista. Näin menetellen suojelet luontoa.</w:t>
      </w:r>
    </w:p>
    <w:p w14:paraId="586FD16E" w14:textId="77777777" w:rsidR="008F2D51" w:rsidRDefault="008F2D51" w:rsidP="008F2D51">
      <w:pPr>
        <w:pStyle w:val="Text"/>
        <w:widowControl w:val="0"/>
        <w:spacing w:before="0"/>
        <w:jc w:val="left"/>
        <w:rPr>
          <w:color w:val="000000"/>
          <w:sz w:val="22"/>
          <w:szCs w:val="22"/>
          <w:lang w:val="fi-FI"/>
        </w:rPr>
      </w:pPr>
    </w:p>
    <w:p w14:paraId="586FD16F" w14:textId="77777777" w:rsidR="008F2D51" w:rsidRDefault="008F2D51" w:rsidP="008F2D51">
      <w:pPr>
        <w:pStyle w:val="Text"/>
        <w:widowControl w:val="0"/>
        <w:spacing w:before="0"/>
        <w:jc w:val="left"/>
        <w:rPr>
          <w:color w:val="000000"/>
          <w:sz w:val="22"/>
          <w:szCs w:val="22"/>
          <w:lang w:val="fi-FI"/>
        </w:rPr>
      </w:pPr>
    </w:p>
    <w:p w14:paraId="586FD170" w14:textId="77777777" w:rsidR="008F2D51" w:rsidRDefault="008F2D51" w:rsidP="008F2D51">
      <w:pPr>
        <w:pStyle w:val="Heading1"/>
        <w:widowControl w:val="0"/>
        <w:suppressAutoHyphens/>
        <w:rPr>
          <w:szCs w:val="22"/>
        </w:rPr>
      </w:pPr>
      <w:r>
        <w:rPr>
          <w:szCs w:val="22"/>
        </w:rPr>
        <w:t>6.</w:t>
      </w:r>
      <w:r>
        <w:rPr>
          <w:szCs w:val="22"/>
        </w:rPr>
        <w:tab/>
      </w:r>
      <w:r w:rsidR="00C24F90">
        <w:rPr>
          <w:szCs w:val="22"/>
        </w:rPr>
        <w:t>Pakkauksen sisältö ja muuta tietoa</w:t>
      </w:r>
    </w:p>
    <w:p w14:paraId="586FD171" w14:textId="77777777" w:rsidR="008F2D51" w:rsidRDefault="008F2D51" w:rsidP="00774A0B">
      <w:pPr>
        <w:keepNext/>
        <w:widowControl w:val="0"/>
        <w:suppressAutoHyphens/>
        <w:rPr>
          <w:rFonts w:ascii="Times New Roman" w:hAnsi="Times New Roman"/>
          <w:sz w:val="22"/>
          <w:szCs w:val="22"/>
        </w:rPr>
      </w:pPr>
    </w:p>
    <w:p w14:paraId="586FD172" w14:textId="77777777" w:rsidR="008F2D51" w:rsidRDefault="008F2D51" w:rsidP="00774A0B">
      <w:pPr>
        <w:keepNext/>
        <w:widowControl w:val="0"/>
        <w:suppressAutoHyphens/>
        <w:rPr>
          <w:rFonts w:ascii="Times New Roman" w:hAnsi="Times New Roman"/>
          <w:b/>
          <w:bCs/>
          <w:sz w:val="22"/>
          <w:szCs w:val="22"/>
        </w:rPr>
      </w:pPr>
      <w:r>
        <w:rPr>
          <w:rFonts w:ascii="Times New Roman" w:hAnsi="Times New Roman"/>
          <w:b/>
          <w:bCs/>
          <w:sz w:val="22"/>
          <w:szCs w:val="22"/>
        </w:rPr>
        <w:t>Mitä Glivec sisältää</w:t>
      </w:r>
    </w:p>
    <w:p w14:paraId="76EEE0EE" w14:textId="340F4F80" w:rsidR="00E121FB" w:rsidRDefault="008F2D51" w:rsidP="008F2D51">
      <w:pPr>
        <w:widowControl w:val="0"/>
        <w:numPr>
          <w:ilvl w:val="0"/>
          <w:numId w:val="1"/>
        </w:numPr>
        <w:ind w:left="567" w:right="-2" w:hanging="567"/>
        <w:rPr>
          <w:rFonts w:ascii="Times New Roman" w:hAnsi="Times New Roman"/>
          <w:sz w:val="22"/>
          <w:szCs w:val="22"/>
        </w:rPr>
      </w:pPr>
      <w:r>
        <w:rPr>
          <w:rFonts w:ascii="Times New Roman" w:hAnsi="Times New Roman"/>
          <w:sz w:val="22"/>
          <w:szCs w:val="22"/>
        </w:rPr>
        <w:t>Vaikuttava aine on imatinibimesilaatti.</w:t>
      </w:r>
    </w:p>
    <w:p w14:paraId="586FD173" w14:textId="75180B91" w:rsidR="008F2D51" w:rsidRDefault="00FB2CA8" w:rsidP="008F2D51">
      <w:pPr>
        <w:widowControl w:val="0"/>
        <w:numPr>
          <w:ilvl w:val="0"/>
          <w:numId w:val="1"/>
        </w:numPr>
        <w:ind w:left="567" w:right="-2" w:hanging="567"/>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ab/>
      </w:r>
      <w:r w:rsidR="008F2D51">
        <w:rPr>
          <w:rFonts w:ascii="Times New Roman" w:hAnsi="Times New Roman"/>
          <w:sz w:val="22"/>
          <w:szCs w:val="22"/>
        </w:rPr>
        <w:t xml:space="preserve">Yksi </w:t>
      </w:r>
      <w:r w:rsidR="00E121FB">
        <w:rPr>
          <w:rFonts w:ascii="Times New Roman" w:hAnsi="Times New Roman"/>
          <w:sz w:val="22"/>
          <w:szCs w:val="22"/>
        </w:rPr>
        <w:t xml:space="preserve">100 mg:n </w:t>
      </w:r>
      <w:r w:rsidR="008F2D51">
        <w:rPr>
          <w:rFonts w:ascii="Times New Roman" w:hAnsi="Times New Roman"/>
          <w:sz w:val="22"/>
          <w:szCs w:val="22"/>
        </w:rPr>
        <w:t>Glivec-tabletti sisältää 100 mg imatinibi</w:t>
      </w:r>
      <w:r w:rsidR="00C24F90">
        <w:rPr>
          <w:rFonts w:ascii="Times New Roman" w:hAnsi="Times New Roman"/>
          <w:sz w:val="22"/>
          <w:szCs w:val="22"/>
        </w:rPr>
        <w:t>a (</w:t>
      </w:r>
      <w:r w:rsidR="008F2D51">
        <w:rPr>
          <w:rFonts w:ascii="Times New Roman" w:hAnsi="Times New Roman"/>
          <w:sz w:val="22"/>
          <w:szCs w:val="22"/>
        </w:rPr>
        <w:t>mesilaatti</w:t>
      </w:r>
      <w:r w:rsidR="00C24F90">
        <w:rPr>
          <w:rFonts w:ascii="Times New Roman" w:hAnsi="Times New Roman"/>
          <w:sz w:val="22"/>
          <w:szCs w:val="22"/>
        </w:rPr>
        <w:t>n</w:t>
      </w:r>
      <w:r w:rsidR="008F2D51">
        <w:rPr>
          <w:rFonts w:ascii="Times New Roman" w:hAnsi="Times New Roman"/>
          <w:sz w:val="22"/>
          <w:szCs w:val="22"/>
        </w:rPr>
        <w:t>a</w:t>
      </w:r>
      <w:r w:rsidR="00C24F90">
        <w:rPr>
          <w:rFonts w:ascii="Times New Roman" w:hAnsi="Times New Roman"/>
          <w:sz w:val="22"/>
          <w:szCs w:val="22"/>
        </w:rPr>
        <w:t>)</w:t>
      </w:r>
      <w:r w:rsidR="008F2D51">
        <w:rPr>
          <w:rFonts w:ascii="Times New Roman" w:hAnsi="Times New Roman"/>
          <w:sz w:val="22"/>
          <w:szCs w:val="22"/>
        </w:rPr>
        <w:t>.</w:t>
      </w:r>
    </w:p>
    <w:p w14:paraId="0FE1C9DD" w14:textId="3A69E7B2" w:rsidR="00E121FB" w:rsidRDefault="00FB2CA8" w:rsidP="008F2D51">
      <w:pPr>
        <w:widowControl w:val="0"/>
        <w:numPr>
          <w:ilvl w:val="0"/>
          <w:numId w:val="1"/>
        </w:numPr>
        <w:ind w:left="567" w:right="-2" w:hanging="567"/>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ab/>
      </w:r>
      <w:r w:rsidR="00E121FB">
        <w:rPr>
          <w:rFonts w:ascii="Times New Roman" w:hAnsi="Times New Roman"/>
          <w:sz w:val="22"/>
          <w:szCs w:val="22"/>
        </w:rPr>
        <w:t>Yksi 400 mg:n Glivec-tabletti sisältää 400 mg imatinibia (mesilaattina).</w:t>
      </w:r>
    </w:p>
    <w:p w14:paraId="586FD174" w14:textId="77777777" w:rsidR="008F2D51" w:rsidRDefault="008F2D51" w:rsidP="008F2D51">
      <w:pPr>
        <w:widowControl w:val="0"/>
        <w:numPr>
          <w:ilvl w:val="0"/>
          <w:numId w:val="1"/>
        </w:numPr>
        <w:ind w:left="567" w:right="-2" w:hanging="567"/>
        <w:rPr>
          <w:rFonts w:ascii="Times New Roman" w:hAnsi="Times New Roman"/>
          <w:sz w:val="22"/>
          <w:szCs w:val="22"/>
        </w:rPr>
      </w:pPr>
      <w:r>
        <w:rPr>
          <w:rFonts w:ascii="Times New Roman" w:hAnsi="Times New Roman"/>
          <w:sz w:val="22"/>
          <w:szCs w:val="22"/>
        </w:rPr>
        <w:t>Muut aineet ovat mikrokiteinen selluloosa, krospovidoni, hypromelloosi, magnesiumstearaatti ja vedetön kolloidinen piidioksidi.</w:t>
      </w:r>
    </w:p>
    <w:p w14:paraId="586FD175" w14:textId="77777777" w:rsidR="008F2D51" w:rsidRDefault="008F2D51" w:rsidP="008F2D51">
      <w:pPr>
        <w:widowControl w:val="0"/>
        <w:numPr>
          <w:ilvl w:val="0"/>
          <w:numId w:val="1"/>
        </w:numPr>
        <w:ind w:left="567" w:right="-2" w:hanging="567"/>
        <w:rPr>
          <w:rFonts w:ascii="Times New Roman" w:hAnsi="Times New Roman"/>
          <w:sz w:val="22"/>
          <w:szCs w:val="22"/>
        </w:rPr>
      </w:pPr>
      <w:r>
        <w:rPr>
          <w:rFonts w:ascii="Times New Roman" w:hAnsi="Times New Roman"/>
          <w:sz w:val="22"/>
          <w:szCs w:val="22"/>
        </w:rPr>
        <w:t>Tabletin päällyste koostuu punaisesta rautaoksidista (E172), keltaisesta rautaoksidista (E172), makrogolista, talkista ja hypromelloosista.</w:t>
      </w:r>
    </w:p>
    <w:p w14:paraId="586FD176" w14:textId="77777777" w:rsidR="008F2D51" w:rsidRDefault="008F2D51" w:rsidP="008F2D51">
      <w:pPr>
        <w:widowControl w:val="0"/>
        <w:ind w:right="-2"/>
        <w:rPr>
          <w:rFonts w:ascii="Times New Roman" w:hAnsi="Times New Roman"/>
          <w:sz w:val="22"/>
          <w:szCs w:val="22"/>
        </w:rPr>
      </w:pPr>
    </w:p>
    <w:p w14:paraId="586FD177" w14:textId="77777777" w:rsidR="008F2D51" w:rsidRDefault="008F2D51" w:rsidP="00774A0B">
      <w:pPr>
        <w:keepNext/>
        <w:widowControl w:val="0"/>
        <w:ind w:right="-2"/>
        <w:rPr>
          <w:rFonts w:ascii="Times New Roman" w:hAnsi="Times New Roman"/>
          <w:b/>
          <w:bCs/>
          <w:sz w:val="22"/>
          <w:szCs w:val="22"/>
        </w:rPr>
      </w:pPr>
      <w:r>
        <w:rPr>
          <w:rFonts w:ascii="Times New Roman" w:hAnsi="Times New Roman"/>
          <w:b/>
          <w:bCs/>
          <w:sz w:val="22"/>
          <w:szCs w:val="22"/>
        </w:rPr>
        <w:t>Lääkevalmisteen kuvaus ja pakkauskoo</w:t>
      </w:r>
      <w:r w:rsidR="00F404DF">
        <w:rPr>
          <w:rFonts w:ascii="Times New Roman" w:hAnsi="Times New Roman"/>
          <w:b/>
          <w:bCs/>
          <w:sz w:val="22"/>
          <w:szCs w:val="22"/>
        </w:rPr>
        <w:t>t</w:t>
      </w:r>
    </w:p>
    <w:p w14:paraId="586FD178" w14:textId="77777777" w:rsidR="008F2D51" w:rsidRDefault="008F2D51" w:rsidP="008F2D51">
      <w:pPr>
        <w:widowControl w:val="0"/>
        <w:ind w:right="-2"/>
        <w:rPr>
          <w:rFonts w:ascii="Times New Roman" w:hAnsi="Times New Roman"/>
          <w:sz w:val="22"/>
          <w:szCs w:val="22"/>
        </w:rPr>
      </w:pPr>
      <w:r>
        <w:rPr>
          <w:rFonts w:ascii="Times New Roman" w:hAnsi="Times New Roman"/>
          <w:sz w:val="22"/>
          <w:szCs w:val="22"/>
        </w:rPr>
        <w:t>Glivec 100 mg kalvopäällysteiset tabletit ovat hyvin tumman keltaisia tai ruskehtavan oransseja, pyöreitä tabletteja, joissa on toisella puolella merkintä ”NVR” ja toisella puolella jakouurre sekä merkintä ”SA”.</w:t>
      </w:r>
    </w:p>
    <w:p w14:paraId="586FD179" w14:textId="58073BC4" w:rsidR="008F2D51" w:rsidRDefault="007859F6" w:rsidP="008F2D51">
      <w:pPr>
        <w:widowControl w:val="0"/>
        <w:ind w:right="-2"/>
        <w:rPr>
          <w:rFonts w:ascii="Times New Roman" w:hAnsi="Times New Roman"/>
          <w:sz w:val="22"/>
          <w:szCs w:val="22"/>
        </w:rPr>
      </w:pPr>
      <w:r>
        <w:rPr>
          <w:rFonts w:ascii="Times New Roman" w:hAnsi="Times New Roman"/>
          <w:sz w:val="22"/>
          <w:szCs w:val="22"/>
        </w:rPr>
        <w:t>Glivec 400 mg kalvopäällysteiset tabletit ovat hyvin tumman keltaisia tai ruskehtavan oransseja, ovaalinmuotoisia tabletteja, joissa on toisella puolella merkintä ”glivec”.</w:t>
      </w:r>
    </w:p>
    <w:p w14:paraId="288CA040" w14:textId="77777777" w:rsidR="007859F6" w:rsidRDefault="007859F6" w:rsidP="008F2D51">
      <w:pPr>
        <w:widowControl w:val="0"/>
        <w:ind w:right="-2"/>
        <w:rPr>
          <w:rFonts w:ascii="Times New Roman" w:hAnsi="Times New Roman"/>
          <w:sz w:val="22"/>
          <w:szCs w:val="22"/>
        </w:rPr>
      </w:pPr>
    </w:p>
    <w:p w14:paraId="786B5B5F" w14:textId="4A69C0F5" w:rsidR="00E121FB" w:rsidRDefault="00E121FB" w:rsidP="008F2D51">
      <w:pPr>
        <w:widowControl w:val="0"/>
        <w:ind w:right="-2"/>
        <w:rPr>
          <w:rFonts w:ascii="Times New Roman" w:hAnsi="Times New Roman"/>
          <w:sz w:val="22"/>
          <w:szCs w:val="22"/>
        </w:rPr>
      </w:pPr>
      <w:r>
        <w:rPr>
          <w:rFonts w:ascii="Times New Roman" w:hAnsi="Times New Roman"/>
          <w:sz w:val="22"/>
          <w:szCs w:val="22"/>
        </w:rPr>
        <w:t xml:space="preserve">Glivec 100 mg kalvopäällysteiset tabletit </w:t>
      </w:r>
      <w:r w:rsidR="008F2D51">
        <w:rPr>
          <w:rFonts w:ascii="Times New Roman" w:hAnsi="Times New Roman"/>
          <w:sz w:val="22"/>
          <w:szCs w:val="22"/>
        </w:rPr>
        <w:t>ovat 20, 60, 120 tai 180 tabletin pakkauksissa.</w:t>
      </w:r>
    </w:p>
    <w:p w14:paraId="1CBE7EFA" w14:textId="561C6094" w:rsidR="007859F6" w:rsidRDefault="00E121FB" w:rsidP="008F2D51">
      <w:pPr>
        <w:widowControl w:val="0"/>
        <w:ind w:right="-2"/>
        <w:rPr>
          <w:rFonts w:ascii="Times New Roman" w:hAnsi="Times New Roman"/>
          <w:sz w:val="22"/>
          <w:szCs w:val="22"/>
        </w:rPr>
      </w:pPr>
      <w:r>
        <w:rPr>
          <w:rFonts w:ascii="Times New Roman" w:hAnsi="Times New Roman"/>
          <w:sz w:val="22"/>
          <w:szCs w:val="22"/>
        </w:rPr>
        <w:t>Glivec 400 mg kalvopäällysteiset tabletit ovat 10, 30 tai 90 tabletin pakkauksissa</w:t>
      </w:r>
      <w:r w:rsidR="007859F6">
        <w:rPr>
          <w:rFonts w:ascii="Times New Roman" w:hAnsi="Times New Roman"/>
          <w:sz w:val="22"/>
          <w:szCs w:val="22"/>
        </w:rPr>
        <w:t>.</w:t>
      </w:r>
    </w:p>
    <w:p w14:paraId="586FD17A" w14:textId="3C4E23C1" w:rsidR="008F2D51" w:rsidRDefault="008F2D51" w:rsidP="008F2D51">
      <w:pPr>
        <w:widowControl w:val="0"/>
        <w:ind w:right="-2"/>
        <w:rPr>
          <w:rFonts w:ascii="Times New Roman" w:hAnsi="Times New Roman"/>
          <w:sz w:val="22"/>
          <w:szCs w:val="22"/>
        </w:rPr>
      </w:pPr>
      <w:r>
        <w:rPr>
          <w:rFonts w:ascii="Times New Roman" w:hAnsi="Times New Roman"/>
          <w:sz w:val="22"/>
          <w:szCs w:val="22"/>
        </w:rPr>
        <w:t>Kaikkia pakkauskokoja ei ole välttämättä myynnissä maassasi.</w:t>
      </w:r>
    </w:p>
    <w:p w14:paraId="586FD17B" w14:textId="77777777" w:rsidR="008F2D51" w:rsidRDefault="008F2D51" w:rsidP="008F2D51">
      <w:pPr>
        <w:widowControl w:val="0"/>
        <w:ind w:right="-2"/>
        <w:rPr>
          <w:rFonts w:ascii="Times New Roman" w:hAnsi="Times New Roman"/>
          <w:sz w:val="22"/>
          <w:szCs w:val="22"/>
        </w:rPr>
      </w:pPr>
    </w:p>
    <w:p w14:paraId="586FD17C" w14:textId="77777777" w:rsidR="008F2D51" w:rsidRPr="00B7337A" w:rsidRDefault="008F2D51" w:rsidP="00774A0B">
      <w:pPr>
        <w:pStyle w:val="Heading2"/>
        <w:widowControl w:val="0"/>
        <w:tabs>
          <w:tab w:val="clear" w:pos="567"/>
        </w:tabs>
        <w:spacing w:before="0" w:after="0" w:line="240" w:lineRule="auto"/>
        <w:rPr>
          <w:rFonts w:ascii="Times New Roman" w:hAnsi="Times New Roman"/>
          <w:i w:val="0"/>
          <w:color w:val="000000"/>
          <w:sz w:val="22"/>
          <w:szCs w:val="22"/>
          <w:lang w:val="en-US"/>
        </w:rPr>
      </w:pPr>
      <w:r w:rsidRPr="00B7337A">
        <w:rPr>
          <w:rFonts w:ascii="Times New Roman" w:hAnsi="Times New Roman"/>
          <w:i w:val="0"/>
          <w:color w:val="000000"/>
          <w:sz w:val="22"/>
          <w:szCs w:val="22"/>
          <w:lang w:val="en-US"/>
        </w:rPr>
        <w:t>Myyntiluvan haltija</w:t>
      </w:r>
    </w:p>
    <w:p w14:paraId="586FD17D" w14:textId="77777777" w:rsidR="008F2D51" w:rsidRPr="00B7337A" w:rsidRDefault="008F2D51" w:rsidP="00774A0B">
      <w:pPr>
        <w:pStyle w:val="EndnoteText"/>
        <w:keepNext/>
        <w:widowControl w:val="0"/>
        <w:tabs>
          <w:tab w:val="clear" w:pos="567"/>
        </w:tabs>
        <w:rPr>
          <w:color w:val="000000"/>
          <w:szCs w:val="22"/>
          <w:lang w:val="en-US"/>
        </w:rPr>
      </w:pPr>
      <w:r w:rsidRPr="00B7337A">
        <w:rPr>
          <w:color w:val="000000"/>
          <w:szCs w:val="22"/>
          <w:lang w:val="en-US"/>
        </w:rPr>
        <w:t>Novartis Europharm Limited</w:t>
      </w:r>
    </w:p>
    <w:p w14:paraId="586FD17E" w14:textId="77777777" w:rsidR="00A331BE" w:rsidRPr="00B7337A" w:rsidRDefault="00A331BE" w:rsidP="00A331BE">
      <w:pPr>
        <w:keepNext/>
        <w:widowControl w:val="0"/>
        <w:rPr>
          <w:rFonts w:ascii="Times New Roman" w:hAnsi="Times New Roman"/>
          <w:sz w:val="22"/>
          <w:szCs w:val="22"/>
          <w:lang w:val="en-US"/>
        </w:rPr>
      </w:pPr>
      <w:r w:rsidRPr="00B7337A">
        <w:rPr>
          <w:rFonts w:ascii="Times New Roman" w:hAnsi="Times New Roman"/>
          <w:sz w:val="22"/>
          <w:szCs w:val="22"/>
          <w:lang w:val="en-US"/>
        </w:rPr>
        <w:t>Vista Building</w:t>
      </w:r>
    </w:p>
    <w:p w14:paraId="586FD17F" w14:textId="77777777" w:rsidR="00A331BE" w:rsidRPr="00B7337A" w:rsidRDefault="00A331BE" w:rsidP="00A331BE">
      <w:pPr>
        <w:keepNext/>
        <w:widowControl w:val="0"/>
        <w:rPr>
          <w:rFonts w:ascii="Times New Roman" w:hAnsi="Times New Roman"/>
          <w:sz w:val="22"/>
          <w:szCs w:val="22"/>
          <w:lang w:val="en-US"/>
        </w:rPr>
      </w:pPr>
      <w:r w:rsidRPr="00B7337A">
        <w:rPr>
          <w:rFonts w:ascii="Times New Roman" w:hAnsi="Times New Roman"/>
          <w:sz w:val="22"/>
          <w:szCs w:val="22"/>
          <w:lang w:val="en-US"/>
        </w:rPr>
        <w:t>Elm Park, Merrion Road</w:t>
      </w:r>
    </w:p>
    <w:p w14:paraId="586FD180" w14:textId="77777777" w:rsidR="00A331BE" w:rsidRPr="00A331BE" w:rsidRDefault="00A331BE" w:rsidP="00A331BE">
      <w:pPr>
        <w:keepNext/>
        <w:widowControl w:val="0"/>
        <w:rPr>
          <w:rFonts w:ascii="Times New Roman" w:hAnsi="Times New Roman"/>
          <w:sz w:val="22"/>
          <w:szCs w:val="22"/>
        </w:rPr>
      </w:pPr>
      <w:r w:rsidRPr="00A331BE">
        <w:rPr>
          <w:rFonts w:ascii="Times New Roman" w:hAnsi="Times New Roman"/>
          <w:sz w:val="22"/>
          <w:szCs w:val="22"/>
        </w:rPr>
        <w:t>Dublin 4</w:t>
      </w:r>
    </w:p>
    <w:p w14:paraId="586FD181" w14:textId="77777777" w:rsidR="00A331BE" w:rsidRPr="00A331BE" w:rsidRDefault="00A331BE" w:rsidP="00A331BE">
      <w:pPr>
        <w:rPr>
          <w:rFonts w:ascii="Times New Roman" w:hAnsi="Times New Roman"/>
          <w:sz w:val="22"/>
          <w:szCs w:val="22"/>
        </w:rPr>
      </w:pPr>
      <w:r w:rsidRPr="00A331BE">
        <w:rPr>
          <w:rFonts w:ascii="Times New Roman" w:hAnsi="Times New Roman"/>
          <w:sz w:val="22"/>
          <w:szCs w:val="22"/>
        </w:rPr>
        <w:t>Irlanti</w:t>
      </w:r>
    </w:p>
    <w:p w14:paraId="586FD182" w14:textId="77777777" w:rsidR="008F2D51" w:rsidRDefault="008F2D51" w:rsidP="008F2D51">
      <w:pPr>
        <w:pStyle w:val="Text"/>
        <w:widowControl w:val="0"/>
        <w:spacing w:before="0"/>
        <w:jc w:val="left"/>
        <w:rPr>
          <w:color w:val="000000"/>
          <w:sz w:val="22"/>
          <w:szCs w:val="22"/>
          <w:lang w:val="fi-FI"/>
        </w:rPr>
      </w:pPr>
    </w:p>
    <w:p w14:paraId="586FD183" w14:textId="77777777" w:rsidR="008F2D51" w:rsidRDefault="008F2D51" w:rsidP="008F2D51">
      <w:pPr>
        <w:pStyle w:val="Heading2"/>
        <w:keepNext w:val="0"/>
        <w:widowControl w:val="0"/>
        <w:tabs>
          <w:tab w:val="clear" w:pos="567"/>
        </w:tabs>
        <w:spacing w:before="0" w:after="0" w:line="240" w:lineRule="auto"/>
        <w:rPr>
          <w:rFonts w:ascii="Times New Roman" w:hAnsi="Times New Roman"/>
          <w:i w:val="0"/>
          <w:color w:val="000000"/>
          <w:sz w:val="22"/>
          <w:szCs w:val="22"/>
          <w:lang w:val="fi-FI"/>
        </w:rPr>
      </w:pPr>
      <w:r>
        <w:rPr>
          <w:rFonts w:ascii="Times New Roman" w:hAnsi="Times New Roman"/>
          <w:i w:val="0"/>
          <w:color w:val="000000"/>
          <w:sz w:val="22"/>
          <w:szCs w:val="22"/>
          <w:lang w:val="fi-FI"/>
        </w:rPr>
        <w:t>Valmistaja</w:t>
      </w:r>
    </w:p>
    <w:p w14:paraId="586FD184" w14:textId="77777777" w:rsidR="008C6D61" w:rsidRPr="00744D9D" w:rsidRDefault="008C6D61" w:rsidP="008C6D61">
      <w:pPr>
        <w:keepNext/>
        <w:numPr>
          <w:ilvl w:val="12"/>
          <w:numId w:val="0"/>
        </w:numPr>
        <w:rPr>
          <w:rFonts w:ascii="Times New Roman" w:hAnsi="Times New Roman"/>
          <w:color w:val="auto"/>
          <w:sz w:val="22"/>
          <w:szCs w:val="22"/>
        </w:rPr>
      </w:pPr>
      <w:r w:rsidRPr="00744D9D">
        <w:rPr>
          <w:rFonts w:ascii="Times New Roman" w:hAnsi="Times New Roman"/>
          <w:color w:val="auto"/>
          <w:sz w:val="22"/>
          <w:szCs w:val="22"/>
        </w:rPr>
        <w:t>Lek d.d, PE PROIZVODNJA LENDAVA</w:t>
      </w:r>
    </w:p>
    <w:p w14:paraId="586FD185" w14:textId="77777777" w:rsidR="008C6D61" w:rsidRPr="00744D9D" w:rsidRDefault="008C6D61" w:rsidP="008C6D61">
      <w:pPr>
        <w:keepNext/>
        <w:numPr>
          <w:ilvl w:val="12"/>
          <w:numId w:val="0"/>
        </w:numPr>
        <w:rPr>
          <w:rFonts w:ascii="Times New Roman" w:hAnsi="Times New Roman"/>
          <w:color w:val="auto"/>
          <w:sz w:val="22"/>
          <w:szCs w:val="22"/>
        </w:rPr>
      </w:pPr>
      <w:r w:rsidRPr="00744D9D">
        <w:rPr>
          <w:rFonts w:ascii="Times New Roman" w:hAnsi="Times New Roman"/>
          <w:color w:val="auto"/>
          <w:sz w:val="22"/>
          <w:szCs w:val="22"/>
        </w:rPr>
        <w:t>Trimlini 2D</w:t>
      </w:r>
    </w:p>
    <w:p w14:paraId="586FD186" w14:textId="77777777" w:rsidR="008C6D61" w:rsidRPr="00744D9D" w:rsidRDefault="008C6D61" w:rsidP="008C6D61">
      <w:pPr>
        <w:keepNext/>
        <w:numPr>
          <w:ilvl w:val="12"/>
          <w:numId w:val="0"/>
        </w:numPr>
        <w:rPr>
          <w:rFonts w:ascii="Times New Roman" w:hAnsi="Times New Roman"/>
          <w:color w:val="auto"/>
          <w:sz w:val="22"/>
          <w:szCs w:val="22"/>
        </w:rPr>
      </w:pPr>
      <w:r w:rsidRPr="00744D9D">
        <w:rPr>
          <w:rFonts w:ascii="Times New Roman" w:hAnsi="Times New Roman"/>
          <w:color w:val="auto"/>
          <w:sz w:val="22"/>
          <w:szCs w:val="22"/>
        </w:rPr>
        <w:t>Lendava, 9220</w:t>
      </w:r>
    </w:p>
    <w:p w14:paraId="586FD187" w14:textId="77777777" w:rsidR="008C6D61" w:rsidRPr="008C6D61" w:rsidRDefault="008C6D61" w:rsidP="008C6D61">
      <w:pPr>
        <w:numPr>
          <w:ilvl w:val="12"/>
          <w:numId w:val="0"/>
        </w:numPr>
        <w:rPr>
          <w:rFonts w:ascii="Times New Roman" w:hAnsi="Times New Roman"/>
          <w:color w:val="auto"/>
          <w:sz w:val="22"/>
          <w:szCs w:val="22"/>
          <w:lang w:val="pt-BR"/>
        </w:rPr>
      </w:pPr>
      <w:r w:rsidRPr="00744D9D">
        <w:rPr>
          <w:rFonts w:ascii="Times New Roman" w:hAnsi="Times New Roman"/>
          <w:color w:val="auto"/>
          <w:sz w:val="22"/>
          <w:szCs w:val="22"/>
        </w:rPr>
        <w:t>Slovenia</w:t>
      </w:r>
    </w:p>
    <w:p w14:paraId="586FD188" w14:textId="77777777" w:rsidR="008C6D61" w:rsidRPr="008C6D61" w:rsidRDefault="008C6D61" w:rsidP="008C6D61">
      <w:pPr>
        <w:numPr>
          <w:ilvl w:val="12"/>
          <w:numId w:val="0"/>
        </w:numPr>
        <w:rPr>
          <w:rFonts w:ascii="Times New Roman" w:hAnsi="Times New Roman"/>
          <w:color w:val="auto"/>
          <w:sz w:val="22"/>
          <w:szCs w:val="22"/>
          <w:lang w:val="pt-BR"/>
        </w:rPr>
      </w:pPr>
    </w:p>
    <w:p w14:paraId="586FD189" w14:textId="77777777" w:rsidR="008F2D51" w:rsidRPr="00143553" w:rsidRDefault="008F2D51" w:rsidP="00143553">
      <w:pPr>
        <w:pStyle w:val="Text"/>
        <w:keepNext/>
        <w:widowControl w:val="0"/>
        <w:spacing w:before="0"/>
        <w:jc w:val="left"/>
        <w:rPr>
          <w:color w:val="000000"/>
          <w:sz w:val="22"/>
          <w:szCs w:val="22"/>
          <w:shd w:val="pct15" w:color="auto" w:fill="auto"/>
          <w:lang w:val="fi-FI"/>
        </w:rPr>
      </w:pPr>
      <w:r w:rsidRPr="00143553">
        <w:rPr>
          <w:color w:val="000000"/>
          <w:sz w:val="22"/>
          <w:szCs w:val="22"/>
          <w:shd w:val="pct15" w:color="auto" w:fill="auto"/>
          <w:lang w:val="fi-FI"/>
        </w:rPr>
        <w:t>Novartis Pharma GmbH</w:t>
      </w:r>
    </w:p>
    <w:p w14:paraId="586FD18A" w14:textId="77777777" w:rsidR="008F2D51" w:rsidRPr="00143553" w:rsidRDefault="008F2D51" w:rsidP="00143553">
      <w:pPr>
        <w:pStyle w:val="Text"/>
        <w:keepNext/>
        <w:widowControl w:val="0"/>
        <w:spacing w:before="0"/>
        <w:jc w:val="left"/>
        <w:rPr>
          <w:color w:val="000000"/>
          <w:sz w:val="22"/>
          <w:szCs w:val="22"/>
          <w:shd w:val="pct15" w:color="auto" w:fill="auto"/>
          <w:lang w:val="fi-FI"/>
        </w:rPr>
      </w:pPr>
      <w:r w:rsidRPr="00143553">
        <w:rPr>
          <w:color w:val="000000"/>
          <w:sz w:val="22"/>
          <w:szCs w:val="22"/>
          <w:shd w:val="pct15" w:color="auto" w:fill="auto"/>
          <w:lang w:val="fi-FI"/>
        </w:rPr>
        <w:t>Roonstrasse 25</w:t>
      </w:r>
    </w:p>
    <w:p w14:paraId="586FD18B" w14:textId="77777777" w:rsidR="008F2D51" w:rsidRPr="00143553" w:rsidRDefault="008F2D51" w:rsidP="00143553">
      <w:pPr>
        <w:pStyle w:val="Text"/>
        <w:keepNext/>
        <w:widowControl w:val="0"/>
        <w:spacing w:before="0"/>
        <w:jc w:val="left"/>
        <w:rPr>
          <w:color w:val="000000"/>
          <w:sz w:val="22"/>
          <w:szCs w:val="22"/>
          <w:shd w:val="pct15" w:color="auto" w:fill="auto"/>
          <w:lang w:val="fi-FI"/>
        </w:rPr>
      </w:pPr>
      <w:r w:rsidRPr="00143553">
        <w:rPr>
          <w:color w:val="000000"/>
          <w:sz w:val="22"/>
          <w:szCs w:val="22"/>
          <w:shd w:val="pct15" w:color="auto" w:fill="auto"/>
          <w:lang w:val="fi-FI"/>
        </w:rPr>
        <w:t>D-90429 Nürnberg</w:t>
      </w:r>
    </w:p>
    <w:p w14:paraId="586FD18C" w14:textId="77777777" w:rsidR="008F2D51" w:rsidRPr="00143553" w:rsidRDefault="008F2D51" w:rsidP="008F2D51">
      <w:pPr>
        <w:pStyle w:val="Text"/>
        <w:widowControl w:val="0"/>
        <w:spacing w:before="0"/>
        <w:jc w:val="left"/>
        <w:rPr>
          <w:color w:val="000000"/>
          <w:sz w:val="22"/>
          <w:szCs w:val="22"/>
          <w:shd w:val="pct15" w:color="auto" w:fill="auto"/>
          <w:lang w:val="fi-FI"/>
        </w:rPr>
      </w:pPr>
      <w:r w:rsidRPr="00143553">
        <w:rPr>
          <w:color w:val="000000"/>
          <w:sz w:val="22"/>
          <w:szCs w:val="22"/>
          <w:shd w:val="pct15" w:color="auto" w:fill="auto"/>
          <w:lang w:val="fi-FI"/>
        </w:rPr>
        <w:t>Saksa</w:t>
      </w:r>
    </w:p>
    <w:p w14:paraId="586FD18D" w14:textId="77777777" w:rsidR="008F2D51" w:rsidRDefault="008F2D51" w:rsidP="008F2D51">
      <w:pPr>
        <w:widowControl w:val="0"/>
        <w:ind w:right="-2"/>
        <w:rPr>
          <w:rFonts w:ascii="Times New Roman" w:hAnsi="Times New Roman"/>
          <w:sz w:val="22"/>
          <w:szCs w:val="22"/>
        </w:rPr>
      </w:pPr>
    </w:p>
    <w:p w14:paraId="586FD18E" w14:textId="77777777" w:rsidR="008F2D51" w:rsidRDefault="008F2D51" w:rsidP="001C676D">
      <w:pPr>
        <w:keepNext/>
        <w:widowControl w:val="0"/>
        <w:suppressAutoHyphens/>
        <w:rPr>
          <w:rFonts w:ascii="Times New Roman" w:hAnsi="Times New Roman"/>
          <w:sz w:val="22"/>
          <w:szCs w:val="22"/>
        </w:rPr>
      </w:pPr>
      <w:r>
        <w:rPr>
          <w:rFonts w:ascii="Times New Roman" w:hAnsi="Times New Roman"/>
          <w:noProof/>
          <w:sz w:val="22"/>
          <w:szCs w:val="22"/>
        </w:rPr>
        <w:lastRenderedPageBreak/>
        <w:t>Lisätietoja tästä lääkevalmisteesta antaa myyntiluvan haltijan paikallinen edustaja.</w:t>
      </w:r>
    </w:p>
    <w:p w14:paraId="586FD18F" w14:textId="77777777" w:rsidR="00E01C1A" w:rsidRPr="00E01C1A" w:rsidRDefault="00E01C1A" w:rsidP="001C676D">
      <w:pPr>
        <w:keepNext/>
        <w:widowControl w:val="0"/>
        <w:ind w:right="-449"/>
        <w:rPr>
          <w:rFonts w:ascii="Times New Roman" w:hAnsi="Times New Roman"/>
          <w:sz w:val="22"/>
          <w:szCs w:val="22"/>
        </w:rPr>
      </w:pPr>
    </w:p>
    <w:tbl>
      <w:tblPr>
        <w:tblW w:w="9300" w:type="dxa"/>
        <w:tblLayout w:type="fixed"/>
        <w:tblLook w:val="0000" w:firstRow="0" w:lastRow="0" w:firstColumn="0" w:lastColumn="0" w:noHBand="0" w:noVBand="0"/>
      </w:tblPr>
      <w:tblGrid>
        <w:gridCol w:w="4650"/>
        <w:gridCol w:w="4650"/>
      </w:tblGrid>
      <w:tr w:rsidR="00E01C1A" w:rsidRPr="00E01C1A" w14:paraId="586FD198" w14:textId="77777777" w:rsidTr="001C676D">
        <w:trPr>
          <w:cantSplit/>
        </w:trPr>
        <w:tc>
          <w:tcPr>
            <w:tcW w:w="4650" w:type="dxa"/>
          </w:tcPr>
          <w:p w14:paraId="586FD190"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lang w:val="fr-FR"/>
              </w:rPr>
              <w:t>België/Belgique/Belgien</w:t>
            </w:r>
          </w:p>
          <w:p w14:paraId="586FD191"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Novartis Pharma N.V.</w:t>
            </w:r>
          </w:p>
          <w:p w14:paraId="586FD192"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Tél/Tel: +32 2 246 16 11</w:t>
            </w:r>
          </w:p>
          <w:p w14:paraId="586FD193" w14:textId="77777777" w:rsidR="00E01C1A" w:rsidRPr="00E01C1A" w:rsidRDefault="00E01C1A" w:rsidP="00B4177C">
            <w:pPr>
              <w:rPr>
                <w:rFonts w:ascii="Times New Roman" w:hAnsi="Times New Roman"/>
                <w:b/>
                <w:sz w:val="22"/>
                <w:szCs w:val="22"/>
              </w:rPr>
            </w:pPr>
          </w:p>
        </w:tc>
        <w:tc>
          <w:tcPr>
            <w:tcW w:w="4650" w:type="dxa"/>
          </w:tcPr>
          <w:p w14:paraId="586FD194" w14:textId="77777777" w:rsidR="00E01C1A" w:rsidRPr="00744D9D" w:rsidRDefault="00E01C1A" w:rsidP="00B4177C">
            <w:pPr>
              <w:rPr>
                <w:rFonts w:ascii="Times New Roman" w:hAnsi="Times New Roman"/>
                <w:b/>
                <w:sz w:val="22"/>
                <w:szCs w:val="22"/>
                <w:lang w:val="es-ES"/>
              </w:rPr>
            </w:pPr>
            <w:r w:rsidRPr="00744D9D">
              <w:rPr>
                <w:rFonts w:ascii="Times New Roman" w:hAnsi="Times New Roman"/>
                <w:b/>
                <w:sz w:val="22"/>
                <w:szCs w:val="22"/>
                <w:lang w:val="es-ES"/>
              </w:rPr>
              <w:t>Lietuva</w:t>
            </w:r>
          </w:p>
          <w:p w14:paraId="586FD195" w14:textId="58AA5B81" w:rsidR="00E01C1A" w:rsidRPr="00744D9D" w:rsidRDefault="00A2178D" w:rsidP="00B4177C">
            <w:pPr>
              <w:rPr>
                <w:rFonts w:ascii="Times New Roman" w:hAnsi="Times New Roman"/>
                <w:sz w:val="22"/>
                <w:szCs w:val="22"/>
                <w:lang w:val="es-ES"/>
              </w:rPr>
            </w:pPr>
            <w:r w:rsidRPr="00744D9D">
              <w:rPr>
                <w:rFonts w:ascii="Times New Roman" w:hAnsi="Times New Roman"/>
                <w:sz w:val="22"/>
                <w:szCs w:val="22"/>
                <w:lang w:val="es-ES"/>
              </w:rPr>
              <w:t>SIA Novartis Baltics Lietuvos filialas</w:t>
            </w:r>
          </w:p>
          <w:p w14:paraId="586FD196"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+370 5 269 16 50</w:t>
            </w:r>
          </w:p>
          <w:p w14:paraId="586FD197" w14:textId="77777777" w:rsidR="00E01C1A" w:rsidRPr="00E01C1A" w:rsidRDefault="00E01C1A" w:rsidP="00B4177C">
            <w:pPr>
              <w:rPr>
                <w:rFonts w:ascii="Times New Roman" w:hAnsi="Times New Roman"/>
                <w:sz w:val="22"/>
                <w:szCs w:val="22"/>
                <w:lang w:val="de-CH"/>
              </w:rPr>
            </w:pPr>
          </w:p>
        </w:tc>
      </w:tr>
      <w:tr w:rsidR="00E01C1A" w:rsidRPr="00E01C1A" w14:paraId="586FD1A1" w14:textId="77777777" w:rsidTr="001C676D">
        <w:trPr>
          <w:cantSplit/>
        </w:trPr>
        <w:tc>
          <w:tcPr>
            <w:tcW w:w="4650" w:type="dxa"/>
          </w:tcPr>
          <w:p w14:paraId="586FD199" w14:textId="77777777" w:rsidR="00E01C1A" w:rsidRPr="00744D9D" w:rsidRDefault="00E01C1A" w:rsidP="00B4177C">
            <w:pPr>
              <w:rPr>
                <w:rFonts w:ascii="Times New Roman" w:hAnsi="Times New Roman"/>
                <w:b/>
                <w:noProof/>
                <w:sz w:val="22"/>
                <w:szCs w:val="22"/>
                <w:lang w:val="es-ES"/>
              </w:rPr>
            </w:pPr>
            <w:r w:rsidRPr="00E01C1A">
              <w:rPr>
                <w:rFonts w:ascii="Times New Roman" w:hAnsi="Times New Roman"/>
                <w:b/>
                <w:noProof/>
                <w:sz w:val="22"/>
                <w:szCs w:val="22"/>
              </w:rPr>
              <w:t>България</w:t>
            </w:r>
          </w:p>
          <w:p w14:paraId="586FD19A" w14:textId="77777777" w:rsidR="00E01C1A" w:rsidRPr="00744D9D" w:rsidRDefault="00AB26B9" w:rsidP="00B4177C">
            <w:pPr>
              <w:rPr>
                <w:rFonts w:ascii="Times New Roman" w:hAnsi="Times New Roman"/>
                <w:noProof/>
                <w:sz w:val="22"/>
                <w:szCs w:val="22"/>
                <w:lang w:val="es-ES"/>
              </w:rPr>
            </w:pPr>
            <w:r w:rsidRPr="00744D9D">
              <w:rPr>
                <w:rFonts w:ascii="Times New Roman" w:hAnsi="Times New Roman"/>
                <w:noProof/>
                <w:sz w:val="22"/>
                <w:szCs w:val="22"/>
                <w:lang w:val="es-ES"/>
              </w:rPr>
              <w:t>Novartis Bulgaria EOOD</w:t>
            </w:r>
          </w:p>
          <w:p w14:paraId="586FD19B" w14:textId="77777777" w:rsidR="00E01C1A" w:rsidRPr="00E01C1A" w:rsidRDefault="00E01C1A" w:rsidP="00B4177C">
            <w:pPr>
              <w:rPr>
                <w:rFonts w:ascii="Times New Roman" w:hAnsi="Times New Roman"/>
                <w:noProof/>
                <w:sz w:val="22"/>
                <w:szCs w:val="22"/>
              </w:rPr>
            </w:pPr>
            <w:r w:rsidRPr="00E01C1A">
              <w:rPr>
                <w:rFonts w:ascii="Times New Roman" w:hAnsi="Times New Roman"/>
                <w:noProof/>
                <w:sz w:val="22"/>
                <w:szCs w:val="22"/>
              </w:rPr>
              <w:t>Тел.: +359 2 489 98 28</w:t>
            </w:r>
          </w:p>
          <w:p w14:paraId="586FD19C" w14:textId="77777777" w:rsidR="00E01C1A" w:rsidRPr="00E01C1A" w:rsidRDefault="00E01C1A" w:rsidP="00B4177C">
            <w:pPr>
              <w:rPr>
                <w:rFonts w:ascii="Times New Roman" w:hAnsi="Times New Roman"/>
                <w:b/>
                <w:sz w:val="22"/>
                <w:szCs w:val="22"/>
                <w:lang w:val="pt-BR"/>
              </w:rPr>
            </w:pPr>
          </w:p>
        </w:tc>
        <w:tc>
          <w:tcPr>
            <w:tcW w:w="4650" w:type="dxa"/>
          </w:tcPr>
          <w:p w14:paraId="586FD19D"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Luxembourg/Luxemburg</w:t>
            </w:r>
          </w:p>
          <w:p w14:paraId="586FD19E"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Pharma N.V.</w:t>
            </w:r>
          </w:p>
          <w:p w14:paraId="586FD19F"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Tél/Tel: +32 2 246 16 11</w:t>
            </w:r>
          </w:p>
          <w:p w14:paraId="586FD1A0" w14:textId="77777777" w:rsidR="00E01C1A" w:rsidRPr="00E01C1A" w:rsidRDefault="00E01C1A" w:rsidP="00B4177C">
            <w:pPr>
              <w:rPr>
                <w:rFonts w:ascii="Times New Roman" w:hAnsi="Times New Roman"/>
                <w:sz w:val="22"/>
                <w:szCs w:val="22"/>
                <w:lang w:val="de-CH"/>
              </w:rPr>
            </w:pPr>
          </w:p>
        </w:tc>
      </w:tr>
      <w:tr w:rsidR="00E01C1A" w:rsidRPr="001420C3" w14:paraId="586FD1A9" w14:textId="77777777" w:rsidTr="001C676D">
        <w:trPr>
          <w:cantSplit/>
        </w:trPr>
        <w:tc>
          <w:tcPr>
            <w:tcW w:w="4650" w:type="dxa"/>
          </w:tcPr>
          <w:p w14:paraId="586FD1A2"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Česká republika</w:t>
            </w:r>
          </w:p>
          <w:p w14:paraId="586FD1A3"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s.r.o.</w:t>
            </w:r>
          </w:p>
          <w:p w14:paraId="586FD1A4"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+420 225 775 111</w:t>
            </w:r>
          </w:p>
          <w:p w14:paraId="586FD1A5" w14:textId="77777777" w:rsidR="00E01C1A" w:rsidRPr="00E01C1A" w:rsidRDefault="00E01C1A" w:rsidP="00B4177C">
            <w:pPr>
              <w:rPr>
                <w:rFonts w:ascii="Times New Roman" w:hAnsi="Times New Roman"/>
                <w:b/>
                <w:sz w:val="22"/>
                <w:szCs w:val="22"/>
              </w:rPr>
            </w:pPr>
          </w:p>
        </w:tc>
        <w:tc>
          <w:tcPr>
            <w:tcW w:w="4650" w:type="dxa"/>
          </w:tcPr>
          <w:p w14:paraId="586FD1A6"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Magyarország</w:t>
            </w:r>
          </w:p>
          <w:p w14:paraId="586FD1A7"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Hungária Kft.</w:t>
            </w:r>
          </w:p>
          <w:p w14:paraId="586FD1A8"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Tel.: +36 1 457 65 00</w:t>
            </w:r>
          </w:p>
        </w:tc>
      </w:tr>
      <w:tr w:rsidR="00E01C1A" w:rsidRPr="001420C3" w14:paraId="586FD1B1" w14:textId="77777777" w:rsidTr="001C676D">
        <w:trPr>
          <w:cantSplit/>
        </w:trPr>
        <w:tc>
          <w:tcPr>
            <w:tcW w:w="4650" w:type="dxa"/>
          </w:tcPr>
          <w:p w14:paraId="586FD1AA" w14:textId="77777777" w:rsidR="00E01C1A" w:rsidRPr="00804D62" w:rsidRDefault="00E01C1A" w:rsidP="00B4177C">
            <w:pPr>
              <w:rPr>
                <w:rFonts w:ascii="Times New Roman" w:hAnsi="Times New Roman"/>
                <w:b/>
                <w:sz w:val="22"/>
                <w:szCs w:val="22"/>
                <w:lang w:val="en-US"/>
              </w:rPr>
            </w:pPr>
            <w:r w:rsidRPr="00804D62">
              <w:rPr>
                <w:rFonts w:ascii="Times New Roman" w:hAnsi="Times New Roman"/>
                <w:b/>
                <w:sz w:val="22"/>
                <w:szCs w:val="22"/>
                <w:lang w:val="en-US"/>
              </w:rPr>
              <w:t>Danmark</w:t>
            </w:r>
          </w:p>
          <w:p w14:paraId="586FD1AB"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Novartis Healthcare A/S</w:t>
            </w:r>
          </w:p>
          <w:p w14:paraId="586FD1AC"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Tlf: +45 39 16 84 00</w:t>
            </w:r>
          </w:p>
          <w:p w14:paraId="586FD1AD" w14:textId="77777777" w:rsidR="00E01C1A" w:rsidRPr="00804D62" w:rsidRDefault="00E01C1A" w:rsidP="00B4177C">
            <w:pPr>
              <w:rPr>
                <w:rFonts w:ascii="Times New Roman" w:hAnsi="Times New Roman"/>
                <w:b/>
                <w:sz w:val="22"/>
                <w:szCs w:val="22"/>
                <w:lang w:val="en-US"/>
              </w:rPr>
            </w:pPr>
          </w:p>
        </w:tc>
        <w:tc>
          <w:tcPr>
            <w:tcW w:w="4650" w:type="dxa"/>
          </w:tcPr>
          <w:p w14:paraId="586FD1AE"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Malta</w:t>
            </w:r>
          </w:p>
          <w:p w14:paraId="586FD1AF"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Pharma Services Inc.</w:t>
            </w:r>
          </w:p>
          <w:p w14:paraId="586FD1B0" w14:textId="77777777" w:rsidR="00E01C1A" w:rsidRPr="00B7337A" w:rsidRDefault="00E01C1A" w:rsidP="00B4177C">
            <w:pPr>
              <w:rPr>
                <w:rFonts w:ascii="Times New Roman" w:hAnsi="Times New Roman"/>
                <w:sz w:val="22"/>
                <w:szCs w:val="22"/>
                <w:lang w:val="en-US"/>
              </w:rPr>
            </w:pPr>
            <w:r w:rsidRPr="00B7337A">
              <w:rPr>
                <w:rFonts w:ascii="Times New Roman" w:hAnsi="Times New Roman"/>
                <w:sz w:val="22"/>
                <w:szCs w:val="22"/>
                <w:lang w:val="en-US"/>
              </w:rPr>
              <w:t>Tel: +356 2122 2872</w:t>
            </w:r>
          </w:p>
        </w:tc>
      </w:tr>
      <w:tr w:rsidR="00E01C1A" w:rsidRPr="00E01C1A" w14:paraId="586FD1B9" w14:textId="77777777" w:rsidTr="001C676D">
        <w:trPr>
          <w:cantSplit/>
        </w:trPr>
        <w:tc>
          <w:tcPr>
            <w:tcW w:w="4650" w:type="dxa"/>
          </w:tcPr>
          <w:p w14:paraId="586FD1B2"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Deutschland</w:t>
            </w:r>
          </w:p>
          <w:p w14:paraId="586FD1B3"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Pharma GmbH</w:t>
            </w:r>
          </w:p>
          <w:p w14:paraId="586FD1B4"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Tel: +49 911 273 0</w:t>
            </w:r>
          </w:p>
          <w:p w14:paraId="586FD1B5" w14:textId="77777777" w:rsidR="00E01C1A" w:rsidRPr="00E01C1A" w:rsidRDefault="00E01C1A" w:rsidP="00B4177C">
            <w:pPr>
              <w:rPr>
                <w:rFonts w:ascii="Times New Roman" w:hAnsi="Times New Roman"/>
                <w:b/>
                <w:sz w:val="22"/>
                <w:szCs w:val="22"/>
                <w:lang w:val="de-CH"/>
              </w:rPr>
            </w:pPr>
          </w:p>
        </w:tc>
        <w:tc>
          <w:tcPr>
            <w:tcW w:w="4650" w:type="dxa"/>
          </w:tcPr>
          <w:p w14:paraId="586FD1B6"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Nederland</w:t>
            </w:r>
          </w:p>
          <w:p w14:paraId="586FD1B7"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Pharma B.V.</w:t>
            </w:r>
          </w:p>
          <w:p w14:paraId="586FD1B8" w14:textId="1A855A67" w:rsidR="00E01C1A" w:rsidRPr="00E01C1A" w:rsidRDefault="00E01C1A" w:rsidP="00FB2CA8">
            <w:pPr>
              <w:rPr>
                <w:rFonts w:ascii="Times New Roman" w:hAnsi="Times New Roman"/>
                <w:sz w:val="22"/>
                <w:szCs w:val="22"/>
              </w:rPr>
            </w:pPr>
            <w:r w:rsidRPr="00E01C1A">
              <w:rPr>
                <w:rFonts w:ascii="Times New Roman" w:hAnsi="Times New Roman"/>
                <w:sz w:val="22"/>
                <w:szCs w:val="22"/>
              </w:rPr>
              <w:t xml:space="preserve">Tel: +31 </w:t>
            </w:r>
            <w:r w:rsidR="00FB2CA8">
              <w:rPr>
                <w:rFonts w:ascii="Times New Roman" w:hAnsi="Times New Roman"/>
                <w:sz w:val="22"/>
                <w:szCs w:val="22"/>
              </w:rPr>
              <w:t>88 04 52</w:t>
            </w:r>
            <w:r w:rsidRPr="00E01C1A">
              <w:rPr>
                <w:rFonts w:ascii="Times New Roman" w:hAnsi="Times New Roman"/>
                <w:sz w:val="22"/>
                <w:szCs w:val="22"/>
              </w:rPr>
              <w:t xml:space="preserve"> </w:t>
            </w:r>
            <w:r w:rsidR="00DD56C2">
              <w:rPr>
                <w:rFonts w:ascii="Times New Roman" w:hAnsi="Times New Roman"/>
                <w:sz w:val="22"/>
                <w:szCs w:val="22"/>
              </w:rPr>
              <w:t>555</w:t>
            </w:r>
          </w:p>
        </w:tc>
      </w:tr>
      <w:tr w:rsidR="00E01C1A" w:rsidRPr="001420C3" w14:paraId="586FD1C1" w14:textId="77777777" w:rsidTr="001C676D">
        <w:trPr>
          <w:cantSplit/>
        </w:trPr>
        <w:tc>
          <w:tcPr>
            <w:tcW w:w="4650" w:type="dxa"/>
          </w:tcPr>
          <w:p w14:paraId="586FD1BA" w14:textId="77777777" w:rsidR="00E01C1A" w:rsidRPr="00374F8A" w:rsidRDefault="00E01C1A" w:rsidP="00B4177C">
            <w:pPr>
              <w:rPr>
                <w:rFonts w:ascii="Times New Roman" w:hAnsi="Times New Roman"/>
                <w:b/>
                <w:sz w:val="22"/>
                <w:szCs w:val="22"/>
                <w:lang w:val="fr-FR"/>
              </w:rPr>
            </w:pPr>
            <w:r w:rsidRPr="00374F8A">
              <w:rPr>
                <w:rFonts w:ascii="Times New Roman" w:hAnsi="Times New Roman"/>
                <w:b/>
                <w:sz w:val="22"/>
                <w:szCs w:val="22"/>
                <w:lang w:val="fr-FR"/>
              </w:rPr>
              <w:t>Eesti</w:t>
            </w:r>
          </w:p>
          <w:p w14:paraId="586FD1BB" w14:textId="77777777" w:rsidR="00E01C1A" w:rsidRPr="00374F8A" w:rsidRDefault="00A2178D" w:rsidP="00B4177C">
            <w:pPr>
              <w:rPr>
                <w:rFonts w:ascii="Times New Roman" w:hAnsi="Times New Roman"/>
                <w:sz w:val="22"/>
                <w:szCs w:val="22"/>
                <w:lang w:val="fr-FR"/>
              </w:rPr>
            </w:pPr>
            <w:r w:rsidRPr="00374F8A">
              <w:rPr>
                <w:rFonts w:ascii="Times New Roman" w:hAnsi="Times New Roman"/>
                <w:sz w:val="22"/>
                <w:szCs w:val="22"/>
                <w:lang w:val="fr-FR"/>
              </w:rPr>
              <w:t>SIA Novartis Baltics Eesti filiaal</w:t>
            </w:r>
          </w:p>
          <w:p w14:paraId="586FD1BC" w14:textId="77777777" w:rsidR="00E01C1A" w:rsidRPr="00804D62" w:rsidRDefault="00E01C1A" w:rsidP="00B4177C">
            <w:pPr>
              <w:rPr>
                <w:rFonts w:ascii="Times New Roman" w:hAnsi="Times New Roman"/>
                <w:sz w:val="22"/>
                <w:szCs w:val="22"/>
                <w:lang w:val="fr-FR"/>
              </w:rPr>
            </w:pPr>
            <w:r w:rsidRPr="00804D62">
              <w:rPr>
                <w:rFonts w:ascii="Times New Roman" w:hAnsi="Times New Roman"/>
                <w:sz w:val="22"/>
                <w:szCs w:val="22"/>
                <w:lang w:val="fr-FR"/>
              </w:rPr>
              <w:t>Tel: +372 66 30 810</w:t>
            </w:r>
          </w:p>
          <w:p w14:paraId="586FD1BD" w14:textId="77777777" w:rsidR="00E01C1A" w:rsidRPr="00804D62" w:rsidRDefault="00E01C1A" w:rsidP="00B4177C">
            <w:pPr>
              <w:rPr>
                <w:rFonts w:ascii="Times New Roman" w:hAnsi="Times New Roman"/>
                <w:b/>
                <w:sz w:val="22"/>
                <w:szCs w:val="22"/>
                <w:lang w:val="fr-FR"/>
              </w:rPr>
            </w:pPr>
          </w:p>
        </w:tc>
        <w:tc>
          <w:tcPr>
            <w:tcW w:w="4650" w:type="dxa"/>
          </w:tcPr>
          <w:p w14:paraId="586FD1BE"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Norge</w:t>
            </w:r>
          </w:p>
          <w:p w14:paraId="586FD1BF"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Norge AS</w:t>
            </w:r>
          </w:p>
          <w:p w14:paraId="586FD1C0"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Tlf: +47 23 05 20 00</w:t>
            </w:r>
          </w:p>
        </w:tc>
      </w:tr>
      <w:tr w:rsidR="00E01C1A" w:rsidRPr="00E01C1A" w14:paraId="586FD1C9" w14:textId="77777777" w:rsidTr="001C676D">
        <w:trPr>
          <w:cantSplit/>
        </w:trPr>
        <w:tc>
          <w:tcPr>
            <w:tcW w:w="4650" w:type="dxa"/>
          </w:tcPr>
          <w:p w14:paraId="586FD1C2"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rPr>
              <w:t>Ελλάδα</w:t>
            </w:r>
          </w:p>
          <w:p w14:paraId="586FD1C3"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(Hellas) A.E.B.E.</w:t>
            </w:r>
          </w:p>
          <w:p w14:paraId="586FD1C4"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rPr>
              <w:t>Τηλ</w:t>
            </w:r>
            <w:r w:rsidRPr="00E01C1A">
              <w:rPr>
                <w:rFonts w:ascii="Times New Roman" w:hAnsi="Times New Roman"/>
                <w:sz w:val="22"/>
                <w:szCs w:val="22"/>
                <w:lang w:val="pt-BR"/>
              </w:rPr>
              <w:t>: +30 210 281 17 12</w:t>
            </w:r>
          </w:p>
          <w:p w14:paraId="586FD1C5" w14:textId="77777777" w:rsidR="00E01C1A" w:rsidRPr="00E01C1A" w:rsidRDefault="00E01C1A" w:rsidP="00B4177C">
            <w:pPr>
              <w:rPr>
                <w:rFonts w:ascii="Times New Roman" w:hAnsi="Times New Roman"/>
                <w:b/>
                <w:sz w:val="22"/>
                <w:szCs w:val="22"/>
                <w:lang w:val="pt-BR"/>
              </w:rPr>
            </w:pPr>
          </w:p>
        </w:tc>
        <w:tc>
          <w:tcPr>
            <w:tcW w:w="4650" w:type="dxa"/>
          </w:tcPr>
          <w:p w14:paraId="586FD1C6"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Österreich</w:t>
            </w:r>
          </w:p>
          <w:p w14:paraId="586FD1C7"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Pharma GmbH</w:t>
            </w:r>
          </w:p>
          <w:p w14:paraId="586FD1C8"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Tel: +43 1 86 6570</w:t>
            </w:r>
          </w:p>
        </w:tc>
      </w:tr>
      <w:tr w:rsidR="00E01C1A" w:rsidRPr="00E01C1A" w14:paraId="586FD1D1" w14:textId="77777777" w:rsidTr="001C676D">
        <w:trPr>
          <w:cantSplit/>
        </w:trPr>
        <w:tc>
          <w:tcPr>
            <w:tcW w:w="4650" w:type="dxa"/>
          </w:tcPr>
          <w:p w14:paraId="586FD1CA"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España</w:t>
            </w:r>
          </w:p>
          <w:p w14:paraId="586FD1CB"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Farmacéutica, S.A.</w:t>
            </w:r>
          </w:p>
          <w:p w14:paraId="586FD1CC"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+34 93 306 42 00</w:t>
            </w:r>
          </w:p>
          <w:p w14:paraId="586FD1CD" w14:textId="77777777" w:rsidR="00E01C1A" w:rsidRPr="00E01C1A" w:rsidRDefault="00E01C1A" w:rsidP="00B4177C">
            <w:pPr>
              <w:rPr>
                <w:rFonts w:ascii="Times New Roman" w:hAnsi="Times New Roman"/>
                <w:b/>
                <w:sz w:val="22"/>
                <w:szCs w:val="22"/>
              </w:rPr>
            </w:pPr>
          </w:p>
        </w:tc>
        <w:tc>
          <w:tcPr>
            <w:tcW w:w="4650" w:type="dxa"/>
          </w:tcPr>
          <w:p w14:paraId="586FD1CE"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Polska</w:t>
            </w:r>
          </w:p>
          <w:p w14:paraId="586FD1CF"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Poland Sp. z o.o.</w:t>
            </w:r>
          </w:p>
          <w:p w14:paraId="586FD1D0"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 xml:space="preserve">Tel.: +48 22 </w:t>
            </w:r>
            <w:r w:rsidRPr="00E01C1A">
              <w:rPr>
                <w:rFonts w:ascii="Times New Roman" w:hAnsi="Times New Roman"/>
                <w:sz w:val="22"/>
                <w:szCs w:val="22"/>
              </w:rPr>
              <w:t>375 4888</w:t>
            </w:r>
          </w:p>
        </w:tc>
      </w:tr>
      <w:tr w:rsidR="00E01C1A" w:rsidRPr="00E01C1A" w14:paraId="586FD1D9" w14:textId="77777777" w:rsidTr="001C676D">
        <w:trPr>
          <w:cantSplit/>
        </w:trPr>
        <w:tc>
          <w:tcPr>
            <w:tcW w:w="4650" w:type="dxa"/>
          </w:tcPr>
          <w:p w14:paraId="586FD1D2"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lang w:val="fr-FR"/>
              </w:rPr>
              <w:t>France</w:t>
            </w:r>
          </w:p>
          <w:p w14:paraId="586FD1D3"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Novartis Pharma S.A.S.</w:t>
            </w:r>
          </w:p>
          <w:p w14:paraId="586FD1D4"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Tél: +33 1 55 47 66 00</w:t>
            </w:r>
          </w:p>
          <w:p w14:paraId="586FD1D5" w14:textId="77777777" w:rsidR="00E01C1A" w:rsidRPr="00E01C1A" w:rsidRDefault="00E01C1A" w:rsidP="00B4177C">
            <w:pPr>
              <w:rPr>
                <w:rFonts w:ascii="Times New Roman" w:hAnsi="Times New Roman"/>
                <w:b/>
                <w:sz w:val="22"/>
                <w:szCs w:val="22"/>
                <w:lang w:val="fr-FR"/>
              </w:rPr>
            </w:pPr>
          </w:p>
        </w:tc>
        <w:tc>
          <w:tcPr>
            <w:tcW w:w="4650" w:type="dxa"/>
          </w:tcPr>
          <w:p w14:paraId="586FD1D6"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Portugal</w:t>
            </w:r>
          </w:p>
          <w:p w14:paraId="586FD1D7"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Farma - Produtos Farmacêuticos, S.A.</w:t>
            </w:r>
          </w:p>
          <w:p w14:paraId="586FD1D8"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+351 21 000 8600</w:t>
            </w:r>
          </w:p>
        </w:tc>
      </w:tr>
      <w:tr w:rsidR="00E01C1A" w:rsidRPr="001420C3" w14:paraId="586FD1E1" w14:textId="77777777" w:rsidTr="001C676D">
        <w:trPr>
          <w:cantSplit/>
        </w:trPr>
        <w:tc>
          <w:tcPr>
            <w:tcW w:w="4650" w:type="dxa"/>
          </w:tcPr>
          <w:p w14:paraId="586FD1DA" w14:textId="77777777" w:rsidR="00E01C1A" w:rsidRPr="00E01C1A" w:rsidRDefault="00E01C1A" w:rsidP="00B4177C">
            <w:pPr>
              <w:rPr>
                <w:rFonts w:ascii="Times New Roman" w:eastAsia="PMingLiU" w:hAnsi="Times New Roman"/>
                <w:b/>
                <w:sz w:val="22"/>
                <w:szCs w:val="22"/>
              </w:rPr>
            </w:pPr>
            <w:r w:rsidRPr="00E01C1A">
              <w:rPr>
                <w:rFonts w:ascii="Times New Roman" w:eastAsia="PMingLiU" w:hAnsi="Times New Roman"/>
                <w:b/>
                <w:sz w:val="22"/>
                <w:szCs w:val="22"/>
              </w:rPr>
              <w:t>Hrvatska</w:t>
            </w:r>
          </w:p>
          <w:p w14:paraId="586FD1DB"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Novartis Hrvatska d.o.o.</w:t>
            </w:r>
          </w:p>
          <w:p w14:paraId="586FD1DC"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+385 1 6274 220</w:t>
            </w:r>
          </w:p>
          <w:p w14:paraId="586FD1DD" w14:textId="77777777" w:rsidR="00E01C1A" w:rsidRPr="00E01C1A" w:rsidRDefault="00E01C1A" w:rsidP="00B4177C">
            <w:pPr>
              <w:rPr>
                <w:rFonts w:ascii="Times New Roman" w:hAnsi="Times New Roman"/>
                <w:b/>
                <w:sz w:val="22"/>
                <w:szCs w:val="22"/>
                <w:lang w:val="fr-FR"/>
              </w:rPr>
            </w:pPr>
          </w:p>
        </w:tc>
        <w:tc>
          <w:tcPr>
            <w:tcW w:w="4650" w:type="dxa"/>
          </w:tcPr>
          <w:p w14:paraId="586FD1DE" w14:textId="77777777" w:rsidR="00E01C1A" w:rsidRPr="00E01C1A" w:rsidRDefault="00E01C1A" w:rsidP="00B4177C">
            <w:pPr>
              <w:rPr>
                <w:rFonts w:ascii="Times New Roman" w:hAnsi="Times New Roman"/>
                <w:b/>
                <w:noProof/>
                <w:sz w:val="22"/>
                <w:szCs w:val="22"/>
                <w:lang w:val="it-IT"/>
              </w:rPr>
            </w:pPr>
            <w:r w:rsidRPr="00E01C1A">
              <w:rPr>
                <w:rFonts w:ascii="Times New Roman" w:hAnsi="Times New Roman"/>
                <w:b/>
                <w:noProof/>
                <w:sz w:val="22"/>
                <w:szCs w:val="22"/>
                <w:lang w:val="it-IT"/>
              </w:rPr>
              <w:t>România</w:t>
            </w:r>
          </w:p>
          <w:p w14:paraId="586FD1DF" w14:textId="77777777" w:rsidR="00E01C1A" w:rsidRPr="00E01C1A" w:rsidRDefault="00E01C1A" w:rsidP="00B4177C">
            <w:pPr>
              <w:rPr>
                <w:rFonts w:ascii="Times New Roman" w:hAnsi="Times New Roman"/>
                <w:noProof/>
                <w:sz w:val="22"/>
                <w:szCs w:val="22"/>
                <w:lang w:val="it-IT"/>
              </w:rPr>
            </w:pPr>
            <w:r w:rsidRPr="00E01C1A">
              <w:rPr>
                <w:rFonts w:ascii="Times New Roman" w:hAnsi="Times New Roman"/>
                <w:noProof/>
                <w:sz w:val="22"/>
                <w:szCs w:val="22"/>
                <w:lang w:val="it-IT"/>
              </w:rPr>
              <w:t xml:space="preserve">Novartis Pharma Services </w:t>
            </w:r>
            <w:r w:rsidRPr="00B7337A">
              <w:rPr>
                <w:rFonts w:ascii="Times New Roman" w:hAnsi="Times New Roman"/>
                <w:color w:val="2F2F2F"/>
                <w:sz w:val="22"/>
                <w:szCs w:val="22"/>
                <w:lang w:val="en-US"/>
              </w:rPr>
              <w:t>Romania SRL</w:t>
            </w:r>
          </w:p>
          <w:p w14:paraId="586FD1E0" w14:textId="77777777" w:rsidR="00E01C1A" w:rsidRPr="00B7337A" w:rsidRDefault="00E01C1A" w:rsidP="00B4177C">
            <w:pPr>
              <w:rPr>
                <w:rFonts w:ascii="Times New Roman" w:hAnsi="Times New Roman"/>
                <w:sz w:val="22"/>
                <w:szCs w:val="22"/>
                <w:lang w:val="en-US"/>
              </w:rPr>
            </w:pPr>
            <w:r w:rsidRPr="00E01C1A">
              <w:rPr>
                <w:rFonts w:ascii="Times New Roman" w:hAnsi="Times New Roman"/>
                <w:noProof/>
                <w:sz w:val="22"/>
                <w:szCs w:val="22"/>
                <w:lang w:val="it-IT"/>
              </w:rPr>
              <w:t>Tel: +40 21 31299 01</w:t>
            </w:r>
          </w:p>
        </w:tc>
      </w:tr>
      <w:tr w:rsidR="00E01C1A" w:rsidRPr="00E01C1A" w14:paraId="586FD1E9" w14:textId="77777777" w:rsidTr="001C676D">
        <w:trPr>
          <w:cantSplit/>
        </w:trPr>
        <w:tc>
          <w:tcPr>
            <w:tcW w:w="4650" w:type="dxa"/>
          </w:tcPr>
          <w:p w14:paraId="586FD1E2" w14:textId="77777777" w:rsidR="00E01C1A" w:rsidRPr="00804D62" w:rsidRDefault="00E01C1A" w:rsidP="00B4177C">
            <w:pPr>
              <w:rPr>
                <w:rFonts w:ascii="Times New Roman" w:hAnsi="Times New Roman"/>
                <w:b/>
                <w:sz w:val="22"/>
                <w:szCs w:val="22"/>
                <w:lang w:val="en-US"/>
              </w:rPr>
            </w:pPr>
            <w:r w:rsidRPr="00804D62">
              <w:rPr>
                <w:rFonts w:ascii="Times New Roman" w:hAnsi="Times New Roman"/>
                <w:b/>
                <w:sz w:val="22"/>
                <w:szCs w:val="22"/>
                <w:lang w:val="en-US"/>
              </w:rPr>
              <w:t>Ireland</w:t>
            </w:r>
          </w:p>
          <w:p w14:paraId="586FD1E3"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Novartis Ireland Limited</w:t>
            </w:r>
          </w:p>
          <w:p w14:paraId="586FD1E4"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Tel: +353 1 260 12 55</w:t>
            </w:r>
          </w:p>
          <w:p w14:paraId="586FD1E5" w14:textId="77777777" w:rsidR="00E01C1A" w:rsidRPr="00804D62" w:rsidRDefault="00E01C1A" w:rsidP="00B4177C">
            <w:pPr>
              <w:rPr>
                <w:rFonts w:ascii="Times New Roman" w:hAnsi="Times New Roman"/>
                <w:b/>
                <w:sz w:val="22"/>
                <w:szCs w:val="22"/>
                <w:lang w:val="en-US"/>
              </w:rPr>
            </w:pPr>
          </w:p>
        </w:tc>
        <w:tc>
          <w:tcPr>
            <w:tcW w:w="4650" w:type="dxa"/>
          </w:tcPr>
          <w:p w14:paraId="586FD1E6"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lang w:val="fr-FR"/>
              </w:rPr>
              <w:t>Slovenija</w:t>
            </w:r>
          </w:p>
          <w:p w14:paraId="586FD1E7"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Novartis Pharma Services Inc.</w:t>
            </w:r>
          </w:p>
          <w:p w14:paraId="586FD1E8"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Tel: +386 1 300 75 50</w:t>
            </w:r>
          </w:p>
        </w:tc>
      </w:tr>
      <w:tr w:rsidR="00E01C1A" w:rsidRPr="00E01C1A" w14:paraId="586FD1F2" w14:textId="77777777" w:rsidTr="001C676D">
        <w:trPr>
          <w:cantSplit/>
        </w:trPr>
        <w:tc>
          <w:tcPr>
            <w:tcW w:w="4650" w:type="dxa"/>
          </w:tcPr>
          <w:p w14:paraId="586FD1EA" w14:textId="77777777" w:rsidR="00E01C1A" w:rsidRPr="00E01C1A" w:rsidRDefault="00E01C1A" w:rsidP="00B4177C">
            <w:pPr>
              <w:rPr>
                <w:rFonts w:ascii="Times New Roman" w:hAnsi="Times New Roman"/>
                <w:b/>
                <w:sz w:val="22"/>
                <w:szCs w:val="22"/>
              </w:rPr>
            </w:pPr>
            <w:r w:rsidRPr="00E01C1A">
              <w:rPr>
                <w:rFonts w:ascii="Times New Roman" w:hAnsi="Times New Roman"/>
                <w:b/>
                <w:sz w:val="22"/>
                <w:szCs w:val="22"/>
              </w:rPr>
              <w:t>Ísland</w:t>
            </w:r>
          </w:p>
          <w:p w14:paraId="586FD1EB"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Vistor hf.</w:t>
            </w:r>
          </w:p>
          <w:p w14:paraId="586FD1EC" w14:textId="77777777" w:rsidR="00E01C1A" w:rsidRPr="00E01C1A" w:rsidRDefault="00E01C1A" w:rsidP="00B4177C">
            <w:pPr>
              <w:rPr>
                <w:rFonts w:ascii="Times New Roman" w:hAnsi="Times New Roman"/>
                <w:sz w:val="22"/>
                <w:szCs w:val="22"/>
              </w:rPr>
            </w:pPr>
            <w:r w:rsidRPr="00E01C1A">
              <w:rPr>
                <w:rFonts w:ascii="Times New Roman" w:hAnsi="Times New Roman"/>
                <w:noProof/>
                <w:sz w:val="22"/>
                <w:szCs w:val="22"/>
                <w:lang w:val="it-IT"/>
              </w:rPr>
              <w:t>S</w:t>
            </w:r>
            <w:r w:rsidRPr="00E01C1A">
              <w:rPr>
                <w:rFonts w:ascii="Times New Roman" w:hAnsi="Times New Roman"/>
                <w:noProof/>
                <w:sz w:val="22"/>
                <w:szCs w:val="22"/>
                <w:lang w:val="cs-CZ"/>
              </w:rPr>
              <w:t>í</w:t>
            </w:r>
            <w:r w:rsidRPr="00E01C1A">
              <w:rPr>
                <w:rFonts w:ascii="Times New Roman" w:hAnsi="Times New Roman"/>
                <w:noProof/>
                <w:sz w:val="22"/>
                <w:szCs w:val="22"/>
                <w:lang w:val="it-IT"/>
              </w:rPr>
              <w:t>mi</w:t>
            </w:r>
            <w:r w:rsidRPr="00E01C1A">
              <w:rPr>
                <w:rFonts w:ascii="Times New Roman" w:hAnsi="Times New Roman"/>
                <w:sz w:val="22"/>
                <w:szCs w:val="22"/>
              </w:rPr>
              <w:t>: +354 535 7000</w:t>
            </w:r>
          </w:p>
          <w:p w14:paraId="586FD1ED" w14:textId="77777777" w:rsidR="00E01C1A" w:rsidRPr="00E01C1A" w:rsidRDefault="00E01C1A" w:rsidP="00B4177C">
            <w:pPr>
              <w:rPr>
                <w:rFonts w:ascii="Times New Roman" w:hAnsi="Times New Roman"/>
                <w:b/>
                <w:sz w:val="22"/>
                <w:szCs w:val="22"/>
              </w:rPr>
            </w:pPr>
          </w:p>
        </w:tc>
        <w:tc>
          <w:tcPr>
            <w:tcW w:w="4650" w:type="dxa"/>
          </w:tcPr>
          <w:p w14:paraId="586FD1EE"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Slovenská republika</w:t>
            </w:r>
          </w:p>
          <w:p w14:paraId="586FD1EF"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Slovakia s.r.o.</w:t>
            </w:r>
          </w:p>
          <w:p w14:paraId="586FD1F0"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+421 2 5542 5439</w:t>
            </w:r>
          </w:p>
          <w:p w14:paraId="586FD1F1" w14:textId="77777777" w:rsidR="00E01C1A" w:rsidRPr="00E01C1A" w:rsidRDefault="00E01C1A" w:rsidP="00B4177C">
            <w:pPr>
              <w:rPr>
                <w:rFonts w:ascii="Times New Roman" w:hAnsi="Times New Roman"/>
                <w:sz w:val="22"/>
                <w:szCs w:val="22"/>
              </w:rPr>
            </w:pPr>
          </w:p>
        </w:tc>
      </w:tr>
      <w:tr w:rsidR="00E01C1A" w:rsidRPr="001420C3" w14:paraId="586FD1FA" w14:textId="77777777" w:rsidTr="001C676D">
        <w:trPr>
          <w:cantSplit/>
        </w:trPr>
        <w:tc>
          <w:tcPr>
            <w:tcW w:w="4650" w:type="dxa"/>
          </w:tcPr>
          <w:p w14:paraId="586FD1F3" w14:textId="77777777" w:rsidR="00E01C1A" w:rsidRPr="00E01C1A" w:rsidRDefault="00E01C1A" w:rsidP="00B4177C">
            <w:pPr>
              <w:rPr>
                <w:rFonts w:ascii="Times New Roman" w:hAnsi="Times New Roman"/>
                <w:b/>
                <w:sz w:val="22"/>
                <w:szCs w:val="22"/>
                <w:lang w:val="pt-BR"/>
              </w:rPr>
            </w:pPr>
            <w:r w:rsidRPr="00E01C1A">
              <w:rPr>
                <w:rFonts w:ascii="Times New Roman" w:hAnsi="Times New Roman"/>
                <w:b/>
                <w:sz w:val="22"/>
                <w:szCs w:val="22"/>
                <w:lang w:val="pt-BR"/>
              </w:rPr>
              <w:t>Italia</w:t>
            </w:r>
          </w:p>
          <w:p w14:paraId="586FD1F4" w14:textId="77777777" w:rsidR="00E01C1A" w:rsidRPr="00E01C1A" w:rsidRDefault="00E01C1A" w:rsidP="00B4177C">
            <w:pPr>
              <w:rPr>
                <w:rFonts w:ascii="Times New Roman" w:hAnsi="Times New Roman"/>
                <w:sz w:val="22"/>
                <w:szCs w:val="22"/>
                <w:lang w:val="pt-BR"/>
              </w:rPr>
            </w:pPr>
            <w:r w:rsidRPr="00E01C1A">
              <w:rPr>
                <w:rFonts w:ascii="Times New Roman" w:hAnsi="Times New Roman"/>
                <w:sz w:val="22"/>
                <w:szCs w:val="22"/>
                <w:lang w:val="pt-BR"/>
              </w:rPr>
              <w:t>Novartis Farma S.p.A.</w:t>
            </w:r>
          </w:p>
          <w:p w14:paraId="586FD1F5" w14:textId="77777777" w:rsidR="00E01C1A" w:rsidRPr="00E01C1A" w:rsidRDefault="00E01C1A" w:rsidP="00B4177C">
            <w:pPr>
              <w:rPr>
                <w:rFonts w:ascii="Times New Roman" w:hAnsi="Times New Roman"/>
                <w:b/>
                <w:sz w:val="22"/>
                <w:szCs w:val="22"/>
              </w:rPr>
            </w:pPr>
            <w:r w:rsidRPr="00E01C1A">
              <w:rPr>
                <w:rFonts w:ascii="Times New Roman" w:hAnsi="Times New Roman"/>
                <w:sz w:val="22"/>
                <w:szCs w:val="22"/>
              </w:rPr>
              <w:t>Tel: +39 02 96 54 1</w:t>
            </w:r>
          </w:p>
        </w:tc>
        <w:tc>
          <w:tcPr>
            <w:tcW w:w="4650" w:type="dxa"/>
          </w:tcPr>
          <w:p w14:paraId="586FD1F6"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lang w:val="fr-FR"/>
              </w:rPr>
              <w:t>Suomi/Finland</w:t>
            </w:r>
          </w:p>
          <w:p w14:paraId="586FD1F7"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Novartis Finland Oy</w:t>
            </w:r>
          </w:p>
          <w:p w14:paraId="586FD1F8"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rPr>
              <w:t xml:space="preserve">Puh/Tel: </w:t>
            </w:r>
            <w:r w:rsidRPr="00804D62">
              <w:rPr>
                <w:rFonts w:ascii="Times New Roman" w:hAnsi="Times New Roman"/>
                <w:sz w:val="22"/>
                <w:szCs w:val="22"/>
                <w:lang w:val="fr-FR" w:bidi="he-IL"/>
              </w:rPr>
              <w:t>+358 (0)10 6133 200</w:t>
            </w:r>
          </w:p>
          <w:p w14:paraId="586FD1F9" w14:textId="77777777" w:rsidR="00E01C1A" w:rsidRPr="00E01C1A" w:rsidRDefault="00E01C1A" w:rsidP="00B4177C">
            <w:pPr>
              <w:rPr>
                <w:rFonts w:ascii="Times New Roman" w:hAnsi="Times New Roman"/>
                <w:sz w:val="22"/>
                <w:szCs w:val="22"/>
                <w:lang w:val="fr-FR"/>
              </w:rPr>
            </w:pPr>
          </w:p>
        </w:tc>
      </w:tr>
      <w:tr w:rsidR="00E01C1A" w:rsidRPr="001420C3" w14:paraId="586FD203" w14:textId="77777777" w:rsidTr="001C676D">
        <w:trPr>
          <w:cantSplit/>
        </w:trPr>
        <w:tc>
          <w:tcPr>
            <w:tcW w:w="4650" w:type="dxa"/>
          </w:tcPr>
          <w:p w14:paraId="586FD1FB" w14:textId="77777777" w:rsidR="00E01C1A" w:rsidRPr="00E01C1A" w:rsidRDefault="00E01C1A" w:rsidP="00B4177C">
            <w:pPr>
              <w:rPr>
                <w:rFonts w:ascii="Times New Roman" w:hAnsi="Times New Roman"/>
                <w:b/>
                <w:sz w:val="22"/>
                <w:szCs w:val="22"/>
                <w:lang w:val="fr-FR"/>
              </w:rPr>
            </w:pPr>
            <w:r w:rsidRPr="00E01C1A">
              <w:rPr>
                <w:rFonts w:ascii="Times New Roman" w:hAnsi="Times New Roman"/>
                <w:b/>
                <w:sz w:val="22"/>
                <w:szCs w:val="22"/>
              </w:rPr>
              <w:lastRenderedPageBreak/>
              <w:t>Κύπρος</w:t>
            </w:r>
          </w:p>
          <w:p w14:paraId="586FD1FC"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lang w:val="fr-FR" w:bidi="he-IL"/>
              </w:rPr>
              <w:t>Novartis Pharma Services Inc.</w:t>
            </w:r>
          </w:p>
          <w:p w14:paraId="586FD1FD" w14:textId="77777777" w:rsidR="00E01C1A" w:rsidRPr="00E01C1A" w:rsidRDefault="00E01C1A" w:rsidP="00B4177C">
            <w:pPr>
              <w:rPr>
                <w:rFonts w:ascii="Times New Roman" w:hAnsi="Times New Roman"/>
                <w:sz w:val="22"/>
                <w:szCs w:val="22"/>
                <w:lang w:val="fr-FR"/>
              </w:rPr>
            </w:pPr>
            <w:r w:rsidRPr="00E01C1A">
              <w:rPr>
                <w:rFonts w:ascii="Times New Roman" w:hAnsi="Times New Roman"/>
                <w:sz w:val="22"/>
                <w:szCs w:val="22"/>
              </w:rPr>
              <w:t>Τηλ</w:t>
            </w:r>
            <w:r w:rsidRPr="00E01C1A">
              <w:rPr>
                <w:rFonts w:ascii="Times New Roman" w:hAnsi="Times New Roman"/>
                <w:sz w:val="22"/>
                <w:szCs w:val="22"/>
                <w:lang w:val="fr-FR"/>
              </w:rPr>
              <w:t>: +357 22 690 690</w:t>
            </w:r>
          </w:p>
          <w:p w14:paraId="586FD1FE" w14:textId="77777777" w:rsidR="00E01C1A" w:rsidRPr="00E01C1A" w:rsidRDefault="00E01C1A" w:rsidP="00B4177C">
            <w:pPr>
              <w:rPr>
                <w:rFonts w:ascii="Times New Roman" w:hAnsi="Times New Roman"/>
                <w:b/>
                <w:sz w:val="22"/>
                <w:szCs w:val="22"/>
                <w:lang w:val="fr-FR"/>
              </w:rPr>
            </w:pPr>
          </w:p>
        </w:tc>
        <w:tc>
          <w:tcPr>
            <w:tcW w:w="4650" w:type="dxa"/>
          </w:tcPr>
          <w:p w14:paraId="586FD1FF" w14:textId="77777777" w:rsidR="00E01C1A" w:rsidRPr="00E01C1A" w:rsidRDefault="00E01C1A" w:rsidP="00B4177C">
            <w:pPr>
              <w:rPr>
                <w:rFonts w:ascii="Times New Roman" w:hAnsi="Times New Roman"/>
                <w:b/>
                <w:sz w:val="22"/>
                <w:szCs w:val="22"/>
                <w:lang w:val="de-CH"/>
              </w:rPr>
            </w:pPr>
            <w:r w:rsidRPr="00E01C1A">
              <w:rPr>
                <w:rFonts w:ascii="Times New Roman" w:hAnsi="Times New Roman"/>
                <w:b/>
                <w:sz w:val="22"/>
                <w:szCs w:val="22"/>
                <w:lang w:val="de-CH"/>
              </w:rPr>
              <w:t>Sverige</w:t>
            </w:r>
          </w:p>
          <w:p w14:paraId="586FD200"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Novartis Sverige AB</w:t>
            </w:r>
          </w:p>
          <w:p w14:paraId="586FD201" w14:textId="77777777" w:rsidR="00E01C1A" w:rsidRPr="00E01C1A" w:rsidRDefault="00E01C1A" w:rsidP="00B4177C">
            <w:pPr>
              <w:rPr>
                <w:rFonts w:ascii="Times New Roman" w:hAnsi="Times New Roman"/>
                <w:sz w:val="22"/>
                <w:szCs w:val="22"/>
                <w:lang w:val="de-CH"/>
              </w:rPr>
            </w:pPr>
            <w:r w:rsidRPr="00E01C1A">
              <w:rPr>
                <w:rFonts w:ascii="Times New Roman" w:hAnsi="Times New Roman"/>
                <w:sz w:val="22"/>
                <w:szCs w:val="22"/>
                <w:lang w:val="de-CH"/>
              </w:rPr>
              <w:t>Tel: +46 8 732 32 00</w:t>
            </w:r>
          </w:p>
          <w:p w14:paraId="586FD202" w14:textId="77777777" w:rsidR="00E01C1A" w:rsidRPr="00E01C1A" w:rsidRDefault="00E01C1A" w:rsidP="00B4177C">
            <w:pPr>
              <w:rPr>
                <w:rFonts w:ascii="Times New Roman" w:hAnsi="Times New Roman"/>
                <w:sz w:val="22"/>
                <w:szCs w:val="22"/>
                <w:lang w:val="de-CH"/>
              </w:rPr>
            </w:pPr>
          </w:p>
        </w:tc>
      </w:tr>
      <w:tr w:rsidR="00E01C1A" w:rsidRPr="00E01C1A" w14:paraId="586FD20C" w14:textId="77777777" w:rsidTr="001C676D">
        <w:trPr>
          <w:cantSplit/>
        </w:trPr>
        <w:tc>
          <w:tcPr>
            <w:tcW w:w="4650" w:type="dxa"/>
          </w:tcPr>
          <w:p w14:paraId="586FD204" w14:textId="77777777" w:rsidR="00E01C1A" w:rsidRPr="00744D9D" w:rsidRDefault="00E01C1A" w:rsidP="00B4177C">
            <w:pPr>
              <w:rPr>
                <w:rFonts w:ascii="Times New Roman" w:hAnsi="Times New Roman"/>
                <w:b/>
                <w:sz w:val="22"/>
                <w:szCs w:val="22"/>
                <w:lang w:val="es-ES"/>
              </w:rPr>
            </w:pPr>
            <w:r w:rsidRPr="00744D9D">
              <w:rPr>
                <w:rFonts w:ascii="Times New Roman" w:hAnsi="Times New Roman"/>
                <w:b/>
                <w:sz w:val="22"/>
                <w:szCs w:val="22"/>
                <w:lang w:val="es-ES"/>
              </w:rPr>
              <w:t>Latvija</w:t>
            </w:r>
          </w:p>
          <w:p w14:paraId="586FD205" w14:textId="0FA44F54" w:rsidR="00E01C1A" w:rsidRPr="00744D9D" w:rsidRDefault="00AB26B9" w:rsidP="00B4177C">
            <w:pPr>
              <w:rPr>
                <w:rFonts w:ascii="Times New Roman" w:hAnsi="Times New Roman"/>
                <w:sz w:val="22"/>
                <w:szCs w:val="22"/>
                <w:lang w:val="es-ES"/>
              </w:rPr>
            </w:pPr>
            <w:r w:rsidRPr="00744D9D">
              <w:rPr>
                <w:rFonts w:ascii="Times New Roman" w:hAnsi="Times New Roman"/>
                <w:sz w:val="22"/>
                <w:szCs w:val="22"/>
                <w:lang w:val="es-ES"/>
              </w:rPr>
              <w:t>SIA Novartis Baltics</w:t>
            </w:r>
          </w:p>
          <w:p w14:paraId="586FD206" w14:textId="77777777" w:rsidR="00E01C1A" w:rsidRPr="00374F8A" w:rsidRDefault="00E01C1A" w:rsidP="00B4177C">
            <w:pPr>
              <w:rPr>
                <w:rFonts w:ascii="Times New Roman" w:hAnsi="Times New Roman"/>
                <w:sz w:val="22"/>
                <w:szCs w:val="22"/>
              </w:rPr>
            </w:pPr>
            <w:r w:rsidRPr="00374F8A">
              <w:rPr>
                <w:rFonts w:ascii="Times New Roman" w:hAnsi="Times New Roman"/>
                <w:sz w:val="22"/>
                <w:szCs w:val="22"/>
              </w:rPr>
              <w:t>Tel: +371 67 887 070</w:t>
            </w:r>
          </w:p>
          <w:p w14:paraId="586FD207" w14:textId="77777777" w:rsidR="00E01C1A" w:rsidRPr="00374F8A" w:rsidRDefault="00E01C1A" w:rsidP="00B4177C">
            <w:pPr>
              <w:rPr>
                <w:rFonts w:ascii="Times New Roman" w:hAnsi="Times New Roman"/>
                <w:b/>
                <w:sz w:val="22"/>
                <w:szCs w:val="22"/>
              </w:rPr>
            </w:pPr>
          </w:p>
        </w:tc>
        <w:tc>
          <w:tcPr>
            <w:tcW w:w="4650" w:type="dxa"/>
          </w:tcPr>
          <w:p w14:paraId="586FD208" w14:textId="77777777" w:rsidR="00E01C1A" w:rsidRPr="00804D62" w:rsidRDefault="00E01C1A" w:rsidP="00B4177C">
            <w:pPr>
              <w:rPr>
                <w:rFonts w:ascii="Times New Roman" w:hAnsi="Times New Roman"/>
                <w:b/>
                <w:sz w:val="22"/>
                <w:szCs w:val="22"/>
                <w:lang w:val="en-US"/>
              </w:rPr>
            </w:pPr>
            <w:r w:rsidRPr="00804D62">
              <w:rPr>
                <w:rFonts w:ascii="Times New Roman" w:hAnsi="Times New Roman"/>
                <w:b/>
                <w:sz w:val="22"/>
                <w:szCs w:val="22"/>
                <w:lang w:val="en-US"/>
              </w:rPr>
              <w:t>United Kingdom</w:t>
            </w:r>
          </w:p>
          <w:p w14:paraId="586FD209" w14:textId="77777777" w:rsidR="00E01C1A" w:rsidRPr="00804D62" w:rsidRDefault="00E01C1A" w:rsidP="00B4177C">
            <w:pPr>
              <w:rPr>
                <w:rFonts w:ascii="Times New Roman" w:hAnsi="Times New Roman"/>
                <w:sz w:val="22"/>
                <w:szCs w:val="22"/>
                <w:lang w:val="en-US"/>
              </w:rPr>
            </w:pPr>
            <w:r w:rsidRPr="00804D62">
              <w:rPr>
                <w:rFonts w:ascii="Times New Roman" w:hAnsi="Times New Roman"/>
                <w:sz w:val="22"/>
                <w:szCs w:val="22"/>
                <w:lang w:val="en-US"/>
              </w:rPr>
              <w:t>Novartis Pharmaceuticals UK Ltd.</w:t>
            </w:r>
          </w:p>
          <w:p w14:paraId="586FD20A" w14:textId="77777777" w:rsidR="00E01C1A" w:rsidRPr="00E01C1A" w:rsidRDefault="00E01C1A" w:rsidP="00B4177C">
            <w:pPr>
              <w:rPr>
                <w:rFonts w:ascii="Times New Roman" w:hAnsi="Times New Roman"/>
                <w:sz w:val="22"/>
                <w:szCs w:val="22"/>
              </w:rPr>
            </w:pPr>
            <w:r w:rsidRPr="00E01C1A">
              <w:rPr>
                <w:rFonts w:ascii="Times New Roman" w:hAnsi="Times New Roman"/>
                <w:sz w:val="22"/>
                <w:szCs w:val="22"/>
              </w:rPr>
              <w:t>Tel: +44 1276 698370</w:t>
            </w:r>
          </w:p>
          <w:p w14:paraId="586FD20B" w14:textId="77777777" w:rsidR="00E01C1A" w:rsidRPr="00E01C1A" w:rsidRDefault="00E01C1A" w:rsidP="00B4177C">
            <w:pPr>
              <w:rPr>
                <w:rFonts w:ascii="Times New Roman" w:hAnsi="Times New Roman"/>
                <w:sz w:val="22"/>
                <w:szCs w:val="22"/>
              </w:rPr>
            </w:pPr>
          </w:p>
        </w:tc>
      </w:tr>
    </w:tbl>
    <w:p w14:paraId="586FD20D" w14:textId="77777777" w:rsidR="00E01C1A" w:rsidRPr="00E01C1A" w:rsidRDefault="00E01C1A" w:rsidP="00E01C1A">
      <w:pPr>
        <w:widowControl w:val="0"/>
        <w:ind w:right="-449"/>
        <w:rPr>
          <w:rFonts w:ascii="Times New Roman" w:hAnsi="Times New Roman"/>
          <w:sz w:val="22"/>
          <w:szCs w:val="22"/>
        </w:rPr>
      </w:pPr>
    </w:p>
    <w:p w14:paraId="586FD20E" w14:textId="77777777" w:rsidR="008F2D51" w:rsidRDefault="008F2D51" w:rsidP="008F2D51">
      <w:pPr>
        <w:pStyle w:val="Heading1"/>
        <w:keepNext w:val="0"/>
        <w:widowControl w:val="0"/>
        <w:rPr>
          <w:szCs w:val="22"/>
        </w:rPr>
      </w:pPr>
      <w:r>
        <w:rPr>
          <w:szCs w:val="22"/>
        </w:rPr>
        <w:t xml:space="preserve">Tämä pakkausseloste on </w:t>
      </w:r>
      <w:r w:rsidR="005747B0">
        <w:rPr>
          <w:szCs w:val="22"/>
        </w:rPr>
        <w:t xml:space="preserve">tarkistettu </w:t>
      </w:r>
      <w:r>
        <w:rPr>
          <w:szCs w:val="22"/>
        </w:rPr>
        <w:t>viimeksi</w:t>
      </w:r>
    </w:p>
    <w:p w14:paraId="586FD20F" w14:textId="77777777" w:rsidR="008F2D51" w:rsidRDefault="008F2D51" w:rsidP="008F2D51">
      <w:pPr>
        <w:widowControl w:val="0"/>
        <w:rPr>
          <w:rFonts w:ascii="Times New Roman" w:hAnsi="Times New Roman"/>
          <w:noProof/>
          <w:sz w:val="22"/>
          <w:szCs w:val="22"/>
        </w:rPr>
      </w:pPr>
    </w:p>
    <w:p w14:paraId="586FD210" w14:textId="77777777" w:rsidR="005747B0" w:rsidRPr="00EE2DF2" w:rsidRDefault="005747B0" w:rsidP="00774A0B">
      <w:pPr>
        <w:keepNext/>
        <w:widowControl w:val="0"/>
        <w:rPr>
          <w:rFonts w:ascii="Times New Roman" w:hAnsi="Times New Roman"/>
          <w:b/>
          <w:noProof/>
          <w:sz w:val="22"/>
          <w:szCs w:val="22"/>
        </w:rPr>
      </w:pPr>
      <w:r w:rsidRPr="00EE2DF2">
        <w:rPr>
          <w:rFonts w:ascii="Times New Roman" w:hAnsi="Times New Roman"/>
          <w:b/>
          <w:noProof/>
          <w:sz w:val="22"/>
          <w:szCs w:val="22"/>
        </w:rPr>
        <w:t>Muut tiedonlähteet</w:t>
      </w:r>
    </w:p>
    <w:p w14:paraId="586FD211" w14:textId="77777777" w:rsidR="008F2D51" w:rsidRDefault="008F2D51" w:rsidP="008F2D51">
      <w:pPr>
        <w:widowControl w:val="0"/>
        <w:rPr>
          <w:rFonts w:ascii="Times New Roman" w:hAnsi="Times New Roman"/>
          <w:noProof/>
          <w:sz w:val="22"/>
          <w:szCs w:val="22"/>
        </w:rPr>
      </w:pPr>
      <w:r>
        <w:rPr>
          <w:rFonts w:ascii="Times New Roman" w:hAnsi="Times New Roman"/>
          <w:noProof/>
          <w:sz w:val="22"/>
          <w:szCs w:val="22"/>
        </w:rPr>
        <w:t xml:space="preserve">Lisätietoa tästä lääkevalmisteesta on saatavilla Euroopan lääkeviraston </w:t>
      </w:r>
      <w:r w:rsidR="00FF1B2A">
        <w:rPr>
          <w:rFonts w:ascii="Times New Roman" w:hAnsi="Times New Roman"/>
          <w:noProof/>
          <w:sz w:val="22"/>
          <w:szCs w:val="22"/>
        </w:rPr>
        <w:t>verkko</w:t>
      </w:r>
      <w:r>
        <w:rPr>
          <w:rFonts w:ascii="Times New Roman" w:hAnsi="Times New Roman"/>
          <w:noProof/>
          <w:sz w:val="22"/>
          <w:szCs w:val="22"/>
        </w:rPr>
        <w:t>sivu</w:t>
      </w:r>
      <w:r w:rsidR="00F404DF">
        <w:rPr>
          <w:rFonts w:ascii="Times New Roman" w:hAnsi="Times New Roman"/>
          <w:noProof/>
          <w:sz w:val="22"/>
          <w:szCs w:val="22"/>
        </w:rPr>
        <w:t xml:space="preserve">lla </w:t>
      </w:r>
      <w:hyperlink r:id="rId19" w:history="1">
        <w:r w:rsidR="00374F8A" w:rsidRPr="00827561">
          <w:rPr>
            <w:rStyle w:val="Hyperlink"/>
            <w:rFonts w:ascii="Times New Roman" w:hAnsi="Times New Roman"/>
            <w:noProof/>
            <w:sz w:val="22"/>
            <w:szCs w:val="22"/>
          </w:rPr>
          <w:t>http://www.ema.europa.eu</w:t>
        </w:r>
      </w:hyperlink>
    </w:p>
    <w:p w14:paraId="586FD3A5" w14:textId="7EEA2F7A" w:rsidR="00C80094" w:rsidRPr="007C3327" w:rsidRDefault="00C80094" w:rsidP="00DB19C6">
      <w:pPr>
        <w:ind w:right="1416"/>
        <w:outlineLvl w:val="0"/>
        <w:rPr>
          <w:rFonts w:ascii="Times New Roman" w:hAnsi="Times New Roman"/>
          <w:sz w:val="22"/>
          <w:szCs w:val="22"/>
        </w:rPr>
      </w:pPr>
    </w:p>
    <w:sectPr w:rsidR="00C80094" w:rsidRPr="007C3327" w:rsidSect="00D42741">
      <w:headerReference w:type="even" r:id="rId20"/>
      <w:headerReference w:type="default" r:id="rId21"/>
      <w:footerReference w:type="even" r:id="rId22"/>
      <w:footerReference w:type="default" r:id="rId23"/>
      <w:headerReference w:type="first" r:id="rId24"/>
      <w:footerReference w:type="first" r:id="rId25"/>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FD3D4" w14:textId="77777777" w:rsidR="00800EFA" w:rsidRDefault="00800EFA">
      <w:r>
        <w:separator/>
      </w:r>
    </w:p>
  </w:endnote>
  <w:endnote w:type="continuationSeparator" w:id="0">
    <w:p w14:paraId="586FD3D5" w14:textId="77777777" w:rsidR="00800EFA" w:rsidRDefault="00800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40AE" w14:textId="77777777" w:rsidR="00800EFA" w:rsidRDefault="00800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D3D6" w14:textId="7A13A711" w:rsidR="00800EFA" w:rsidRPr="00D42741" w:rsidRDefault="00800EFA">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D42741">
      <w:rPr>
        <w:rStyle w:val="PageNumber"/>
        <w:rFonts w:ascii="Arial" w:hAnsi="Arial" w:cs="Arial"/>
      </w:rPr>
      <w:fldChar w:fldCharType="begin"/>
    </w:r>
    <w:r w:rsidRPr="00D42741">
      <w:rPr>
        <w:rStyle w:val="PageNumber"/>
        <w:rFonts w:ascii="Arial" w:hAnsi="Arial" w:cs="Arial"/>
      </w:rPr>
      <w:instrText xml:space="preserve">PAGE  </w:instrText>
    </w:r>
    <w:r w:rsidRPr="00D42741">
      <w:rPr>
        <w:rStyle w:val="PageNumber"/>
        <w:rFonts w:ascii="Arial" w:hAnsi="Arial" w:cs="Arial"/>
      </w:rPr>
      <w:fldChar w:fldCharType="separate"/>
    </w:r>
    <w:r w:rsidR="000716A0">
      <w:rPr>
        <w:rStyle w:val="PageNumber"/>
        <w:rFonts w:ascii="Arial" w:hAnsi="Arial" w:cs="Arial"/>
        <w:noProof/>
      </w:rPr>
      <w:t>106</w:t>
    </w:r>
    <w:r w:rsidRPr="00D42741">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D3D7" w14:textId="77777777" w:rsidR="00800EFA" w:rsidRDefault="00800EFA" w:rsidP="00D42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6FD3D8" w14:textId="77777777" w:rsidR="00800EFA" w:rsidRDefault="00800EFA">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FD3D2" w14:textId="77777777" w:rsidR="00800EFA" w:rsidRDefault="00800EFA">
      <w:r>
        <w:separator/>
      </w:r>
    </w:p>
  </w:footnote>
  <w:footnote w:type="continuationSeparator" w:id="0">
    <w:p w14:paraId="586FD3D3" w14:textId="77777777" w:rsidR="00800EFA" w:rsidRDefault="00800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43AF" w14:textId="77777777" w:rsidR="00800EFA" w:rsidRDefault="00800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E783" w14:textId="77777777" w:rsidR="00800EFA" w:rsidRDefault="00800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FF58" w14:textId="77777777" w:rsidR="00800EFA" w:rsidRDefault="00800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01F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27542C"/>
    <w:multiLevelType w:val="hybridMultilevel"/>
    <w:tmpl w:val="AB988774"/>
    <w:lvl w:ilvl="0" w:tplc="8976F95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84D3E"/>
    <w:multiLevelType w:val="hybridMultilevel"/>
    <w:tmpl w:val="E6D2AB86"/>
    <w:lvl w:ilvl="0" w:tplc="A058FA54">
      <w:start w:val="1"/>
      <w:numFmt w:val="bullet"/>
      <w:lvlText w:val=""/>
      <w:lvlJc w:val="left"/>
      <w:pPr>
        <w:tabs>
          <w:tab w:val="num" w:pos="454"/>
        </w:tabs>
        <w:ind w:left="454" w:hanging="454"/>
      </w:pPr>
      <w:rPr>
        <w:rFonts w:ascii="Symbol" w:hAnsi="Symbol" w:hint="default"/>
      </w:rPr>
    </w:lvl>
    <w:lvl w:ilvl="1" w:tplc="AC2C9D6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277AF3"/>
    <w:multiLevelType w:val="multilevel"/>
    <w:tmpl w:val="DA9AF0F2"/>
    <w:lvl w:ilvl="0">
      <w:start w:val="1"/>
      <w:numFmt w:val="upperLetter"/>
      <w:lvlText w:val="%1."/>
      <w:lvlJc w:val="left"/>
      <w:pPr>
        <w:tabs>
          <w:tab w:val="num" w:pos="1494"/>
        </w:tabs>
        <w:ind w:left="1494"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420B2C"/>
    <w:multiLevelType w:val="singleLevel"/>
    <w:tmpl w:val="8FE27C6C"/>
    <w:lvl w:ilvl="0">
      <w:start w:val="10"/>
      <w:numFmt w:val="decimal"/>
      <w:lvlText w:val="%1."/>
      <w:lvlJc w:val="left"/>
      <w:pPr>
        <w:tabs>
          <w:tab w:val="num" w:pos="570"/>
        </w:tabs>
        <w:ind w:left="570" w:hanging="570"/>
      </w:pPr>
      <w:rPr>
        <w:rFonts w:hint="default"/>
      </w:rPr>
    </w:lvl>
  </w:abstractNum>
  <w:abstractNum w:abstractNumId="6" w15:restartNumberingAfterBreak="0">
    <w:nsid w:val="0BE039B0"/>
    <w:multiLevelType w:val="hybridMultilevel"/>
    <w:tmpl w:val="B52A9F60"/>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A5B84"/>
    <w:multiLevelType w:val="hybridMultilevel"/>
    <w:tmpl w:val="1D40ABC8"/>
    <w:lvl w:ilvl="0" w:tplc="F9E45B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F66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C47A82"/>
    <w:multiLevelType w:val="hybridMultilevel"/>
    <w:tmpl w:val="3D5E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23D95"/>
    <w:multiLevelType w:val="hybridMultilevel"/>
    <w:tmpl w:val="5D54CEF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BF32ED"/>
    <w:multiLevelType w:val="hybridMultilevel"/>
    <w:tmpl w:val="F16A0206"/>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776034"/>
    <w:multiLevelType w:val="hybridMultilevel"/>
    <w:tmpl w:val="84EE33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DC1578"/>
    <w:multiLevelType w:val="hybridMultilevel"/>
    <w:tmpl w:val="7E420AB4"/>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5A01A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3E265D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65D0F32"/>
    <w:multiLevelType w:val="hybridMultilevel"/>
    <w:tmpl w:val="30C8D7B4"/>
    <w:lvl w:ilvl="0" w:tplc="FC9448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E7106"/>
    <w:multiLevelType w:val="hybridMultilevel"/>
    <w:tmpl w:val="9716CF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C74AF6"/>
    <w:multiLevelType w:val="hybridMultilevel"/>
    <w:tmpl w:val="E8AE0B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4FCA2BF4"/>
    <w:multiLevelType w:val="hybridMultilevel"/>
    <w:tmpl w:val="96220FD2"/>
    <w:lvl w:ilvl="0" w:tplc="A058FA54">
      <w:start w:val="1"/>
      <w:numFmt w:val="bullet"/>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395515"/>
    <w:multiLevelType w:val="hybridMultilevel"/>
    <w:tmpl w:val="ECC84436"/>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0A2F5D"/>
    <w:multiLevelType w:val="hybridMultilevel"/>
    <w:tmpl w:val="B9D0E3AA"/>
    <w:lvl w:ilvl="0" w:tplc="422E6000">
      <w:start w:val="4"/>
      <w:numFmt w:val="bullet"/>
      <w:lvlText w:val=""/>
      <w:lvlJc w:val="left"/>
      <w:pPr>
        <w:tabs>
          <w:tab w:val="num" w:pos="720"/>
        </w:tabs>
        <w:ind w:left="720" w:hanging="360"/>
      </w:pPr>
      <w:rPr>
        <w:rFonts w:ascii="Symbol" w:eastAsia="Times New Roman" w:hAnsi="Symbo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D27968"/>
    <w:multiLevelType w:val="hybridMultilevel"/>
    <w:tmpl w:val="022E19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150CD4"/>
    <w:multiLevelType w:val="hybridMultilevel"/>
    <w:tmpl w:val="8D50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F27AF"/>
    <w:multiLevelType w:val="hybridMultilevel"/>
    <w:tmpl w:val="50AE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B2F76"/>
    <w:multiLevelType w:val="hybridMultilevel"/>
    <w:tmpl w:val="1E0AAD5E"/>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47581A"/>
    <w:multiLevelType w:val="hybridMultilevel"/>
    <w:tmpl w:val="3BDCDB1E"/>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1A64C6"/>
    <w:multiLevelType w:val="hybridMultilevel"/>
    <w:tmpl w:val="5080BD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A362BD"/>
    <w:multiLevelType w:val="hybridMultilevel"/>
    <w:tmpl w:val="84EE3306"/>
    <w:lvl w:ilvl="0" w:tplc="BC92D940">
      <w:start w:val="3"/>
      <w:numFmt w:val="upperLetter"/>
      <w:lvlText w:val="%1."/>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1046B6"/>
    <w:multiLevelType w:val="hybridMultilevel"/>
    <w:tmpl w:val="65D4045A"/>
    <w:lvl w:ilvl="0" w:tplc="A058FA54">
      <w:start w:val="1"/>
      <w:numFmt w:val="bullet"/>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B87738"/>
    <w:multiLevelType w:val="hybridMultilevel"/>
    <w:tmpl w:val="B6D81758"/>
    <w:lvl w:ilvl="0" w:tplc="4AEEF1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16"/>
  </w:num>
  <w:num w:numId="5">
    <w:abstractNumId w:val="15"/>
  </w:num>
  <w:num w:numId="6">
    <w:abstractNumId w:val="8"/>
  </w:num>
  <w:num w:numId="7">
    <w:abstractNumId w:val="4"/>
  </w:num>
  <w:num w:numId="8">
    <w:abstractNumId w:val="0"/>
    <w:lvlOverride w:ilvl="0">
      <w:lvl w:ilvl="0">
        <w:start w:val="2"/>
        <w:numFmt w:val="bullet"/>
        <w:lvlText w:val="-"/>
        <w:lvlJc w:val="left"/>
        <w:pPr>
          <w:tabs>
            <w:tab w:val="num" w:pos="927"/>
          </w:tabs>
          <w:ind w:left="927" w:hanging="360"/>
        </w:pPr>
        <w:rPr>
          <w:rFonts w:hint="default"/>
        </w:rPr>
      </w:lvl>
    </w:lvlOverride>
  </w:num>
  <w:num w:numId="9">
    <w:abstractNumId w:val="5"/>
  </w:num>
  <w:num w:numId="10">
    <w:abstractNumId w:val="18"/>
  </w:num>
  <w:num w:numId="11">
    <w:abstractNumId w:val="13"/>
  </w:num>
  <w:num w:numId="12">
    <w:abstractNumId w:val="22"/>
  </w:num>
  <w:num w:numId="13">
    <w:abstractNumId w:val="23"/>
  </w:num>
  <w:num w:numId="14">
    <w:abstractNumId w:val="11"/>
  </w:num>
  <w:num w:numId="15">
    <w:abstractNumId w:val="21"/>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1"/>
  </w:num>
  <w:num w:numId="19">
    <w:abstractNumId w:val="3"/>
  </w:num>
  <w:num w:numId="20">
    <w:abstractNumId w:val="20"/>
  </w:num>
  <w:num w:numId="21">
    <w:abstractNumId w:val="12"/>
  </w:num>
  <w:num w:numId="22">
    <w:abstractNumId w:val="6"/>
  </w:num>
  <w:num w:numId="23">
    <w:abstractNumId w:val="14"/>
  </w:num>
  <w:num w:numId="24">
    <w:abstractNumId w:val="26"/>
  </w:num>
  <w:num w:numId="25">
    <w:abstractNumId w:val="27"/>
  </w:num>
  <w:num w:numId="26">
    <w:abstractNumId w:val="30"/>
  </w:num>
  <w:num w:numId="27">
    <w:abstractNumId w:val="9"/>
  </w:num>
  <w:num w:numId="28">
    <w:abstractNumId w:val="29"/>
  </w:num>
  <w:num w:numId="29">
    <w:abstractNumId w:val="25"/>
  </w:num>
  <w:num w:numId="30">
    <w:abstractNumId w:val="32"/>
  </w:num>
  <w:num w:numId="31">
    <w:abstractNumId w:val="28"/>
  </w:num>
  <w:num w:numId="32">
    <w:abstractNumId w:val="10"/>
  </w:num>
  <w:num w:numId="33">
    <w:abstractNumId w:val="7"/>
  </w:num>
  <w:num w:numId="34">
    <w:abstractNumId w:val="24"/>
  </w:num>
  <w:num w:numId="3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fr-FR" w:vendorID="64" w:dllVersion="6" w:nlCheck="1" w:checkStyle="0"/>
  <w:activeWritingStyle w:appName="MSWord" w:lang="en-US" w:vendorID="64" w:dllVersion="6" w:nlCheck="1" w:checkStyle="1"/>
  <w:activeWritingStyle w:appName="MSWord" w:lang="pt-BR" w:vendorID="64" w:dllVersion="6" w:nlCheck="1" w:checkStyle="0"/>
  <w:activeWritingStyle w:appName="MSWord" w:lang="de-DE" w:vendorID="64" w:dllVersion="6" w:nlCheck="1" w:checkStyle="0"/>
  <w:activeWritingStyle w:appName="MSWord" w:lang="en-GB" w:vendorID="64" w:dllVersion="6" w:nlCheck="1" w:checkStyle="1"/>
  <w:activeWritingStyle w:appName="MSWord" w:lang="de-CH" w:vendorID="64" w:dllVersion="6" w:nlCheck="1" w:checkStyle="0"/>
  <w:activeWritingStyle w:appName="MSWord" w:lang="es-ES" w:vendorID="64" w:dllVersion="6" w:nlCheck="1" w:checkStyle="0"/>
  <w:activeWritingStyle w:appName="MSWord" w:lang="fi-FI" w:vendorID="64" w:dllVersion="4096" w:nlCheck="1" w:checkStyle="0"/>
  <w:activeWritingStyle w:appName="MSWord" w:lang="sv-S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de-CH" w:vendorID="64" w:dllVersion="4096" w:nlCheck="1" w:checkStyle="0"/>
  <w:activeWritingStyle w:appName="MSWord" w:lang="fr-CH" w:vendorID="64" w:dllVersion="6" w:nlCheck="1" w:checkStyle="0"/>
  <w:activeWritingStyle w:appName="MSWord" w:lang="fi-FI" w:vendorID="64" w:dllVersion="6" w:nlCheck="1" w:checkStyle="0"/>
  <w:activeWritingStyle w:appName="MSWord" w:lang="pt-PT"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E5"/>
    <w:rsid w:val="00001839"/>
    <w:rsid w:val="00004499"/>
    <w:rsid w:val="000077E0"/>
    <w:rsid w:val="00017116"/>
    <w:rsid w:val="00022D1C"/>
    <w:rsid w:val="00025C76"/>
    <w:rsid w:val="000331C9"/>
    <w:rsid w:val="00036FA8"/>
    <w:rsid w:val="00042B71"/>
    <w:rsid w:val="00043D39"/>
    <w:rsid w:val="00044ED0"/>
    <w:rsid w:val="00052289"/>
    <w:rsid w:val="00052C3B"/>
    <w:rsid w:val="0005364F"/>
    <w:rsid w:val="00055F9B"/>
    <w:rsid w:val="00060BD9"/>
    <w:rsid w:val="00061236"/>
    <w:rsid w:val="00063F41"/>
    <w:rsid w:val="00066187"/>
    <w:rsid w:val="00070E8F"/>
    <w:rsid w:val="000716A0"/>
    <w:rsid w:val="00074D98"/>
    <w:rsid w:val="000763D3"/>
    <w:rsid w:val="00076725"/>
    <w:rsid w:val="00077866"/>
    <w:rsid w:val="000838BF"/>
    <w:rsid w:val="0008603F"/>
    <w:rsid w:val="00086559"/>
    <w:rsid w:val="00090115"/>
    <w:rsid w:val="000942A7"/>
    <w:rsid w:val="00094818"/>
    <w:rsid w:val="00096549"/>
    <w:rsid w:val="000A38D7"/>
    <w:rsid w:val="000A39F3"/>
    <w:rsid w:val="000A5AA8"/>
    <w:rsid w:val="000B0771"/>
    <w:rsid w:val="000B122B"/>
    <w:rsid w:val="000B3DA4"/>
    <w:rsid w:val="000B4498"/>
    <w:rsid w:val="000B5B8D"/>
    <w:rsid w:val="000B7A47"/>
    <w:rsid w:val="000B7E36"/>
    <w:rsid w:val="000C2196"/>
    <w:rsid w:val="000C26AD"/>
    <w:rsid w:val="000C2D37"/>
    <w:rsid w:val="000C32AF"/>
    <w:rsid w:val="000C4CB3"/>
    <w:rsid w:val="000C68C3"/>
    <w:rsid w:val="000D2D5E"/>
    <w:rsid w:val="000D4D94"/>
    <w:rsid w:val="000D55A6"/>
    <w:rsid w:val="000D5EC5"/>
    <w:rsid w:val="000D6E47"/>
    <w:rsid w:val="000E1327"/>
    <w:rsid w:val="000E48EB"/>
    <w:rsid w:val="000E7C03"/>
    <w:rsid w:val="000E7C4E"/>
    <w:rsid w:val="000F0A9C"/>
    <w:rsid w:val="000F1219"/>
    <w:rsid w:val="000F43EB"/>
    <w:rsid w:val="000F7ACB"/>
    <w:rsid w:val="0010370D"/>
    <w:rsid w:val="00106A5E"/>
    <w:rsid w:val="00112B38"/>
    <w:rsid w:val="00120516"/>
    <w:rsid w:val="0012589E"/>
    <w:rsid w:val="001310EF"/>
    <w:rsid w:val="0013296A"/>
    <w:rsid w:val="001338E6"/>
    <w:rsid w:val="00134400"/>
    <w:rsid w:val="001356F6"/>
    <w:rsid w:val="001358A9"/>
    <w:rsid w:val="00137ECC"/>
    <w:rsid w:val="00141E4B"/>
    <w:rsid w:val="001420C3"/>
    <w:rsid w:val="00143553"/>
    <w:rsid w:val="00144A2D"/>
    <w:rsid w:val="001505D2"/>
    <w:rsid w:val="00151231"/>
    <w:rsid w:val="001549D9"/>
    <w:rsid w:val="00157E56"/>
    <w:rsid w:val="00160A25"/>
    <w:rsid w:val="001639B2"/>
    <w:rsid w:val="0016404C"/>
    <w:rsid w:val="001641D4"/>
    <w:rsid w:val="001661AE"/>
    <w:rsid w:val="001678D7"/>
    <w:rsid w:val="00170AC1"/>
    <w:rsid w:val="00170E55"/>
    <w:rsid w:val="00172DF9"/>
    <w:rsid w:val="00173A2A"/>
    <w:rsid w:val="00173BDB"/>
    <w:rsid w:val="00175889"/>
    <w:rsid w:val="00175DC8"/>
    <w:rsid w:val="00175F26"/>
    <w:rsid w:val="00180851"/>
    <w:rsid w:val="00181A48"/>
    <w:rsid w:val="001827E7"/>
    <w:rsid w:val="001833B9"/>
    <w:rsid w:val="001845D5"/>
    <w:rsid w:val="00185C99"/>
    <w:rsid w:val="00186334"/>
    <w:rsid w:val="00187998"/>
    <w:rsid w:val="00187FAD"/>
    <w:rsid w:val="00191264"/>
    <w:rsid w:val="00194400"/>
    <w:rsid w:val="0019509E"/>
    <w:rsid w:val="00195A77"/>
    <w:rsid w:val="00196A31"/>
    <w:rsid w:val="001A1A54"/>
    <w:rsid w:val="001A235E"/>
    <w:rsid w:val="001A2713"/>
    <w:rsid w:val="001A3477"/>
    <w:rsid w:val="001A3A3A"/>
    <w:rsid w:val="001A5203"/>
    <w:rsid w:val="001A6627"/>
    <w:rsid w:val="001B176A"/>
    <w:rsid w:val="001B2373"/>
    <w:rsid w:val="001B271A"/>
    <w:rsid w:val="001B27BD"/>
    <w:rsid w:val="001B3718"/>
    <w:rsid w:val="001B6E5E"/>
    <w:rsid w:val="001C13A3"/>
    <w:rsid w:val="001C5744"/>
    <w:rsid w:val="001C676D"/>
    <w:rsid w:val="001E0542"/>
    <w:rsid w:val="001E1E19"/>
    <w:rsid w:val="001E25FE"/>
    <w:rsid w:val="001E6A99"/>
    <w:rsid w:val="001F2635"/>
    <w:rsid w:val="001F2691"/>
    <w:rsid w:val="001F2AC1"/>
    <w:rsid w:val="001F41C8"/>
    <w:rsid w:val="001F54D5"/>
    <w:rsid w:val="001F716E"/>
    <w:rsid w:val="002005D4"/>
    <w:rsid w:val="002029A0"/>
    <w:rsid w:val="00202D97"/>
    <w:rsid w:val="00204569"/>
    <w:rsid w:val="00205158"/>
    <w:rsid w:val="00205DBD"/>
    <w:rsid w:val="00207324"/>
    <w:rsid w:val="00210954"/>
    <w:rsid w:val="00210DD7"/>
    <w:rsid w:val="00211BBD"/>
    <w:rsid w:val="00220D29"/>
    <w:rsid w:val="00221906"/>
    <w:rsid w:val="002234B0"/>
    <w:rsid w:val="00224D56"/>
    <w:rsid w:val="0022506D"/>
    <w:rsid w:val="002250B1"/>
    <w:rsid w:val="002263F2"/>
    <w:rsid w:val="00226F14"/>
    <w:rsid w:val="002277F2"/>
    <w:rsid w:val="0023344D"/>
    <w:rsid w:val="002347D8"/>
    <w:rsid w:val="00235B60"/>
    <w:rsid w:val="00237C68"/>
    <w:rsid w:val="00244A06"/>
    <w:rsid w:val="0024559C"/>
    <w:rsid w:val="002601EC"/>
    <w:rsid w:val="00263404"/>
    <w:rsid w:val="00264B7F"/>
    <w:rsid w:val="00265E89"/>
    <w:rsid w:val="00266836"/>
    <w:rsid w:val="0027058E"/>
    <w:rsid w:val="0027075E"/>
    <w:rsid w:val="00270C87"/>
    <w:rsid w:val="00271B32"/>
    <w:rsid w:val="00273FF9"/>
    <w:rsid w:val="002750B4"/>
    <w:rsid w:val="00275552"/>
    <w:rsid w:val="0028184B"/>
    <w:rsid w:val="0028667B"/>
    <w:rsid w:val="00286AFA"/>
    <w:rsid w:val="00286E60"/>
    <w:rsid w:val="002903B9"/>
    <w:rsid w:val="00291A4D"/>
    <w:rsid w:val="00293FCE"/>
    <w:rsid w:val="0029567D"/>
    <w:rsid w:val="00297FFC"/>
    <w:rsid w:val="002A24B1"/>
    <w:rsid w:val="002A600D"/>
    <w:rsid w:val="002A611B"/>
    <w:rsid w:val="002A6F73"/>
    <w:rsid w:val="002B05E2"/>
    <w:rsid w:val="002B0CBF"/>
    <w:rsid w:val="002B11AF"/>
    <w:rsid w:val="002B16EA"/>
    <w:rsid w:val="002B1C76"/>
    <w:rsid w:val="002B1D0A"/>
    <w:rsid w:val="002B5349"/>
    <w:rsid w:val="002B6288"/>
    <w:rsid w:val="002B6674"/>
    <w:rsid w:val="002B6EAF"/>
    <w:rsid w:val="002C259B"/>
    <w:rsid w:val="002C294F"/>
    <w:rsid w:val="002C4D46"/>
    <w:rsid w:val="002C6218"/>
    <w:rsid w:val="002C6E31"/>
    <w:rsid w:val="002D3BFA"/>
    <w:rsid w:val="002D3EF2"/>
    <w:rsid w:val="002D5BFA"/>
    <w:rsid w:val="002D5C4C"/>
    <w:rsid w:val="002D7EEF"/>
    <w:rsid w:val="002E02D4"/>
    <w:rsid w:val="002E4BA8"/>
    <w:rsid w:val="002E4FEF"/>
    <w:rsid w:val="002E76C7"/>
    <w:rsid w:val="002F2891"/>
    <w:rsid w:val="002F4CAB"/>
    <w:rsid w:val="002F6C0E"/>
    <w:rsid w:val="00301875"/>
    <w:rsid w:val="003031FC"/>
    <w:rsid w:val="00304656"/>
    <w:rsid w:val="00306020"/>
    <w:rsid w:val="00307DDC"/>
    <w:rsid w:val="00310624"/>
    <w:rsid w:val="00310716"/>
    <w:rsid w:val="00311DC5"/>
    <w:rsid w:val="003127A9"/>
    <w:rsid w:val="00314041"/>
    <w:rsid w:val="00315E1A"/>
    <w:rsid w:val="0031751A"/>
    <w:rsid w:val="00322307"/>
    <w:rsid w:val="00324DEB"/>
    <w:rsid w:val="00325C41"/>
    <w:rsid w:val="00331A48"/>
    <w:rsid w:val="0033262C"/>
    <w:rsid w:val="00334AFA"/>
    <w:rsid w:val="003362DE"/>
    <w:rsid w:val="003369BC"/>
    <w:rsid w:val="0034041A"/>
    <w:rsid w:val="00342E3C"/>
    <w:rsid w:val="00345374"/>
    <w:rsid w:val="00345E3E"/>
    <w:rsid w:val="00350366"/>
    <w:rsid w:val="00350CDC"/>
    <w:rsid w:val="003528FD"/>
    <w:rsid w:val="003618E3"/>
    <w:rsid w:val="00364A55"/>
    <w:rsid w:val="003663BA"/>
    <w:rsid w:val="00367DC9"/>
    <w:rsid w:val="00367E6F"/>
    <w:rsid w:val="00371254"/>
    <w:rsid w:val="003724DC"/>
    <w:rsid w:val="00373055"/>
    <w:rsid w:val="0037430A"/>
    <w:rsid w:val="00374E9F"/>
    <w:rsid w:val="00374F8A"/>
    <w:rsid w:val="00375291"/>
    <w:rsid w:val="0037681E"/>
    <w:rsid w:val="00376A59"/>
    <w:rsid w:val="003773BE"/>
    <w:rsid w:val="00377FCA"/>
    <w:rsid w:val="0038588A"/>
    <w:rsid w:val="003A3336"/>
    <w:rsid w:val="003A4886"/>
    <w:rsid w:val="003A683C"/>
    <w:rsid w:val="003A77B2"/>
    <w:rsid w:val="003B00C9"/>
    <w:rsid w:val="003B3C13"/>
    <w:rsid w:val="003B4858"/>
    <w:rsid w:val="003B528A"/>
    <w:rsid w:val="003B534D"/>
    <w:rsid w:val="003B5BBC"/>
    <w:rsid w:val="003B7063"/>
    <w:rsid w:val="003B78EE"/>
    <w:rsid w:val="003C1DD1"/>
    <w:rsid w:val="003C3DE8"/>
    <w:rsid w:val="003C653A"/>
    <w:rsid w:val="003D33BF"/>
    <w:rsid w:val="003D4EFA"/>
    <w:rsid w:val="003D6C2F"/>
    <w:rsid w:val="003E239B"/>
    <w:rsid w:val="003E2982"/>
    <w:rsid w:val="003E32B1"/>
    <w:rsid w:val="003E33AE"/>
    <w:rsid w:val="003E75EF"/>
    <w:rsid w:val="003F54E1"/>
    <w:rsid w:val="003F6321"/>
    <w:rsid w:val="003F7043"/>
    <w:rsid w:val="004011E4"/>
    <w:rsid w:val="00401478"/>
    <w:rsid w:val="00402B36"/>
    <w:rsid w:val="00403E14"/>
    <w:rsid w:val="004045B8"/>
    <w:rsid w:val="004053ED"/>
    <w:rsid w:val="00414A2E"/>
    <w:rsid w:val="00415BAD"/>
    <w:rsid w:val="004177D4"/>
    <w:rsid w:val="00420AE5"/>
    <w:rsid w:val="00420F23"/>
    <w:rsid w:val="004215C0"/>
    <w:rsid w:val="00421EBB"/>
    <w:rsid w:val="00423941"/>
    <w:rsid w:val="00423A80"/>
    <w:rsid w:val="004273CC"/>
    <w:rsid w:val="004300D9"/>
    <w:rsid w:val="004301A7"/>
    <w:rsid w:val="00431475"/>
    <w:rsid w:val="00432B2A"/>
    <w:rsid w:val="00433FE7"/>
    <w:rsid w:val="00434352"/>
    <w:rsid w:val="00434F16"/>
    <w:rsid w:val="00435FC2"/>
    <w:rsid w:val="00436801"/>
    <w:rsid w:val="004368FA"/>
    <w:rsid w:val="00437462"/>
    <w:rsid w:val="00440C35"/>
    <w:rsid w:val="00440FDD"/>
    <w:rsid w:val="00442299"/>
    <w:rsid w:val="004442DF"/>
    <w:rsid w:val="0044532C"/>
    <w:rsid w:val="00445713"/>
    <w:rsid w:val="00445873"/>
    <w:rsid w:val="00446DC8"/>
    <w:rsid w:val="00446FAA"/>
    <w:rsid w:val="004506D0"/>
    <w:rsid w:val="00452B69"/>
    <w:rsid w:val="00457531"/>
    <w:rsid w:val="00457898"/>
    <w:rsid w:val="004625A5"/>
    <w:rsid w:val="00462A09"/>
    <w:rsid w:val="004636CF"/>
    <w:rsid w:val="00464325"/>
    <w:rsid w:val="004677BE"/>
    <w:rsid w:val="004701B4"/>
    <w:rsid w:val="0047197B"/>
    <w:rsid w:val="00472E73"/>
    <w:rsid w:val="00474C33"/>
    <w:rsid w:val="0047520B"/>
    <w:rsid w:val="0047686A"/>
    <w:rsid w:val="00476F1B"/>
    <w:rsid w:val="0048216F"/>
    <w:rsid w:val="0048313C"/>
    <w:rsid w:val="00484942"/>
    <w:rsid w:val="004920DB"/>
    <w:rsid w:val="004944B3"/>
    <w:rsid w:val="00495E0D"/>
    <w:rsid w:val="00496222"/>
    <w:rsid w:val="0049753D"/>
    <w:rsid w:val="004A3019"/>
    <w:rsid w:val="004A6EE5"/>
    <w:rsid w:val="004B2127"/>
    <w:rsid w:val="004B2D62"/>
    <w:rsid w:val="004B459A"/>
    <w:rsid w:val="004B7D4D"/>
    <w:rsid w:val="004C0077"/>
    <w:rsid w:val="004C0DFC"/>
    <w:rsid w:val="004C214E"/>
    <w:rsid w:val="004C231F"/>
    <w:rsid w:val="004D306E"/>
    <w:rsid w:val="004D30B9"/>
    <w:rsid w:val="004D4DF4"/>
    <w:rsid w:val="004D5B3B"/>
    <w:rsid w:val="004D7F42"/>
    <w:rsid w:val="004E0871"/>
    <w:rsid w:val="004E2116"/>
    <w:rsid w:val="004E2F87"/>
    <w:rsid w:val="004E4FA8"/>
    <w:rsid w:val="004E5083"/>
    <w:rsid w:val="004E55EE"/>
    <w:rsid w:val="004E60BE"/>
    <w:rsid w:val="004E6CF8"/>
    <w:rsid w:val="004F0798"/>
    <w:rsid w:val="004F6EA4"/>
    <w:rsid w:val="00500D5B"/>
    <w:rsid w:val="00500F94"/>
    <w:rsid w:val="00501A43"/>
    <w:rsid w:val="00501AA0"/>
    <w:rsid w:val="00503647"/>
    <w:rsid w:val="0050376C"/>
    <w:rsid w:val="00506315"/>
    <w:rsid w:val="00507504"/>
    <w:rsid w:val="00510641"/>
    <w:rsid w:val="00511BF0"/>
    <w:rsid w:val="00512861"/>
    <w:rsid w:val="00512DCD"/>
    <w:rsid w:val="00514013"/>
    <w:rsid w:val="00514312"/>
    <w:rsid w:val="0052042C"/>
    <w:rsid w:val="00520C2B"/>
    <w:rsid w:val="005227E6"/>
    <w:rsid w:val="00523A54"/>
    <w:rsid w:val="00532284"/>
    <w:rsid w:val="00532E14"/>
    <w:rsid w:val="00533F7E"/>
    <w:rsid w:val="00534896"/>
    <w:rsid w:val="00540BAE"/>
    <w:rsid w:val="00540EFB"/>
    <w:rsid w:val="00541C6B"/>
    <w:rsid w:val="00543118"/>
    <w:rsid w:val="00543CC1"/>
    <w:rsid w:val="00543DC7"/>
    <w:rsid w:val="00544D06"/>
    <w:rsid w:val="00545D68"/>
    <w:rsid w:val="00550158"/>
    <w:rsid w:val="00551279"/>
    <w:rsid w:val="00555111"/>
    <w:rsid w:val="0056115D"/>
    <w:rsid w:val="00561CFE"/>
    <w:rsid w:val="00563089"/>
    <w:rsid w:val="005653FC"/>
    <w:rsid w:val="0056662F"/>
    <w:rsid w:val="00566659"/>
    <w:rsid w:val="005670BF"/>
    <w:rsid w:val="00567A4F"/>
    <w:rsid w:val="00572650"/>
    <w:rsid w:val="005747B0"/>
    <w:rsid w:val="0057483D"/>
    <w:rsid w:val="00574ED2"/>
    <w:rsid w:val="00576F84"/>
    <w:rsid w:val="0057782D"/>
    <w:rsid w:val="00577BC6"/>
    <w:rsid w:val="00580A1A"/>
    <w:rsid w:val="00581D7B"/>
    <w:rsid w:val="00582264"/>
    <w:rsid w:val="00582720"/>
    <w:rsid w:val="0058479A"/>
    <w:rsid w:val="00584A81"/>
    <w:rsid w:val="00585038"/>
    <w:rsid w:val="00585B7A"/>
    <w:rsid w:val="00586ABE"/>
    <w:rsid w:val="005921C5"/>
    <w:rsid w:val="00592ECA"/>
    <w:rsid w:val="00594A02"/>
    <w:rsid w:val="00595CBB"/>
    <w:rsid w:val="00596242"/>
    <w:rsid w:val="00596C44"/>
    <w:rsid w:val="0059702C"/>
    <w:rsid w:val="00597FC4"/>
    <w:rsid w:val="005A0A04"/>
    <w:rsid w:val="005A13CC"/>
    <w:rsid w:val="005A317A"/>
    <w:rsid w:val="005A54FA"/>
    <w:rsid w:val="005A5D91"/>
    <w:rsid w:val="005A60D9"/>
    <w:rsid w:val="005B1F1A"/>
    <w:rsid w:val="005B2737"/>
    <w:rsid w:val="005B3D54"/>
    <w:rsid w:val="005B4C43"/>
    <w:rsid w:val="005B664D"/>
    <w:rsid w:val="005B700E"/>
    <w:rsid w:val="005C1BD6"/>
    <w:rsid w:val="005C2128"/>
    <w:rsid w:val="005C2168"/>
    <w:rsid w:val="005C402B"/>
    <w:rsid w:val="005C6D4D"/>
    <w:rsid w:val="005C6E7D"/>
    <w:rsid w:val="005D03C4"/>
    <w:rsid w:val="005D1290"/>
    <w:rsid w:val="005D7734"/>
    <w:rsid w:val="005D7807"/>
    <w:rsid w:val="005D7CBD"/>
    <w:rsid w:val="005E0BE1"/>
    <w:rsid w:val="005E2439"/>
    <w:rsid w:val="005E3518"/>
    <w:rsid w:val="005E4D97"/>
    <w:rsid w:val="005E57E2"/>
    <w:rsid w:val="005E5A1A"/>
    <w:rsid w:val="005E6202"/>
    <w:rsid w:val="005E6AAA"/>
    <w:rsid w:val="005E7841"/>
    <w:rsid w:val="005F0B53"/>
    <w:rsid w:val="005F4EDC"/>
    <w:rsid w:val="005F78C5"/>
    <w:rsid w:val="005F7CCE"/>
    <w:rsid w:val="006000C2"/>
    <w:rsid w:val="00600229"/>
    <w:rsid w:val="006036C7"/>
    <w:rsid w:val="00605B38"/>
    <w:rsid w:val="00605EF8"/>
    <w:rsid w:val="00612217"/>
    <w:rsid w:val="00616487"/>
    <w:rsid w:val="0062309D"/>
    <w:rsid w:val="006231B9"/>
    <w:rsid w:val="006234FE"/>
    <w:rsid w:val="006258C3"/>
    <w:rsid w:val="006258E1"/>
    <w:rsid w:val="00626B96"/>
    <w:rsid w:val="00626F12"/>
    <w:rsid w:val="00627B27"/>
    <w:rsid w:val="00645D09"/>
    <w:rsid w:val="0065031C"/>
    <w:rsid w:val="00651EAA"/>
    <w:rsid w:val="00652164"/>
    <w:rsid w:val="006532A5"/>
    <w:rsid w:val="00657531"/>
    <w:rsid w:val="00657A19"/>
    <w:rsid w:val="006607CF"/>
    <w:rsid w:val="00662C86"/>
    <w:rsid w:val="006659A7"/>
    <w:rsid w:val="00667AB8"/>
    <w:rsid w:val="006756D1"/>
    <w:rsid w:val="0067633C"/>
    <w:rsid w:val="00677343"/>
    <w:rsid w:val="00677C15"/>
    <w:rsid w:val="00677EC3"/>
    <w:rsid w:val="00680E36"/>
    <w:rsid w:val="00682294"/>
    <w:rsid w:val="006832FA"/>
    <w:rsid w:val="00684B56"/>
    <w:rsid w:val="006865C7"/>
    <w:rsid w:val="0069752A"/>
    <w:rsid w:val="00697F98"/>
    <w:rsid w:val="006A1077"/>
    <w:rsid w:val="006A11DB"/>
    <w:rsid w:val="006A174B"/>
    <w:rsid w:val="006A1C24"/>
    <w:rsid w:val="006A4D5F"/>
    <w:rsid w:val="006A76BA"/>
    <w:rsid w:val="006B0684"/>
    <w:rsid w:val="006B1B8F"/>
    <w:rsid w:val="006B1D5F"/>
    <w:rsid w:val="006B353E"/>
    <w:rsid w:val="006B4DDD"/>
    <w:rsid w:val="006B7862"/>
    <w:rsid w:val="006B7F9C"/>
    <w:rsid w:val="006C14E0"/>
    <w:rsid w:val="006C2758"/>
    <w:rsid w:val="006C4FB8"/>
    <w:rsid w:val="006D1FF2"/>
    <w:rsid w:val="006D23D9"/>
    <w:rsid w:val="006D2B7A"/>
    <w:rsid w:val="006D384B"/>
    <w:rsid w:val="006D3E2C"/>
    <w:rsid w:val="006D460F"/>
    <w:rsid w:val="006D56D0"/>
    <w:rsid w:val="006D5839"/>
    <w:rsid w:val="006D7658"/>
    <w:rsid w:val="006D7B33"/>
    <w:rsid w:val="006E19F3"/>
    <w:rsid w:val="006E30F9"/>
    <w:rsid w:val="006E45FC"/>
    <w:rsid w:val="006E726C"/>
    <w:rsid w:val="006E785E"/>
    <w:rsid w:val="006F0778"/>
    <w:rsid w:val="006F10E5"/>
    <w:rsid w:val="006F2202"/>
    <w:rsid w:val="006F4B97"/>
    <w:rsid w:val="006F520E"/>
    <w:rsid w:val="006F7361"/>
    <w:rsid w:val="00701D0C"/>
    <w:rsid w:val="007045F3"/>
    <w:rsid w:val="00704DCA"/>
    <w:rsid w:val="007051A2"/>
    <w:rsid w:val="00712BAF"/>
    <w:rsid w:val="00716F79"/>
    <w:rsid w:val="00721889"/>
    <w:rsid w:val="0072352A"/>
    <w:rsid w:val="00723C01"/>
    <w:rsid w:val="00724004"/>
    <w:rsid w:val="0072669A"/>
    <w:rsid w:val="00727B54"/>
    <w:rsid w:val="00731F1D"/>
    <w:rsid w:val="00736B3E"/>
    <w:rsid w:val="00737003"/>
    <w:rsid w:val="007436E4"/>
    <w:rsid w:val="00743AA3"/>
    <w:rsid w:val="00744D9D"/>
    <w:rsid w:val="007476C6"/>
    <w:rsid w:val="007505A0"/>
    <w:rsid w:val="007517F4"/>
    <w:rsid w:val="00754E5B"/>
    <w:rsid w:val="0075609B"/>
    <w:rsid w:val="00756B01"/>
    <w:rsid w:val="00756BC3"/>
    <w:rsid w:val="00757971"/>
    <w:rsid w:val="0076133F"/>
    <w:rsid w:val="00761450"/>
    <w:rsid w:val="00761C70"/>
    <w:rsid w:val="0076444C"/>
    <w:rsid w:val="00765E7A"/>
    <w:rsid w:val="00773C34"/>
    <w:rsid w:val="00773FD1"/>
    <w:rsid w:val="00774A0B"/>
    <w:rsid w:val="00774BF8"/>
    <w:rsid w:val="00775329"/>
    <w:rsid w:val="007763A5"/>
    <w:rsid w:val="00776CDD"/>
    <w:rsid w:val="0077701F"/>
    <w:rsid w:val="00781288"/>
    <w:rsid w:val="00783903"/>
    <w:rsid w:val="007859F6"/>
    <w:rsid w:val="00786334"/>
    <w:rsid w:val="00786567"/>
    <w:rsid w:val="00787CEE"/>
    <w:rsid w:val="00790B7C"/>
    <w:rsid w:val="00790EBE"/>
    <w:rsid w:val="0079155D"/>
    <w:rsid w:val="00791EAF"/>
    <w:rsid w:val="0079396D"/>
    <w:rsid w:val="00795E7D"/>
    <w:rsid w:val="00796351"/>
    <w:rsid w:val="007972C3"/>
    <w:rsid w:val="007A056C"/>
    <w:rsid w:val="007A1607"/>
    <w:rsid w:val="007A22D3"/>
    <w:rsid w:val="007A43C7"/>
    <w:rsid w:val="007A6216"/>
    <w:rsid w:val="007A6E35"/>
    <w:rsid w:val="007A7908"/>
    <w:rsid w:val="007B0948"/>
    <w:rsid w:val="007B15BB"/>
    <w:rsid w:val="007B30AD"/>
    <w:rsid w:val="007B56DD"/>
    <w:rsid w:val="007B5854"/>
    <w:rsid w:val="007B7FAA"/>
    <w:rsid w:val="007C07D2"/>
    <w:rsid w:val="007C15EE"/>
    <w:rsid w:val="007C2504"/>
    <w:rsid w:val="007C3327"/>
    <w:rsid w:val="007C3C55"/>
    <w:rsid w:val="007C3CAC"/>
    <w:rsid w:val="007C6272"/>
    <w:rsid w:val="007C72C1"/>
    <w:rsid w:val="007C77EE"/>
    <w:rsid w:val="007C7DAF"/>
    <w:rsid w:val="007D05DD"/>
    <w:rsid w:val="007D061C"/>
    <w:rsid w:val="007D0825"/>
    <w:rsid w:val="007D1B56"/>
    <w:rsid w:val="007D2749"/>
    <w:rsid w:val="007D324D"/>
    <w:rsid w:val="007D4A42"/>
    <w:rsid w:val="007D54DD"/>
    <w:rsid w:val="007D5DF1"/>
    <w:rsid w:val="007D6145"/>
    <w:rsid w:val="007D62DA"/>
    <w:rsid w:val="007D6D67"/>
    <w:rsid w:val="007D7D34"/>
    <w:rsid w:val="007E282B"/>
    <w:rsid w:val="007E2974"/>
    <w:rsid w:val="007E6716"/>
    <w:rsid w:val="007E7C2F"/>
    <w:rsid w:val="007F115C"/>
    <w:rsid w:val="007F135F"/>
    <w:rsid w:val="007F3BC1"/>
    <w:rsid w:val="007F4DB9"/>
    <w:rsid w:val="007F5162"/>
    <w:rsid w:val="007F6623"/>
    <w:rsid w:val="007F70D0"/>
    <w:rsid w:val="00800EFA"/>
    <w:rsid w:val="008032B9"/>
    <w:rsid w:val="00804D62"/>
    <w:rsid w:val="008073EB"/>
    <w:rsid w:val="00807CE8"/>
    <w:rsid w:val="00811D35"/>
    <w:rsid w:val="008123D7"/>
    <w:rsid w:val="00814842"/>
    <w:rsid w:val="00815888"/>
    <w:rsid w:val="00816EA2"/>
    <w:rsid w:val="0081712F"/>
    <w:rsid w:val="008171CB"/>
    <w:rsid w:val="00817CA2"/>
    <w:rsid w:val="00820318"/>
    <w:rsid w:val="00822D18"/>
    <w:rsid w:val="00823151"/>
    <w:rsid w:val="008236CD"/>
    <w:rsid w:val="008238ED"/>
    <w:rsid w:val="0082682B"/>
    <w:rsid w:val="008317F7"/>
    <w:rsid w:val="008322F5"/>
    <w:rsid w:val="00832BB0"/>
    <w:rsid w:val="00834CB6"/>
    <w:rsid w:val="008352EC"/>
    <w:rsid w:val="008361A7"/>
    <w:rsid w:val="008367FE"/>
    <w:rsid w:val="00840FCF"/>
    <w:rsid w:val="008420E5"/>
    <w:rsid w:val="008444C0"/>
    <w:rsid w:val="00845190"/>
    <w:rsid w:val="0084552D"/>
    <w:rsid w:val="00846FD5"/>
    <w:rsid w:val="008478B1"/>
    <w:rsid w:val="00852285"/>
    <w:rsid w:val="00852A10"/>
    <w:rsid w:val="008542DB"/>
    <w:rsid w:val="00854AB2"/>
    <w:rsid w:val="0085507D"/>
    <w:rsid w:val="00861595"/>
    <w:rsid w:val="008617E1"/>
    <w:rsid w:val="00861BC8"/>
    <w:rsid w:val="00861DC8"/>
    <w:rsid w:val="00862FBA"/>
    <w:rsid w:val="00865727"/>
    <w:rsid w:val="0086657A"/>
    <w:rsid w:val="00866774"/>
    <w:rsid w:val="00873751"/>
    <w:rsid w:val="008755B6"/>
    <w:rsid w:val="008778F7"/>
    <w:rsid w:val="008810DF"/>
    <w:rsid w:val="008832B9"/>
    <w:rsid w:val="00884880"/>
    <w:rsid w:val="0089157A"/>
    <w:rsid w:val="00892F86"/>
    <w:rsid w:val="00897087"/>
    <w:rsid w:val="008A0F84"/>
    <w:rsid w:val="008A0FD3"/>
    <w:rsid w:val="008A3206"/>
    <w:rsid w:val="008A3645"/>
    <w:rsid w:val="008A3C5D"/>
    <w:rsid w:val="008A3F39"/>
    <w:rsid w:val="008A5B9A"/>
    <w:rsid w:val="008A6FD7"/>
    <w:rsid w:val="008B42F6"/>
    <w:rsid w:val="008B4A8F"/>
    <w:rsid w:val="008C132F"/>
    <w:rsid w:val="008C2010"/>
    <w:rsid w:val="008C326E"/>
    <w:rsid w:val="008C63CA"/>
    <w:rsid w:val="008C6D61"/>
    <w:rsid w:val="008C7AFA"/>
    <w:rsid w:val="008D10FD"/>
    <w:rsid w:val="008D23D0"/>
    <w:rsid w:val="008D434B"/>
    <w:rsid w:val="008D671B"/>
    <w:rsid w:val="008D728B"/>
    <w:rsid w:val="008E0AE6"/>
    <w:rsid w:val="008E27E8"/>
    <w:rsid w:val="008E4D4C"/>
    <w:rsid w:val="008F0798"/>
    <w:rsid w:val="008F14CA"/>
    <w:rsid w:val="008F247D"/>
    <w:rsid w:val="008F2D51"/>
    <w:rsid w:val="008F38AF"/>
    <w:rsid w:val="00901CDC"/>
    <w:rsid w:val="0090220D"/>
    <w:rsid w:val="00904F1A"/>
    <w:rsid w:val="00912A5D"/>
    <w:rsid w:val="009134C2"/>
    <w:rsid w:val="00913E55"/>
    <w:rsid w:val="00916A56"/>
    <w:rsid w:val="00923A57"/>
    <w:rsid w:val="00923C92"/>
    <w:rsid w:val="00925193"/>
    <w:rsid w:val="00931881"/>
    <w:rsid w:val="00931910"/>
    <w:rsid w:val="00931E12"/>
    <w:rsid w:val="009320BD"/>
    <w:rsid w:val="00933AD7"/>
    <w:rsid w:val="0093721C"/>
    <w:rsid w:val="00937FA3"/>
    <w:rsid w:val="00940D69"/>
    <w:rsid w:val="00941AFF"/>
    <w:rsid w:val="009425C2"/>
    <w:rsid w:val="009457FC"/>
    <w:rsid w:val="00945C69"/>
    <w:rsid w:val="00945FE8"/>
    <w:rsid w:val="009534A7"/>
    <w:rsid w:val="009577EC"/>
    <w:rsid w:val="00961875"/>
    <w:rsid w:val="00961BE8"/>
    <w:rsid w:val="00966CEB"/>
    <w:rsid w:val="009673D2"/>
    <w:rsid w:val="00970609"/>
    <w:rsid w:val="009706AE"/>
    <w:rsid w:val="009707CA"/>
    <w:rsid w:val="00970849"/>
    <w:rsid w:val="00970D52"/>
    <w:rsid w:val="00970E79"/>
    <w:rsid w:val="00975013"/>
    <w:rsid w:val="009768BF"/>
    <w:rsid w:val="0097771B"/>
    <w:rsid w:val="009821EE"/>
    <w:rsid w:val="00982416"/>
    <w:rsid w:val="00987B46"/>
    <w:rsid w:val="009934B5"/>
    <w:rsid w:val="009935AA"/>
    <w:rsid w:val="00995229"/>
    <w:rsid w:val="009A00DA"/>
    <w:rsid w:val="009A1CF4"/>
    <w:rsid w:val="009A294D"/>
    <w:rsid w:val="009A3297"/>
    <w:rsid w:val="009A3D59"/>
    <w:rsid w:val="009A5B73"/>
    <w:rsid w:val="009A5FE1"/>
    <w:rsid w:val="009A6041"/>
    <w:rsid w:val="009A68B6"/>
    <w:rsid w:val="009B1F6E"/>
    <w:rsid w:val="009B2564"/>
    <w:rsid w:val="009B43E4"/>
    <w:rsid w:val="009C0EEA"/>
    <w:rsid w:val="009C53DC"/>
    <w:rsid w:val="009C5905"/>
    <w:rsid w:val="009C7713"/>
    <w:rsid w:val="009D02C0"/>
    <w:rsid w:val="009D229D"/>
    <w:rsid w:val="009D29A8"/>
    <w:rsid w:val="009D32BA"/>
    <w:rsid w:val="009E2643"/>
    <w:rsid w:val="009E383E"/>
    <w:rsid w:val="009E4332"/>
    <w:rsid w:val="009E59A6"/>
    <w:rsid w:val="009E5C9F"/>
    <w:rsid w:val="009E791F"/>
    <w:rsid w:val="009F161A"/>
    <w:rsid w:val="009F2B12"/>
    <w:rsid w:val="009F5C42"/>
    <w:rsid w:val="009F5F69"/>
    <w:rsid w:val="009F60C1"/>
    <w:rsid w:val="009F61DB"/>
    <w:rsid w:val="009F638A"/>
    <w:rsid w:val="00A0026B"/>
    <w:rsid w:val="00A00E65"/>
    <w:rsid w:val="00A05048"/>
    <w:rsid w:val="00A125A6"/>
    <w:rsid w:val="00A15CC5"/>
    <w:rsid w:val="00A15EAA"/>
    <w:rsid w:val="00A16518"/>
    <w:rsid w:val="00A16EE0"/>
    <w:rsid w:val="00A2130A"/>
    <w:rsid w:val="00A2178D"/>
    <w:rsid w:val="00A25613"/>
    <w:rsid w:val="00A2652B"/>
    <w:rsid w:val="00A3147C"/>
    <w:rsid w:val="00A329E7"/>
    <w:rsid w:val="00A331BE"/>
    <w:rsid w:val="00A33AA5"/>
    <w:rsid w:val="00A346AC"/>
    <w:rsid w:val="00A34709"/>
    <w:rsid w:val="00A3493F"/>
    <w:rsid w:val="00A35455"/>
    <w:rsid w:val="00A3670F"/>
    <w:rsid w:val="00A368C2"/>
    <w:rsid w:val="00A43A65"/>
    <w:rsid w:val="00A45D78"/>
    <w:rsid w:val="00A510FB"/>
    <w:rsid w:val="00A529D3"/>
    <w:rsid w:val="00A52E5B"/>
    <w:rsid w:val="00A53289"/>
    <w:rsid w:val="00A55AAB"/>
    <w:rsid w:val="00A575D3"/>
    <w:rsid w:val="00A57B16"/>
    <w:rsid w:val="00A60C0C"/>
    <w:rsid w:val="00A611DC"/>
    <w:rsid w:val="00A619DD"/>
    <w:rsid w:val="00A627D5"/>
    <w:rsid w:val="00A64BF0"/>
    <w:rsid w:val="00A67841"/>
    <w:rsid w:val="00A71A14"/>
    <w:rsid w:val="00A7246C"/>
    <w:rsid w:val="00A7300D"/>
    <w:rsid w:val="00A740AB"/>
    <w:rsid w:val="00A74A4B"/>
    <w:rsid w:val="00A76F87"/>
    <w:rsid w:val="00A77720"/>
    <w:rsid w:val="00A77F3B"/>
    <w:rsid w:val="00A81E46"/>
    <w:rsid w:val="00A82BC0"/>
    <w:rsid w:val="00A8612B"/>
    <w:rsid w:val="00A873AE"/>
    <w:rsid w:val="00A875AD"/>
    <w:rsid w:val="00A93A19"/>
    <w:rsid w:val="00A9439E"/>
    <w:rsid w:val="00A966B3"/>
    <w:rsid w:val="00A968A6"/>
    <w:rsid w:val="00A972FF"/>
    <w:rsid w:val="00A9785D"/>
    <w:rsid w:val="00AA0603"/>
    <w:rsid w:val="00AA4520"/>
    <w:rsid w:val="00AA460D"/>
    <w:rsid w:val="00AA682A"/>
    <w:rsid w:val="00AA68A2"/>
    <w:rsid w:val="00AB135E"/>
    <w:rsid w:val="00AB26B9"/>
    <w:rsid w:val="00AB2987"/>
    <w:rsid w:val="00AB700A"/>
    <w:rsid w:val="00AB71CE"/>
    <w:rsid w:val="00AC0FD5"/>
    <w:rsid w:val="00AC27A6"/>
    <w:rsid w:val="00AC442C"/>
    <w:rsid w:val="00AC4C4E"/>
    <w:rsid w:val="00AC4C86"/>
    <w:rsid w:val="00AC5087"/>
    <w:rsid w:val="00AC6AC7"/>
    <w:rsid w:val="00AC790E"/>
    <w:rsid w:val="00AD196E"/>
    <w:rsid w:val="00AD396C"/>
    <w:rsid w:val="00AD3C39"/>
    <w:rsid w:val="00AD6185"/>
    <w:rsid w:val="00AE03FE"/>
    <w:rsid w:val="00AE0BF9"/>
    <w:rsid w:val="00AE253D"/>
    <w:rsid w:val="00AE3177"/>
    <w:rsid w:val="00AE3698"/>
    <w:rsid w:val="00AE7E3F"/>
    <w:rsid w:val="00AF060A"/>
    <w:rsid w:val="00AF0C90"/>
    <w:rsid w:val="00AF21F1"/>
    <w:rsid w:val="00AF3137"/>
    <w:rsid w:val="00AF4DA9"/>
    <w:rsid w:val="00AF544D"/>
    <w:rsid w:val="00AF5E1A"/>
    <w:rsid w:val="00B01785"/>
    <w:rsid w:val="00B056C2"/>
    <w:rsid w:val="00B0626F"/>
    <w:rsid w:val="00B074B6"/>
    <w:rsid w:val="00B078CE"/>
    <w:rsid w:val="00B124BE"/>
    <w:rsid w:val="00B12725"/>
    <w:rsid w:val="00B13F8A"/>
    <w:rsid w:val="00B16A14"/>
    <w:rsid w:val="00B17070"/>
    <w:rsid w:val="00B22696"/>
    <w:rsid w:val="00B23F63"/>
    <w:rsid w:val="00B26AE7"/>
    <w:rsid w:val="00B27753"/>
    <w:rsid w:val="00B31762"/>
    <w:rsid w:val="00B32547"/>
    <w:rsid w:val="00B34196"/>
    <w:rsid w:val="00B34227"/>
    <w:rsid w:val="00B343AA"/>
    <w:rsid w:val="00B35504"/>
    <w:rsid w:val="00B35B98"/>
    <w:rsid w:val="00B35EFA"/>
    <w:rsid w:val="00B36D56"/>
    <w:rsid w:val="00B3746F"/>
    <w:rsid w:val="00B410CD"/>
    <w:rsid w:val="00B41375"/>
    <w:rsid w:val="00B4177C"/>
    <w:rsid w:val="00B41790"/>
    <w:rsid w:val="00B41940"/>
    <w:rsid w:val="00B41AA3"/>
    <w:rsid w:val="00B42C71"/>
    <w:rsid w:val="00B43543"/>
    <w:rsid w:val="00B44DD3"/>
    <w:rsid w:val="00B47947"/>
    <w:rsid w:val="00B5116D"/>
    <w:rsid w:val="00B52679"/>
    <w:rsid w:val="00B52706"/>
    <w:rsid w:val="00B57476"/>
    <w:rsid w:val="00B611CC"/>
    <w:rsid w:val="00B62E5F"/>
    <w:rsid w:val="00B638A0"/>
    <w:rsid w:val="00B63BEE"/>
    <w:rsid w:val="00B64181"/>
    <w:rsid w:val="00B67E01"/>
    <w:rsid w:val="00B7279C"/>
    <w:rsid w:val="00B72FD5"/>
    <w:rsid w:val="00B7337A"/>
    <w:rsid w:val="00B7443C"/>
    <w:rsid w:val="00B74458"/>
    <w:rsid w:val="00B75117"/>
    <w:rsid w:val="00B75202"/>
    <w:rsid w:val="00B7562C"/>
    <w:rsid w:val="00B777E1"/>
    <w:rsid w:val="00B77CA3"/>
    <w:rsid w:val="00B77D32"/>
    <w:rsid w:val="00B82B73"/>
    <w:rsid w:val="00B82D62"/>
    <w:rsid w:val="00B851D3"/>
    <w:rsid w:val="00B852DB"/>
    <w:rsid w:val="00B85FB0"/>
    <w:rsid w:val="00B86724"/>
    <w:rsid w:val="00B86F1D"/>
    <w:rsid w:val="00B877BE"/>
    <w:rsid w:val="00B967DA"/>
    <w:rsid w:val="00B97172"/>
    <w:rsid w:val="00B971D6"/>
    <w:rsid w:val="00B975AC"/>
    <w:rsid w:val="00B97EF0"/>
    <w:rsid w:val="00BA1E43"/>
    <w:rsid w:val="00BA398F"/>
    <w:rsid w:val="00BA737F"/>
    <w:rsid w:val="00BB0602"/>
    <w:rsid w:val="00BB24F5"/>
    <w:rsid w:val="00BB5464"/>
    <w:rsid w:val="00BB58DB"/>
    <w:rsid w:val="00BC138E"/>
    <w:rsid w:val="00BC3CFC"/>
    <w:rsid w:val="00BD27A3"/>
    <w:rsid w:val="00BD3AF7"/>
    <w:rsid w:val="00BD551A"/>
    <w:rsid w:val="00BE2219"/>
    <w:rsid w:val="00BE23A1"/>
    <w:rsid w:val="00BE36F5"/>
    <w:rsid w:val="00BE393D"/>
    <w:rsid w:val="00BE3BB7"/>
    <w:rsid w:val="00BE437D"/>
    <w:rsid w:val="00BE5414"/>
    <w:rsid w:val="00BF145F"/>
    <w:rsid w:val="00BF16BD"/>
    <w:rsid w:val="00BF2569"/>
    <w:rsid w:val="00BF2C6B"/>
    <w:rsid w:val="00BF6D33"/>
    <w:rsid w:val="00BF6F5A"/>
    <w:rsid w:val="00BF7470"/>
    <w:rsid w:val="00C0091C"/>
    <w:rsid w:val="00C01569"/>
    <w:rsid w:val="00C025E4"/>
    <w:rsid w:val="00C02CE2"/>
    <w:rsid w:val="00C02EED"/>
    <w:rsid w:val="00C11C5B"/>
    <w:rsid w:val="00C12AE3"/>
    <w:rsid w:val="00C17A03"/>
    <w:rsid w:val="00C2156A"/>
    <w:rsid w:val="00C21E86"/>
    <w:rsid w:val="00C22B0C"/>
    <w:rsid w:val="00C23CCC"/>
    <w:rsid w:val="00C24F90"/>
    <w:rsid w:val="00C26100"/>
    <w:rsid w:val="00C27A04"/>
    <w:rsid w:val="00C27BDE"/>
    <w:rsid w:val="00C27D11"/>
    <w:rsid w:val="00C3090A"/>
    <w:rsid w:val="00C30F75"/>
    <w:rsid w:val="00C33F33"/>
    <w:rsid w:val="00C34BB0"/>
    <w:rsid w:val="00C34F98"/>
    <w:rsid w:val="00C359BD"/>
    <w:rsid w:val="00C40418"/>
    <w:rsid w:val="00C43CAC"/>
    <w:rsid w:val="00C44DFF"/>
    <w:rsid w:val="00C45B53"/>
    <w:rsid w:val="00C4610A"/>
    <w:rsid w:val="00C466F3"/>
    <w:rsid w:val="00C52B6B"/>
    <w:rsid w:val="00C54CAD"/>
    <w:rsid w:val="00C55D56"/>
    <w:rsid w:val="00C56F1B"/>
    <w:rsid w:val="00C576C7"/>
    <w:rsid w:val="00C6021E"/>
    <w:rsid w:val="00C61A01"/>
    <w:rsid w:val="00C61AC8"/>
    <w:rsid w:val="00C6392C"/>
    <w:rsid w:val="00C63F41"/>
    <w:rsid w:val="00C67279"/>
    <w:rsid w:val="00C7239A"/>
    <w:rsid w:val="00C750C8"/>
    <w:rsid w:val="00C80094"/>
    <w:rsid w:val="00C8174C"/>
    <w:rsid w:val="00C82119"/>
    <w:rsid w:val="00C82420"/>
    <w:rsid w:val="00C847D8"/>
    <w:rsid w:val="00C87874"/>
    <w:rsid w:val="00C90114"/>
    <w:rsid w:val="00C9152F"/>
    <w:rsid w:val="00C92473"/>
    <w:rsid w:val="00C9647D"/>
    <w:rsid w:val="00CA22F7"/>
    <w:rsid w:val="00CA5048"/>
    <w:rsid w:val="00CA715C"/>
    <w:rsid w:val="00CB241C"/>
    <w:rsid w:val="00CB33A4"/>
    <w:rsid w:val="00CB3DFA"/>
    <w:rsid w:val="00CB4872"/>
    <w:rsid w:val="00CB4A76"/>
    <w:rsid w:val="00CB7AA2"/>
    <w:rsid w:val="00CC29DC"/>
    <w:rsid w:val="00CC682A"/>
    <w:rsid w:val="00CC767A"/>
    <w:rsid w:val="00CD0F10"/>
    <w:rsid w:val="00CD15EB"/>
    <w:rsid w:val="00CD1774"/>
    <w:rsid w:val="00CD25BE"/>
    <w:rsid w:val="00CD3539"/>
    <w:rsid w:val="00CD3600"/>
    <w:rsid w:val="00CD41B1"/>
    <w:rsid w:val="00CD6D99"/>
    <w:rsid w:val="00CD74E6"/>
    <w:rsid w:val="00CE1795"/>
    <w:rsid w:val="00CE37C6"/>
    <w:rsid w:val="00CE4AA9"/>
    <w:rsid w:val="00CE5808"/>
    <w:rsid w:val="00CF089C"/>
    <w:rsid w:val="00CF4148"/>
    <w:rsid w:val="00CF699F"/>
    <w:rsid w:val="00D0737D"/>
    <w:rsid w:val="00D07839"/>
    <w:rsid w:val="00D07B9A"/>
    <w:rsid w:val="00D07DCE"/>
    <w:rsid w:val="00D1084F"/>
    <w:rsid w:val="00D10BBE"/>
    <w:rsid w:val="00D1112C"/>
    <w:rsid w:val="00D1411A"/>
    <w:rsid w:val="00D14219"/>
    <w:rsid w:val="00D1741C"/>
    <w:rsid w:val="00D21B12"/>
    <w:rsid w:val="00D24646"/>
    <w:rsid w:val="00D24A5F"/>
    <w:rsid w:val="00D31E8F"/>
    <w:rsid w:val="00D31F9E"/>
    <w:rsid w:val="00D36A6D"/>
    <w:rsid w:val="00D3756D"/>
    <w:rsid w:val="00D376D9"/>
    <w:rsid w:val="00D37E4C"/>
    <w:rsid w:val="00D408CF"/>
    <w:rsid w:val="00D42741"/>
    <w:rsid w:val="00D427A0"/>
    <w:rsid w:val="00D4325B"/>
    <w:rsid w:val="00D43380"/>
    <w:rsid w:val="00D4380D"/>
    <w:rsid w:val="00D47D79"/>
    <w:rsid w:val="00D505A8"/>
    <w:rsid w:val="00D51425"/>
    <w:rsid w:val="00D53F78"/>
    <w:rsid w:val="00D55096"/>
    <w:rsid w:val="00D5691E"/>
    <w:rsid w:val="00D57616"/>
    <w:rsid w:val="00D61C3C"/>
    <w:rsid w:val="00D62FF9"/>
    <w:rsid w:val="00D6309C"/>
    <w:rsid w:val="00D643C9"/>
    <w:rsid w:val="00D64DFB"/>
    <w:rsid w:val="00D65B0F"/>
    <w:rsid w:val="00D678A3"/>
    <w:rsid w:val="00D70FBF"/>
    <w:rsid w:val="00D77BF0"/>
    <w:rsid w:val="00D80EB6"/>
    <w:rsid w:val="00D83020"/>
    <w:rsid w:val="00D83DE5"/>
    <w:rsid w:val="00D9017A"/>
    <w:rsid w:val="00D904BE"/>
    <w:rsid w:val="00D912A3"/>
    <w:rsid w:val="00D931A4"/>
    <w:rsid w:val="00D94B28"/>
    <w:rsid w:val="00D9510A"/>
    <w:rsid w:val="00D96BC6"/>
    <w:rsid w:val="00DA1F64"/>
    <w:rsid w:val="00DA5DFA"/>
    <w:rsid w:val="00DB008D"/>
    <w:rsid w:val="00DB0FF2"/>
    <w:rsid w:val="00DB19C6"/>
    <w:rsid w:val="00DB50F1"/>
    <w:rsid w:val="00DB6A56"/>
    <w:rsid w:val="00DC0AC2"/>
    <w:rsid w:val="00DC3474"/>
    <w:rsid w:val="00DC4D3D"/>
    <w:rsid w:val="00DC4FDD"/>
    <w:rsid w:val="00DC54A6"/>
    <w:rsid w:val="00DC6660"/>
    <w:rsid w:val="00DD08DE"/>
    <w:rsid w:val="00DD2479"/>
    <w:rsid w:val="00DD31A9"/>
    <w:rsid w:val="00DD4EED"/>
    <w:rsid w:val="00DD56C2"/>
    <w:rsid w:val="00DE0D56"/>
    <w:rsid w:val="00DE115A"/>
    <w:rsid w:val="00DE21FC"/>
    <w:rsid w:val="00DE56FC"/>
    <w:rsid w:val="00DF1E31"/>
    <w:rsid w:val="00DF207E"/>
    <w:rsid w:val="00DF4AA4"/>
    <w:rsid w:val="00DF608D"/>
    <w:rsid w:val="00DF6D9E"/>
    <w:rsid w:val="00E006A3"/>
    <w:rsid w:val="00E01C1A"/>
    <w:rsid w:val="00E03820"/>
    <w:rsid w:val="00E038E7"/>
    <w:rsid w:val="00E03A51"/>
    <w:rsid w:val="00E04788"/>
    <w:rsid w:val="00E04794"/>
    <w:rsid w:val="00E04BB2"/>
    <w:rsid w:val="00E06DB8"/>
    <w:rsid w:val="00E078C9"/>
    <w:rsid w:val="00E10688"/>
    <w:rsid w:val="00E11FBF"/>
    <w:rsid w:val="00E121FB"/>
    <w:rsid w:val="00E13F44"/>
    <w:rsid w:val="00E17533"/>
    <w:rsid w:val="00E243F2"/>
    <w:rsid w:val="00E253AA"/>
    <w:rsid w:val="00E2567D"/>
    <w:rsid w:val="00E27873"/>
    <w:rsid w:val="00E27FB3"/>
    <w:rsid w:val="00E31202"/>
    <w:rsid w:val="00E32F49"/>
    <w:rsid w:val="00E33E93"/>
    <w:rsid w:val="00E35343"/>
    <w:rsid w:val="00E357A7"/>
    <w:rsid w:val="00E3774D"/>
    <w:rsid w:val="00E37EC1"/>
    <w:rsid w:val="00E42156"/>
    <w:rsid w:val="00E614A1"/>
    <w:rsid w:val="00E6169D"/>
    <w:rsid w:val="00E62311"/>
    <w:rsid w:val="00E62A59"/>
    <w:rsid w:val="00E63668"/>
    <w:rsid w:val="00E654E9"/>
    <w:rsid w:val="00E65FB0"/>
    <w:rsid w:val="00E666CF"/>
    <w:rsid w:val="00E70647"/>
    <w:rsid w:val="00E70DC4"/>
    <w:rsid w:val="00E73704"/>
    <w:rsid w:val="00E73801"/>
    <w:rsid w:val="00E75AC2"/>
    <w:rsid w:val="00E804A3"/>
    <w:rsid w:val="00E811D7"/>
    <w:rsid w:val="00E82232"/>
    <w:rsid w:val="00E829BA"/>
    <w:rsid w:val="00E82DA8"/>
    <w:rsid w:val="00E839E6"/>
    <w:rsid w:val="00E87734"/>
    <w:rsid w:val="00E91375"/>
    <w:rsid w:val="00E91C26"/>
    <w:rsid w:val="00E93537"/>
    <w:rsid w:val="00E94548"/>
    <w:rsid w:val="00E94D1C"/>
    <w:rsid w:val="00E95B04"/>
    <w:rsid w:val="00E97BAE"/>
    <w:rsid w:val="00EA0E7F"/>
    <w:rsid w:val="00EA10A3"/>
    <w:rsid w:val="00EA1548"/>
    <w:rsid w:val="00EA3F7E"/>
    <w:rsid w:val="00EA542A"/>
    <w:rsid w:val="00EA55A4"/>
    <w:rsid w:val="00EA5B03"/>
    <w:rsid w:val="00EA6C3D"/>
    <w:rsid w:val="00EB2A1C"/>
    <w:rsid w:val="00EB3A51"/>
    <w:rsid w:val="00EB7E37"/>
    <w:rsid w:val="00EC2700"/>
    <w:rsid w:val="00EC5813"/>
    <w:rsid w:val="00ED0547"/>
    <w:rsid w:val="00ED123F"/>
    <w:rsid w:val="00EE0D38"/>
    <w:rsid w:val="00EE24A5"/>
    <w:rsid w:val="00EE2DF2"/>
    <w:rsid w:val="00EE3529"/>
    <w:rsid w:val="00EF0E07"/>
    <w:rsid w:val="00EF1D0A"/>
    <w:rsid w:val="00EF43D1"/>
    <w:rsid w:val="00EF5F71"/>
    <w:rsid w:val="00EF7A1B"/>
    <w:rsid w:val="00F00548"/>
    <w:rsid w:val="00F04CB6"/>
    <w:rsid w:val="00F05805"/>
    <w:rsid w:val="00F05A5E"/>
    <w:rsid w:val="00F05EB9"/>
    <w:rsid w:val="00F069B1"/>
    <w:rsid w:val="00F105E0"/>
    <w:rsid w:val="00F108DE"/>
    <w:rsid w:val="00F14408"/>
    <w:rsid w:val="00F17C06"/>
    <w:rsid w:val="00F21F54"/>
    <w:rsid w:val="00F22F14"/>
    <w:rsid w:val="00F23C0E"/>
    <w:rsid w:val="00F2758D"/>
    <w:rsid w:val="00F325FF"/>
    <w:rsid w:val="00F3272F"/>
    <w:rsid w:val="00F35944"/>
    <w:rsid w:val="00F3718E"/>
    <w:rsid w:val="00F404DF"/>
    <w:rsid w:val="00F43291"/>
    <w:rsid w:val="00F43D6A"/>
    <w:rsid w:val="00F4511D"/>
    <w:rsid w:val="00F46E0D"/>
    <w:rsid w:val="00F47E1C"/>
    <w:rsid w:val="00F5145A"/>
    <w:rsid w:val="00F52566"/>
    <w:rsid w:val="00F53482"/>
    <w:rsid w:val="00F5480C"/>
    <w:rsid w:val="00F553C8"/>
    <w:rsid w:val="00F55B36"/>
    <w:rsid w:val="00F605F6"/>
    <w:rsid w:val="00F6077F"/>
    <w:rsid w:val="00F60AFC"/>
    <w:rsid w:val="00F6167E"/>
    <w:rsid w:val="00F620F6"/>
    <w:rsid w:val="00F631BA"/>
    <w:rsid w:val="00F647C2"/>
    <w:rsid w:val="00F65EF4"/>
    <w:rsid w:val="00F71263"/>
    <w:rsid w:val="00F71494"/>
    <w:rsid w:val="00F7158E"/>
    <w:rsid w:val="00F7392E"/>
    <w:rsid w:val="00F73C2D"/>
    <w:rsid w:val="00F75802"/>
    <w:rsid w:val="00F761F5"/>
    <w:rsid w:val="00F8195F"/>
    <w:rsid w:val="00F81D2F"/>
    <w:rsid w:val="00F820AB"/>
    <w:rsid w:val="00F82497"/>
    <w:rsid w:val="00F8429E"/>
    <w:rsid w:val="00F85ECE"/>
    <w:rsid w:val="00F85F09"/>
    <w:rsid w:val="00F86008"/>
    <w:rsid w:val="00F90AC8"/>
    <w:rsid w:val="00F91010"/>
    <w:rsid w:val="00F9109E"/>
    <w:rsid w:val="00F95461"/>
    <w:rsid w:val="00F967D5"/>
    <w:rsid w:val="00FA7C9C"/>
    <w:rsid w:val="00FB120F"/>
    <w:rsid w:val="00FB27BC"/>
    <w:rsid w:val="00FB2CA8"/>
    <w:rsid w:val="00FC0DBC"/>
    <w:rsid w:val="00FC101C"/>
    <w:rsid w:val="00FC2171"/>
    <w:rsid w:val="00FC31C7"/>
    <w:rsid w:val="00FC68B6"/>
    <w:rsid w:val="00FD2357"/>
    <w:rsid w:val="00FD4D94"/>
    <w:rsid w:val="00FE0DBD"/>
    <w:rsid w:val="00FE1EAE"/>
    <w:rsid w:val="00FE21C9"/>
    <w:rsid w:val="00FE367E"/>
    <w:rsid w:val="00FE4298"/>
    <w:rsid w:val="00FE4AC3"/>
    <w:rsid w:val="00FE75BF"/>
    <w:rsid w:val="00FE7C27"/>
    <w:rsid w:val="00FF0332"/>
    <w:rsid w:val="00FF09D3"/>
    <w:rsid w:val="00FF1B2A"/>
    <w:rsid w:val="00FF4358"/>
    <w:rsid w:val="00FF4CE6"/>
    <w:rsid w:val="00FF5093"/>
    <w:rsid w:val="00FF59F3"/>
    <w:rsid w:val="00FF6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2049"/>
    <o:shapelayout v:ext="edit">
      <o:idmap v:ext="edit" data="1"/>
    </o:shapelayout>
  </w:shapeDefaults>
  <w:decimalSymbol w:val="."/>
  <w:listSeparator w:val=","/>
  <w14:docId w14:val="586FBEDB"/>
  <w15:chartTrackingRefBased/>
  <w15:docId w15:val="{401C8264-3CF1-410B-A203-66BC04F9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425"/>
    <w:rPr>
      <w:rFonts w:ascii="Arial" w:hAnsi="Arial"/>
      <w:color w:val="000000"/>
      <w:sz w:val="24"/>
      <w:lang w:val="fi-FI" w:eastAsia="en-US"/>
    </w:rPr>
  </w:style>
  <w:style w:type="paragraph" w:styleId="Heading1">
    <w:name w:val="heading 1"/>
    <w:basedOn w:val="Normal"/>
    <w:next w:val="Normal"/>
    <w:qFormat/>
    <w:rsid w:val="00D96BC6"/>
    <w:pPr>
      <w:keepNext/>
      <w:outlineLvl w:val="0"/>
    </w:pPr>
    <w:rPr>
      <w:rFonts w:ascii="Times New Roman" w:hAnsi="Times New Roman"/>
      <w:b/>
      <w:sz w:val="22"/>
    </w:rPr>
  </w:style>
  <w:style w:type="paragraph" w:styleId="Heading2">
    <w:name w:val="heading 2"/>
    <w:basedOn w:val="Normal"/>
    <w:next w:val="Normal"/>
    <w:qFormat/>
    <w:rsid w:val="00D96BC6"/>
    <w:pPr>
      <w:keepNext/>
      <w:tabs>
        <w:tab w:val="left" w:pos="567"/>
      </w:tabs>
      <w:spacing w:before="240" w:after="60" w:line="260" w:lineRule="exact"/>
      <w:outlineLvl w:val="1"/>
    </w:pPr>
    <w:rPr>
      <w:rFonts w:ascii="Helvetica" w:hAnsi="Helvetica"/>
      <w:b/>
      <w:i/>
      <w:color w:val="auto"/>
      <w:lang w:val="en-GB"/>
    </w:rPr>
  </w:style>
  <w:style w:type="paragraph" w:styleId="Heading3">
    <w:name w:val="heading 3"/>
    <w:basedOn w:val="Normal"/>
    <w:next w:val="Normal"/>
    <w:qFormat/>
    <w:rsid w:val="00D96BC6"/>
    <w:pPr>
      <w:keepNext/>
      <w:outlineLvl w:val="2"/>
    </w:pPr>
    <w:rPr>
      <w:vertAlign w:val="superscript"/>
    </w:rPr>
  </w:style>
  <w:style w:type="paragraph" w:styleId="Heading4">
    <w:name w:val="heading 4"/>
    <w:basedOn w:val="Normal"/>
    <w:next w:val="Normal"/>
    <w:qFormat/>
    <w:rsid w:val="00D96BC6"/>
    <w:pPr>
      <w:keepNext/>
      <w:tabs>
        <w:tab w:val="left" w:pos="567"/>
      </w:tabs>
      <w:spacing w:line="260" w:lineRule="exact"/>
      <w:jc w:val="both"/>
      <w:outlineLvl w:val="3"/>
    </w:pPr>
    <w:rPr>
      <w:rFonts w:ascii="Times New Roman" w:hAnsi="Times New Roman"/>
      <w:b/>
      <w:noProof/>
      <w:color w:val="auto"/>
      <w:sz w:val="22"/>
    </w:rPr>
  </w:style>
  <w:style w:type="paragraph" w:styleId="Heading5">
    <w:name w:val="heading 5"/>
    <w:basedOn w:val="Normal"/>
    <w:next w:val="Normal"/>
    <w:qFormat/>
    <w:rsid w:val="00D96BC6"/>
    <w:pPr>
      <w:keepNext/>
      <w:outlineLvl w:val="4"/>
    </w:pPr>
    <w:rPr>
      <w:rFonts w:ascii="Times New Roman" w:hAnsi="Times New Roman"/>
      <w:sz w:val="22"/>
      <w:vertAlign w:val="superscript"/>
    </w:rPr>
  </w:style>
  <w:style w:type="paragraph" w:styleId="Heading8">
    <w:name w:val="heading 8"/>
    <w:basedOn w:val="Normal"/>
    <w:next w:val="Normal"/>
    <w:qFormat/>
    <w:rsid w:val="00D96BC6"/>
    <w:pPr>
      <w:keepNext/>
      <w:tabs>
        <w:tab w:val="left" w:pos="-720"/>
      </w:tabs>
      <w:suppressAutoHyphens/>
      <w:jc w:val="center"/>
      <w:outlineLvl w:val="7"/>
    </w:pPr>
    <w:rPr>
      <w:rFonts w:ascii="Times New Roman" w:hAnsi="Times New Roman"/>
      <w:b/>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96BC6"/>
  </w:style>
  <w:style w:type="paragraph" w:styleId="Header">
    <w:name w:val="header"/>
    <w:basedOn w:val="Normal"/>
    <w:rsid w:val="00D96BC6"/>
    <w:pPr>
      <w:tabs>
        <w:tab w:val="left" w:pos="567"/>
        <w:tab w:val="center" w:pos="4153"/>
        <w:tab w:val="right" w:pos="8306"/>
      </w:tabs>
    </w:pPr>
    <w:rPr>
      <w:rFonts w:ascii="Helvetica" w:hAnsi="Helvetica"/>
      <w:color w:val="auto"/>
      <w:sz w:val="20"/>
      <w:lang w:val="en-GB"/>
    </w:rPr>
  </w:style>
  <w:style w:type="paragraph" w:styleId="EndnoteText">
    <w:name w:val="endnote text"/>
    <w:basedOn w:val="Normal"/>
    <w:semiHidden/>
    <w:rsid w:val="00D96BC6"/>
    <w:pPr>
      <w:tabs>
        <w:tab w:val="left" w:pos="567"/>
      </w:tabs>
    </w:pPr>
    <w:rPr>
      <w:rFonts w:ascii="Times New Roman" w:hAnsi="Times New Roman"/>
      <w:color w:val="auto"/>
      <w:sz w:val="22"/>
      <w:lang w:val="en-GB"/>
    </w:rPr>
  </w:style>
  <w:style w:type="paragraph" w:styleId="BodyTextIndent2">
    <w:name w:val="Body Text Indent 2"/>
    <w:basedOn w:val="Normal"/>
    <w:rsid w:val="00D96BC6"/>
    <w:pPr>
      <w:tabs>
        <w:tab w:val="left" w:pos="567"/>
      </w:tabs>
      <w:spacing w:line="260" w:lineRule="exact"/>
      <w:ind w:left="567" w:hanging="567"/>
      <w:jc w:val="both"/>
    </w:pPr>
    <w:rPr>
      <w:rFonts w:ascii="Times New Roman" w:hAnsi="Times New Roman"/>
      <w:b/>
      <w:color w:val="auto"/>
      <w:sz w:val="22"/>
      <w:lang w:val="en-GB"/>
    </w:rPr>
  </w:style>
  <w:style w:type="paragraph" w:customStyle="1" w:styleId="Table">
    <w:name w:val="Table"/>
    <w:basedOn w:val="Normal"/>
    <w:link w:val="TableChar"/>
    <w:rsid w:val="00D96BC6"/>
    <w:pPr>
      <w:keepNext/>
      <w:keepLines/>
      <w:tabs>
        <w:tab w:val="left" w:pos="284"/>
      </w:tabs>
      <w:spacing w:before="40" w:after="20"/>
    </w:pPr>
    <w:rPr>
      <w:color w:val="auto"/>
      <w:sz w:val="20"/>
      <w:lang w:val="en-US"/>
    </w:rPr>
  </w:style>
  <w:style w:type="paragraph" w:customStyle="1" w:styleId="Text">
    <w:name w:val="Text"/>
    <w:basedOn w:val="Normal"/>
    <w:link w:val="TextChar"/>
    <w:rsid w:val="00D96BC6"/>
    <w:pPr>
      <w:spacing w:before="120"/>
      <w:jc w:val="both"/>
    </w:pPr>
    <w:rPr>
      <w:rFonts w:ascii="Times New Roman" w:hAnsi="Times New Roman"/>
      <w:color w:val="auto"/>
      <w:lang w:val="en-US"/>
    </w:rPr>
  </w:style>
  <w:style w:type="paragraph" w:customStyle="1" w:styleId="BodyText21">
    <w:name w:val="Body Text 21"/>
    <w:basedOn w:val="Normal"/>
    <w:rsid w:val="00D96BC6"/>
    <w:pPr>
      <w:ind w:left="567" w:hanging="567"/>
    </w:pPr>
    <w:rPr>
      <w:rFonts w:ascii="Times New Roman" w:hAnsi="Times New Roman"/>
      <w:b/>
      <w:color w:val="808080"/>
      <w:sz w:val="22"/>
      <w:lang w:val="en-GB"/>
    </w:rPr>
  </w:style>
  <w:style w:type="paragraph" w:styleId="BodyText2">
    <w:name w:val="Body Text 2"/>
    <w:basedOn w:val="Normal"/>
    <w:rsid w:val="00D96BC6"/>
    <w:pPr>
      <w:ind w:left="567" w:hanging="567"/>
    </w:pPr>
    <w:rPr>
      <w:rFonts w:ascii="Times New Roman" w:hAnsi="Times New Roman"/>
      <w:b/>
      <w:color w:val="auto"/>
      <w:sz w:val="22"/>
      <w:lang w:val="en-GB"/>
    </w:rPr>
  </w:style>
  <w:style w:type="paragraph" w:styleId="Footer">
    <w:name w:val="footer"/>
    <w:basedOn w:val="Normal"/>
    <w:rsid w:val="00D96BC6"/>
    <w:pPr>
      <w:tabs>
        <w:tab w:val="left" w:pos="567"/>
        <w:tab w:val="center" w:pos="4536"/>
        <w:tab w:val="center" w:pos="8930"/>
      </w:tabs>
    </w:pPr>
    <w:rPr>
      <w:rFonts w:ascii="Helvetica" w:hAnsi="Helvetica"/>
      <w:color w:val="auto"/>
      <w:sz w:val="16"/>
      <w:lang w:val="en-GB"/>
    </w:rPr>
  </w:style>
  <w:style w:type="paragraph" w:styleId="BodyText">
    <w:name w:val="Body Text"/>
    <w:basedOn w:val="Normal"/>
    <w:rsid w:val="00D96BC6"/>
    <w:pPr>
      <w:ind w:right="-2"/>
    </w:pPr>
    <w:rPr>
      <w:rFonts w:ascii="Times New Roman" w:hAnsi="Times New Roman"/>
      <w:b/>
      <w:sz w:val="22"/>
    </w:rPr>
  </w:style>
  <w:style w:type="paragraph" w:styleId="BodyTextIndent">
    <w:name w:val="Body Text Indent"/>
    <w:basedOn w:val="Normal"/>
    <w:rsid w:val="00D96BC6"/>
    <w:pPr>
      <w:ind w:left="567" w:hanging="567"/>
    </w:pPr>
    <w:rPr>
      <w:rFonts w:ascii="Times New Roman" w:hAnsi="Times New Roman"/>
      <w:sz w:val="22"/>
    </w:rPr>
  </w:style>
  <w:style w:type="paragraph" w:styleId="BodyText3">
    <w:name w:val="Body Text 3"/>
    <w:basedOn w:val="Normal"/>
    <w:rsid w:val="00D96BC6"/>
    <w:pPr>
      <w:shd w:val="clear" w:color="auto" w:fill="FFFFFF"/>
      <w:suppressAutoHyphens/>
    </w:pPr>
    <w:rPr>
      <w:rFonts w:ascii="Times New Roman" w:hAnsi="Times New Roman"/>
      <w:b/>
      <w:sz w:val="22"/>
    </w:rPr>
  </w:style>
  <w:style w:type="paragraph" w:styleId="BalloonText">
    <w:name w:val="Balloon Text"/>
    <w:basedOn w:val="Normal"/>
    <w:semiHidden/>
    <w:rsid w:val="00D96BC6"/>
    <w:rPr>
      <w:rFonts w:ascii="Tahoma" w:hAnsi="Tahoma" w:cs="Tahoma"/>
      <w:sz w:val="16"/>
      <w:szCs w:val="16"/>
    </w:rPr>
  </w:style>
  <w:style w:type="character" w:styleId="CommentReference">
    <w:name w:val="annotation reference"/>
    <w:semiHidden/>
    <w:rsid w:val="00D96BC6"/>
    <w:rPr>
      <w:sz w:val="16"/>
      <w:szCs w:val="16"/>
    </w:rPr>
  </w:style>
  <w:style w:type="paragraph" w:styleId="CommentText">
    <w:name w:val="annotation text"/>
    <w:basedOn w:val="Normal"/>
    <w:link w:val="CommentTextChar"/>
    <w:rsid w:val="00D96BC6"/>
    <w:rPr>
      <w:sz w:val="20"/>
      <w:lang w:eastAsia="x-none"/>
    </w:rPr>
  </w:style>
  <w:style w:type="paragraph" w:styleId="CommentSubject">
    <w:name w:val="annotation subject"/>
    <w:basedOn w:val="CommentText"/>
    <w:next w:val="CommentText"/>
    <w:semiHidden/>
    <w:rsid w:val="00D96BC6"/>
    <w:rPr>
      <w:b/>
      <w:bCs/>
    </w:rPr>
  </w:style>
  <w:style w:type="character" w:customStyle="1" w:styleId="TextChar">
    <w:name w:val="Text Char"/>
    <w:link w:val="Text"/>
    <w:rsid w:val="00D96BC6"/>
    <w:rPr>
      <w:sz w:val="24"/>
      <w:lang w:val="en-US" w:eastAsia="en-US" w:bidi="ar-SA"/>
    </w:rPr>
  </w:style>
  <w:style w:type="table" w:styleId="TableGrid">
    <w:name w:val="Table Grid"/>
    <w:basedOn w:val="TableNormal"/>
    <w:rsid w:val="00D96BC6"/>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rsid w:val="00D96BC6"/>
    <w:rPr>
      <w:sz w:val="22"/>
      <w:szCs w:val="24"/>
      <w:lang w:val="en-GB" w:eastAsia="en-US" w:bidi="ar-SA"/>
    </w:rPr>
  </w:style>
  <w:style w:type="paragraph" w:customStyle="1" w:styleId="Nottoc-headings">
    <w:name w:val="Not toc-headings"/>
    <w:basedOn w:val="Normal"/>
    <w:next w:val="Text"/>
    <w:link w:val="Nottoc-headingsChar"/>
    <w:rsid w:val="002D5C4C"/>
    <w:pPr>
      <w:keepNext/>
      <w:keepLines/>
      <w:spacing w:before="240" w:after="60"/>
      <w:ind w:left="1701" w:hanging="1701"/>
    </w:pPr>
    <w:rPr>
      <w:b/>
      <w:lang w:val="en-US"/>
    </w:rPr>
  </w:style>
  <w:style w:type="character" w:customStyle="1" w:styleId="TableChar">
    <w:name w:val="Table Char"/>
    <w:link w:val="Table"/>
    <w:rsid w:val="002D5C4C"/>
    <w:rPr>
      <w:rFonts w:ascii="Arial" w:hAnsi="Arial"/>
      <w:lang w:val="en-US" w:eastAsia="en-US" w:bidi="ar-SA"/>
    </w:rPr>
  </w:style>
  <w:style w:type="character" w:customStyle="1" w:styleId="Nottoc-headingsChar">
    <w:name w:val="Not toc-headings Char"/>
    <w:link w:val="Nottoc-headings"/>
    <w:rsid w:val="002D5C4C"/>
    <w:rPr>
      <w:rFonts w:ascii="Arial" w:hAnsi="Arial"/>
      <w:b/>
      <w:color w:val="000000"/>
      <w:sz w:val="24"/>
      <w:lang w:val="en-US" w:eastAsia="en-US" w:bidi="ar-SA"/>
    </w:rPr>
  </w:style>
  <w:style w:type="paragraph" w:customStyle="1" w:styleId="Style">
    <w:name w:val="Style"/>
    <w:basedOn w:val="Normal"/>
    <w:rsid w:val="002D5C4C"/>
    <w:pPr>
      <w:spacing w:after="160" w:line="240" w:lineRule="exact"/>
    </w:pPr>
    <w:rPr>
      <w:rFonts w:ascii="Verdana" w:hAnsi="Verdana" w:cs="Verdana"/>
      <w:color w:val="auto"/>
      <w:sz w:val="20"/>
      <w:lang w:val="en-GB"/>
    </w:rPr>
  </w:style>
  <w:style w:type="character" w:styleId="Hyperlink">
    <w:name w:val="Hyperlink"/>
    <w:rsid w:val="00B056C2"/>
    <w:rPr>
      <w:color w:val="0000FF"/>
      <w:u w:val="single"/>
    </w:rPr>
  </w:style>
  <w:style w:type="paragraph" w:styleId="ListParagraph">
    <w:name w:val="List Paragraph"/>
    <w:basedOn w:val="Normal"/>
    <w:qFormat/>
    <w:rsid w:val="006A76BA"/>
    <w:pPr>
      <w:ind w:left="720"/>
    </w:pPr>
  </w:style>
  <w:style w:type="character" w:customStyle="1" w:styleId="tw4winInternal">
    <w:name w:val="tw4winInternal"/>
    <w:uiPriority w:val="99"/>
    <w:rsid w:val="008F2D51"/>
    <w:rPr>
      <w:rFonts w:ascii="Courier New" w:hAnsi="Courier New"/>
      <w:noProof/>
      <w:color w:val="FF0000"/>
    </w:rPr>
  </w:style>
  <w:style w:type="character" w:customStyle="1" w:styleId="CommentTextChar">
    <w:name w:val="Comment Text Char"/>
    <w:link w:val="CommentText"/>
    <w:rsid w:val="008F2D51"/>
    <w:rPr>
      <w:rFonts w:ascii="Arial" w:hAnsi="Arial"/>
      <w:color w:val="000000"/>
      <w:lang w:val="fi-FI"/>
    </w:rPr>
  </w:style>
  <w:style w:type="paragraph" w:styleId="Revision">
    <w:name w:val="Revision"/>
    <w:hidden/>
    <w:uiPriority w:val="99"/>
    <w:semiHidden/>
    <w:rsid w:val="00C576C7"/>
    <w:rPr>
      <w:rFonts w:ascii="Arial" w:hAnsi="Arial"/>
      <w:color w:val="000000"/>
      <w:sz w:val="24"/>
      <w:lang w:val="fi-FI" w:eastAsia="en-US"/>
    </w:rPr>
  </w:style>
  <w:style w:type="paragraph" w:customStyle="1" w:styleId="BodytextAgency">
    <w:name w:val="Body text (Agency)"/>
    <w:basedOn w:val="Normal"/>
    <w:link w:val="BodytextAgencyChar"/>
    <w:qFormat/>
    <w:rsid w:val="009A1CF4"/>
    <w:pPr>
      <w:spacing w:after="140" w:line="280" w:lineRule="atLeast"/>
    </w:pPr>
    <w:rPr>
      <w:rFonts w:ascii="Verdana" w:eastAsia="Verdana" w:hAnsi="Verdana" w:cs="Verdana"/>
      <w:color w:val="auto"/>
      <w:sz w:val="18"/>
      <w:szCs w:val="18"/>
      <w:lang w:eastAsia="en-GB"/>
    </w:rPr>
  </w:style>
  <w:style w:type="character" w:customStyle="1" w:styleId="BodytextAgencyChar">
    <w:name w:val="Body text (Agency) Char"/>
    <w:link w:val="BodytextAgency"/>
    <w:qFormat/>
    <w:locked/>
    <w:rsid w:val="009A1CF4"/>
    <w:rPr>
      <w:rFonts w:ascii="Verdana" w:eastAsia="Verdana" w:hAnsi="Verdana" w:cs="Verdan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140494">
      <w:bodyDiv w:val="1"/>
      <w:marLeft w:val="0"/>
      <w:marRight w:val="0"/>
      <w:marTop w:val="0"/>
      <w:marBottom w:val="0"/>
      <w:divBdr>
        <w:top w:val="none" w:sz="0" w:space="0" w:color="auto"/>
        <w:left w:val="none" w:sz="0" w:space="0" w:color="auto"/>
        <w:bottom w:val="none" w:sz="0" w:space="0" w:color="auto"/>
        <w:right w:val="none" w:sz="0" w:space="0" w:color="auto"/>
      </w:divBdr>
    </w:div>
    <w:div w:id="766968242">
      <w:bodyDiv w:val="1"/>
      <w:marLeft w:val="0"/>
      <w:marRight w:val="0"/>
      <w:marTop w:val="0"/>
      <w:marBottom w:val="0"/>
      <w:divBdr>
        <w:top w:val="none" w:sz="0" w:space="0" w:color="auto"/>
        <w:left w:val="none" w:sz="0" w:space="0" w:color="auto"/>
        <w:bottom w:val="none" w:sz="0" w:space="0" w:color="auto"/>
        <w:right w:val="none" w:sz="0" w:space="0" w:color="auto"/>
      </w:divBdr>
    </w:div>
    <w:div w:id="1012489783">
      <w:bodyDiv w:val="1"/>
      <w:marLeft w:val="0"/>
      <w:marRight w:val="0"/>
      <w:marTop w:val="0"/>
      <w:marBottom w:val="0"/>
      <w:divBdr>
        <w:top w:val="none" w:sz="0" w:space="0" w:color="auto"/>
        <w:left w:val="none" w:sz="0" w:space="0" w:color="auto"/>
        <w:bottom w:val="none" w:sz="0" w:space="0" w:color="auto"/>
        <w:right w:val="none" w:sz="0" w:space="0" w:color="auto"/>
      </w:divBdr>
    </w:div>
    <w:div w:id="1187711656">
      <w:bodyDiv w:val="1"/>
      <w:marLeft w:val="0"/>
      <w:marRight w:val="0"/>
      <w:marTop w:val="0"/>
      <w:marBottom w:val="0"/>
      <w:divBdr>
        <w:top w:val="none" w:sz="0" w:space="0" w:color="auto"/>
        <w:left w:val="none" w:sz="0" w:space="0" w:color="auto"/>
        <w:bottom w:val="none" w:sz="0" w:space="0" w:color="auto"/>
        <w:right w:val="none" w:sz="0" w:space="0" w:color="auto"/>
      </w:divBdr>
    </w:div>
    <w:div w:id="1444880375">
      <w:bodyDiv w:val="1"/>
      <w:marLeft w:val="0"/>
      <w:marRight w:val="0"/>
      <w:marTop w:val="0"/>
      <w:marBottom w:val="0"/>
      <w:divBdr>
        <w:top w:val="none" w:sz="0" w:space="0" w:color="auto"/>
        <w:left w:val="none" w:sz="0" w:space="0" w:color="auto"/>
        <w:bottom w:val="none" w:sz="0" w:space="0" w:color="auto"/>
        <w:right w:val="none" w:sz="0" w:space="0" w:color="auto"/>
      </w:divBdr>
    </w:div>
    <w:div w:id="158387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2F9DD-700A-46D6-8089-F5672CC2E62A}">
  <ds:schemaRefs>
    <ds:schemaRef ds:uri="http://schemas.microsoft.com/sharepoint/v3/contenttype/forms"/>
  </ds:schemaRefs>
</ds:datastoreItem>
</file>

<file path=customXml/itemProps2.xml><?xml version="1.0" encoding="utf-8"?>
<ds:datastoreItem xmlns:ds="http://schemas.openxmlformats.org/officeDocument/2006/customXml" ds:itemID="{0AEFF697-1ACA-482F-A0EC-9D550BADEFB7}">
  <ds:schemaRefs>
    <ds:schemaRef ds:uri="e84aa060-13d4-4ddd-8d65-c3aafff2663b"/>
    <ds:schemaRef ds:uri="http://purl.org/dc/elements/1.1/"/>
    <ds:schemaRef ds:uri="http://schemas.microsoft.com/office/2006/metadata/properties"/>
    <ds:schemaRef ds:uri="08c21c09-beba-4072-8000-1dca2633096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7C9F839-3743-46BA-9E8D-D2ADB47D0B8E}"/>
</file>

<file path=customXml/itemProps4.xml><?xml version="1.0" encoding="utf-8"?>
<ds:datastoreItem xmlns:ds="http://schemas.openxmlformats.org/officeDocument/2006/customXml" ds:itemID="{61C50B96-61EE-4AC7-88BB-F84B9F05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32760</Words>
  <Characters>256671</Characters>
  <Application>Microsoft Office Word</Application>
  <DocSecurity>0</DocSecurity>
  <Lines>2138</Lines>
  <Paragraphs>577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Glivec, INN-imatinib</vt:lpstr>
      <vt:lpstr>Glivec, INN-imatinib</vt:lpstr>
    </vt:vector>
  </TitlesOfParts>
  <Company/>
  <LinksUpToDate>false</LinksUpToDate>
  <CharactersWithSpaces>288854</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11</cp:revision>
  <cp:lastPrinted>2011-04-29T10:39:00Z</cp:lastPrinted>
  <dcterms:created xsi:type="dcterms:W3CDTF">2021-02-01T07:48:00Z</dcterms:created>
  <dcterms:modified xsi:type="dcterms:W3CDTF">2021-05-21T16:01:00Z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MSIP_Label_4929bff8-5b33-42aa-95d2-28f72e792cb0_Enabled">
    <vt:lpwstr>True</vt:lpwstr>
  </property>
  <property fmtid="{D5CDD505-2E9C-101B-9397-08002B2CF9AE}" pid="4" name="MSIP_Label_4929bff8-5b33-42aa-95d2-28f72e792cb0_SiteId">
    <vt:lpwstr>f35a6974-607f-47d4-82d7-ff31d7dc53a5</vt:lpwstr>
  </property>
  <property fmtid="{D5CDD505-2E9C-101B-9397-08002B2CF9AE}" pid="5" name="MSIP_Label_4929bff8-5b33-42aa-95d2-28f72e792cb0_SetDate">
    <vt:lpwstr>2020-02-27T10:50:23.7422842Z</vt:lpwstr>
  </property>
  <property fmtid="{D5CDD505-2E9C-101B-9397-08002B2CF9AE}" pid="6" name="MSIP_Label_4929bff8-5b33-42aa-95d2-28f72e792cb0_Name">
    <vt:lpwstr>Business Use Only</vt:lpwstr>
  </property>
  <property fmtid="{D5CDD505-2E9C-101B-9397-08002B2CF9AE}" pid="7" name="MSIP_Label_4929bff8-5b33-42aa-95d2-28f72e792cb0_ActionId">
    <vt:lpwstr>edd578cf-03ef-452f-ac59-a67cbecb985e</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2021-05-21T16:01:17Z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553d7412-8248-4970-b927-7b7bb0cbfeab</vt:lpwstr>
  </property>
  <property fmtid="{D5CDD505-2E9C-101B-9397-08002B2CF9AE}" pid="16" name="MSIP_Label_0eea11ca-d417-4147-80ed-01a58412c458_ContentBits">
    <vt:lpwstr>2</vt:lpwstr>
  </property>
</Properties>
</file>