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751F7" w14:textId="77777777" w:rsidR="007D642D" w:rsidRDefault="007D642D">
      <w:pPr>
        <w:rPr>
          <w:rFonts w:ascii="Times New Roman" w:hAnsi="Times New Roman"/>
          <w:color w:val="000000"/>
          <w:szCs w:val="22"/>
        </w:rPr>
      </w:pPr>
      <w:bookmarkStart w:id="0" w:name="_GoBack"/>
      <w:bookmarkEnd w:id="0"/>
    </w:p>
    <w:p w14:paraId="06E05A4F" w14:textId="77777777" w:rsidR="007D642D" w:rsidRDefault="007D642D">
      <w:pPr>
        <w:rPr>
          <w:rFonts w:ascii="Times New Roman" w:hAnsi="Times New Roman"/>
          <w:color w:val="000000"/>
          <w:szCs w:val="22"/>
        </w:rPr>
      </w:pPr>
    </w:p>
    <w:p w14:paraId="67F539A0" w14:textId="77777777" w:rsidR="007D642D" w:rsidRDefault="007D642D">
      <w:pPr>
        <w:rPr>
          <w:rFonts w:ascii="Times New Roman" w:hAnsi="Times New Roman"/>
          <w:color w:val="000000"/>
          <w:szCs w:val="22"/>
        </w:rPr>
      </w:pPr>
    </w:p>
    <w:p w14:paraId="45B0A06B" w14:textId="77777777" w:rsidR="007D642D" w:rsidRDefault="007D642D">
      <w:pPr>
        <w:rPr>
          <w:rFonts w:ascii="Times New Roman" w:hAnsi="Times New Roman"/>
          <w:color w:val="000000"/>
          <w:szCs w:val="22"/>
        </w:rPr>
      </w:pPr>
    </w:p>
    <w:p w14:paraId="2406F4ED" w14:textId="77777777" w:rsidR="007D642D" w:rsidRDefault="007D642D">
      <w:pPr>
        <w:rPr>
          <w:rFonts w:ascii="Times New Roman" w:hAnsi="Times New Roman"/>
          <w:color w:val="000000"/>
          <w:szCs w:val="22"/>
        </w:rPr>
      </w:pPr>
    </w:p>
    <w:p w14:paraId="39EEE996" w14:textId="77777777" w:rsidR="007D642D" w:rsidRDefault="007D642D">
      <w:pPr>
        <w:rPr>
          <w:rFonts w:ascii="Times New Roman" w:hAnsi="Times New Roman"/>
          <w:color w:val="000000"/>
          <w:szCs w:val="22"/>
        </w:rPr>
      </w:pPr>
    </w:p>
    <w:p w14:paraId="1D83EFE5" w14:textId="77777777" w:rsidR="007D642D" w:rsidRDefault="007D642D">
      <w:pPr>
        <w:rPr>
          <w:rFonts w:ascii="Times New Roman" w:hAnsi="Times New Roman"/>
          <w:color w:val="000000"/>
          <w:szCs w:val="22"/>
        </w:rPr>
      </w:pPr>
    </w:p>
    <w:p w14:paraId="6996D3D8" w14:textId="77777777" w:rsidR="007D642D" w:rsidRDefault="007D642D">
      <w:pPr>
        <w:rPr>
          <w:rFonts w:ascii="Times New Roman" w:hAnsi="Times New Roman"/>
          <w:color w:val="000000"/>
          <w:szCs w:val="22"/>
        </w:rPr>
      </w:pPr>
    </w:p>
    <w:p w14:paraId="5A49F363" w14:textId="77777777" w:rsidR="007D642D" w:rsidRDefault="007D642D">
      <w:pPr>
        <w:rPr>
          <w:rFonts w:ascii="Times New Roman" w:hAnsi="Times New Roman"/>
          <w:color w:val="000000"/>
          <w:szCs w:val="22"/>
        </w:rPr>
      </w:pPr>
    </w:p>
    <w:p w14:paraId="620B08B6" w14:textId="77777777" w:rsidR="007D642D" w:rsidRDefault="007D642D">
      <w:pPr>
        <w:rPr>
          <w:rFonts w:ascii="Times New Roman" w:hAnsi="Times New Roman"/>
          <w:color w:val="000000"/>
          <w:szCs w:val="22"/>
        </w:rPr>
      </w:pPr>
    </w:p>
    <w:p w14:paraId="5C5A0F99" w14:textId="77777777" w:rsidR="007D642D" w:rsidRDefault="007D642D">
      <w:pPr>
        <w:rPr>
          <w:rFonts w:ascii="Times New Roman" w:hAnsi="Times New Roman"/>
          <w:color w:val="000000"/>
          <w:szCs w:val="22"/>
        </w:rPr>
      </w:pPr>
    </w:p>
    <w:p w14:paraId="0615467D" w14:textId="77777777" w:rsidR="007D642D" w:rsidRDefault="007D642D">
      <w:pPr>
        <w:rPr>
          <w:rFonts w:ascii="Times New Roman" w:hAnsi="Times New Roman"/>
          <w:color w:val="000000"/>
          <w:szCs w:val="22"/>
        </w:rPr>
      </w:pPr>
    </w:p>
    <w:p w14:paraId="793DDE15" w14:textId="77777777" w:rsidR="007D642D" w:rsidRDefault="007D642D">
      <w:pPr>
        <w:rPr>
          <w:rFonts w:ascii="Times New Roman" w:hAnsi="Times New Roman"/>
          <w:color w:val="000000"/>
          <w:szCs w:val="22"/>
        </w:rPr>
      </w:pPr>
    </w:p>
    <w:p w14:paraId="557DC011" w14:textId="77777777" w:rsidR="007D642D" w:rsidRDefault="007D642D">
      <w:pPr>
        <w:rPr>
          <w:rFonts w:ascii="Times New Roman" w:hAnsi="Times New Roman"/>
          <w:color w:val="000000"/>
          <w:szCs w:val="22"/>
        </w:rPr>
      </w:pPr>
    </w:p>
    <w:p w14:paraId="543E3081" w14:textId="77777777" w:rsidR="007D642D" w:rsidRDefault="007D642D">
      <w:pPr>
        <w:rPr>
          <w:rFonts w:ascii="Times New Roman" w:hAnsi="Times New Roman"/>
          <w:color w:val="000000"/>
          <w:szCs w:val="22"/>
        </w:rPr>
      </w:pPr>
    </w:p>
    <w:p w14:paraId="70D7A704" w14:textId="77777777" w:rsidR="007D642D" w:rsidRDefault="007D642D">
      <w:pPr>
        <w:rPr>
          <w:rFonts w:ascii="Times New Roman" w:hAnsi="Times New Roman"/>
          <w:color w:val="000000"/>
          <w:szCs w:val="22"/>
        </w:rPr>
      </w:pPr>
    </w:p>
    <w:p w14:paraId="1C2F42B6" w14:textId="77777777" w:rsidR="007D642D" w:rsidRDefault="007D642D">
      <w:pPr>
        <w:rPr>
          <w:rFonts w:ascii="Times New Roman" w:hAnsi="Times New Roman"/>
          <w:color w:val="000000"/>
          <w:szCs w:val="22"/>
        </w:rPr>
      </w:pPr>
    </w:p>
    <w:p w14:paraId="5C1EF624" w14:textId="77777777" w:rsidR="007D642D" w:rsidRDefault="007D642D">
      <w:pPr>
        <w:rPr>
          <w:rFonts w:ascii="Times New Roman" w:hAnsi="Times New Roman"/>
          <w:color w:val="000000"/>
          <w:szCs w:val="22"/>
        </w:rPr>
      </w:pPr>
    </w:p>
    <w:p w14:paraId="2AD59B7F" w14:textId="77777777" w:rsidR="007D642D" w:rsidRDefault="007D642D">
      <w:pPr>
        <w:rPr>
          <w:rFonts w:ascii="Times New Roman" w:hAnsi="Times New Roman"/>
          <w:color w:val="000000"/>
          <w:szCs w:val="22"/>
        </w:rPr>
      </w:pPr>
    </w:p>
    <w:p w14:paraId="5FBB1780" w14:textId="77777777" w:rsidR="007D642D" w:rsidRDefault="007D642D">
      <w:pPr>
        <w:rPr>
          <w:rFonts w:ascii="Times New Roman" w:hAnsi="Times New Roman"/>
          <w:color w:val="000000"/>
          <w:szCs w:val="22"/>
        </w:rPr>
      </w:pPr>
    </w:p>
    <w:p w14:paraId="27816477" w14:textId="77777777" w:rsidR="007D642D" w:rsidRDefault="007D642D">
      <w:pPr>
        <w:rPr>
          <w:rFonts w:ascii="Times New Roman" w:hAnsi="Times New Roman"/>
          <w:color w:val="000000"/>
          <w:szCs w:val="22"/>
        </w:rPr>
      </w:pPr>
    </w:p>
    <w:p w14:paraId="29F7F057" w14:textId="77777777" w:rsidR="007D642D" w:rsidRDefault="007D642D">
      <w:pPr>
        <w:rPr>
          <w:rFonts w:ascii="Times New Roman" w:hAnsi="Times New Roman"/>
          <w:color w:val="000000"/>
          <w:szCs w:val="22"/>
        </w:rPr>
      </w:pPr>
    </w:p>
    <w:p w14:paraId="27CBFB8B" w14:textId="77777777" w:rsidR="007D642D" w:rsidRPr="00961E0F" w:rsidRDefault="007D642D" w:rsidP="00B15424">
      <w:pPr>
        <w:pStyle w:val="Heading3"/>
        <w:keepNext w:val="0"/>
        <w:widowControl w:val="0"/>
        <w:suppressAutoHyphens w:val="0"/>
        <w:rPr>
          <w:color w:val="000000"/>
          <w:szCs w:val="22"/>
        </w:rPr>
      </w:pPr>
      <w:r w:rsidRPr="00961E0F">
        <w:rPr>
          <w:color w:val="000000"/>
          <w:szCs w:val="22"/>
        </w:rPr>
        <w:t>ANNEXE I</w:t>
      </w:r>
    </w:p>
    <w:p w14:paraId="577DD757" w14:textId="77777777" w:rsidR="007D642D" w:rsidRPr="00961E0F" w:rsidRDefault="007D642D">
      <w:pPr>
        <w:widowControl w:val="0"/>
        <w:jc w:val="center"/>
        <w:rPr>
          <w:rFonts w:ascii="Times New Roman" w:hAnsi="Times New Roman"/>
          <w:color w:val="000000"/>
          <w:szCs w:val="22"/>
        </w:rPr>
      </w:pPr>
    </w:p>
    <w:p w14:paraId="11BB0843" w14:textId="77777777" w:rsidR="007D642D" w:rsidRPr="00961E0F" w:rsidRDefault="007D642D">
      <w:pPr>
        <w:widowControl w:val="0"/>
        <w:jc w:val="center"/>
        <w:rPr>
          <w:rFonts w:ascii="Times New Roman" w:hAnsi="Times New Roman"/>
          <w:b/>
          <w:color w:val="000000"/>
          <w:szCs w:val="22"/>
        </w:rPr>
      </w:pPr>
      <w:r w:rsidRPr="00961E0F">
        <w:rPr>
          <w:rFonts w:ascii="Times New Roman" w:hAnsi="Times New Roman"/>
          <w:b/>
          <w:color w:val="000000"/>
          <w:szCs w:val="22"/>
        </w:rPr>
        <w:t>R</w:t>
      </w:r>
      <w:r w:rsidR="00E8481F" w:rsidRPr="00961E0F">
        <w:rPr>
          <w:rFonts w:ascii="Times New Roman" w:hAnsi="Times New Roman"/>
          <w:b/>
          <w:color w:val="000000"/>
          <w:szCs w:val="22"/>
        </w:rPr>
        <w:t>É</w:t>
      </w:r>
      <w:r w:rsidRPr="00961E0F">
        <w:rPr>
          <w:rFonts w:ascii="Times New Roman" w:hAnsi="Times New Roman"/>
          <w:b/>
          <w:color w:val="000000"/>
          <w:szCs w:val="22"/>
        </w:rPr>
        <w:t>SUM</w:t>
      </w:r>
      <w:r w:rsidR="00E8481F" w:rsidRPr="00961E0F">
        <w:rPr>
          <w:rFonts w:ascii="Times New Roman" w:hAnsi="Times New Roman"/>
          <w:b/>
          <w:color w:val="000000"/>
          <w:szCs w:val="22"/>
        </w:rPr>
        <w:t>É</w:t>
      </w:r>
      <w:r w:rsidRPr="00961E0F">
        <w:rPr>
          <w:rFonts w:ascii="Times New Roman" w:hAnsi="Times New Roman"/>
          <w:b/>
          <w:color w:val="000000"/>
          <w:szCs w:val="22"/>
        </w:rPr>
        <w:t xml:space="preserv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CARACT</w:t>
      </w:r>
      <w:r w:rsidR="00E8481F" w:rsidRPr="00961E0F">
        <w:rPr>
          <w:rFonts w:ascii="Times New Roman" w:hAnsi="Times New Roman"/>
          <w:b/>
          <w:color w:val="000000"/>
          <w:szCs w:val="22"/>
        </w:rPr>
        <w:t>É</w:t>
      </w:r>
      <w:r w:rsidRPr="00961E0F">
        <w:rPr>
          <w:rFonts w:ascii="Times New Roman" w:hAnsi="Times New Roman"/>
          <w:b/>
          <w:color w:val="000000"/>
          <w:szCs w:val="22"/>
        </w:rPr>
        <w:t>RISTIQUES DU PRODUIT</w:t>
      </w:r>
    </w:p>
    <w:p w14:paraId="4F38BC25" w14:textId="77777777" w:rsidR="00764FBA" w:rsidRPr="00961E0F" w:rsidRDefault="007D642D" w:rsidP="00764FBA">
      <w:pPr>
        <w:rPr>
          <w:rFonts w:ascii="Times New Roman" w:hAnsi="Times New Roman"/>
          <w:snapToGrid w:val="0"/>
          <w:szCs w:val="22"/>
          <w:lang w:val="fr-BE"/>
        </w:rPr>
      </w:pPr>
      <w:r w:rsidRPr="00961E0F">
        <w:rPr>
          <w:rFonts w:ascii="Times New Roman" w:hAnsi="Times New Roman"/>
          <w:b/>
          <w:color w:val="000000"/>
          <w:szCs w:val="22"/>
        </w:rPr>
        <w:br w:type="page"/>
      </w:r>
      <w:r w:rsidR="00351949" w:rsidRPr="00961E0F">
        <w:rPr>
          <w:rFonts w:ascii="Times New Roman" w:hAnsi="Times New Roman"/>
          <w:noProof/>
          <w:snapToGrid w:val="0"/>
          <w:lang w:val="en-US"/>
        </w:rPr>
        <w:lastRenderedPageBreak/>
        <w:drawing>
          <wp:inline distT="0" distB="0" distL="0" distR="0" wp14:anchorId="6503C4B5" wp14:editId="5C9E4E43">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764FBA" w:rsidRPr="00961E0F">
        <w:rPr>
          <w:rFonts w:ascii="Times New Roman" w:hAnsi="Times New Roman"/>
          <w:snapToGrid w:val="0"/>
          <w:szCs w:val="22"/>
        </w:rPr>
        <w:t>Ce médicament fait l’objet d’une surveillance supplémentaire qui</w:t>
      </w:r>
      <w:r w:rsidR="00764FBA" w:rsidRPr="00961E0F">
        <w:rPr>
          <w:rFonts w:ascii="Times New Roman" w:hAnsi="Times New Roman"/>
          <w:snapToGrid w:val="0"/>
          <w:szCs w:val="22"/>
          <w:lang w:val="fr-BE"/>
        </w:rPr>
        <w:t xml:space="preserve"> </w:t>
      </w:r>
      <w:r w:rsidR="00764FBA" w:rsidRPr="00961E0F">
        <w:rPr>
          <w:rFonts w:ascii="Times New Roman" w:hAnsi="Times New Roman"/>
          <w:snapToGrid w:val="0"/>
          <w:szCs w:val="22"/>
        </w:rPr>
        <w:t>permettra l’identification rapide de nouvelles informations relatives à la sécurité.</w:t>
      </w:r>
      <w:r w:rsidR="00764FBA" w:rsidRPr="00961E0F">
        <w:rPr>
          <w:rFonts w:ascii="Times New Roman" w:hAnsi="Times New Roman"/>
          <w:snapToGrid w:val="0"/>
          <w:szCs w:val="22"/>
          <w:lang w:val="fr-BE"/>
        </w:rPr>
        <w:t xml:space="preserve"> </w:t>
      </w:r>
      <w:r w:rsidR="00764FBA" w:rsidRPr="00961E0F">
        <w:rPr>
          <w:rFonts w:ascii="Times New Roman" w:hAnsi="Times New Roman"/>
          <w:snapToGrid w:val="0"/>
          <w:szCs w:val="22"/>
        </w:rPr>
        <w:t>Les professionnels de la santé déclarent tout effet indésirable suspecté.</w:t>
      </w:r>
      <w:r w:rsidR="00764FBA" w:rsidRPr="00961E0F">
        <w:rPr>
          <w:rFonts w:ascii="Times New Roman" w:hAnsi="Times New Roman"/>
          <w:snapToGrid w:val="0"/>
          <w:szCs w:val="22"/>
          <w:lang w:val="fr-BE"/>
        </w:rPr>
        <w:t xml:space="preserve"> </w:t>
      </w:r>
      <w:r w:rsidR="00764FBA" w:rsidRPr="00961E0F">
        <w:rPr>
          <w:rFonts w:ascii="Times New Roman" w:hAnsi="Times New Roman"/>
          <w:snapToGrid w:val="0"/>
          <w:szCs w:val="22"/>
        </w:rPr>
        <w:t>Voir rubrique 4.8 pour les modalités de déclaration des effets indésirables.</w:t>
      </w:r>
    </w:p>
    <w:p w14:paraId="4E96AE0F" w14:textId="77777777" w:rsidR="00764FBA" w:rsidRPr="00961E0F" w:rsidRDefault="00764FBA" w:rsidP="00764FBA">
      <w:pPr>
        <w:tabs>
          <w:tab w:val="left" w:pos="567"/>
        </w:tabs>
        <w:spacing w:line="260" w:lineRule="exact"/>
        <w:rPr>
          <w:rFonts w:ascii="Times New Roman" w:hAnsi="Times New Roman"/>
          <w:snapToGrid w:val="0"/>
          <w:szCs w:val="22"/>
          <w:lang w:val="fr-BE"/>
        </w:rPr>
      </w:pPr>
    </w:p>
    <w:p w14:paraId="05A04E65" w14:textId="77777777" w:rsidR="00764FBA" w:rsidRPr="00961E0F" w:rsidRDefault="00764FBA" w:rsidP="00764FBA">
      <w:pPr>
        <w:tabs>
          <w:tab w:val="left" w:pos="567"/>
        </w:tabs>
        <w:spacing w:line="260" w:lineRule="exact"/>
        <w:rPr>
          <w:rFonts w:ascii="Times New Roman" w:hAnsi="Times New Roman"/>
          <w:snapToGrid w:val="0"/>
          <w:szCs w:val="22"/>
          <w:lang w:val="fr-BE"/>
        </w:rPr>
      </w:pPr>
    </w:p>
    <w:p w14:paraId="71EC1D1B" w14:textId="77777777" w:rsidR="007D642D" w:rsidRPr="00961E0F" w:rsidRDefault="007D642D">
      <w:pPr>
        <w:widowControl w:val="0"/>
        <w:ind w:left="567" w:hanging="567"/>
        <w:rPr>
          <w:rFonts w:ascii="Times New Roman" w:hAnsi="Times New Roman"/>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E8481F" w:rsidRPr="00961E0F">
        <w:rPr>
          <w:rFonts w:ascii="Times New Roman" w:hAnsi="Times New Roman"/>
          <w:b/>
          <w:color w:val="000000"/>
          <w:szCs w:val="22"/>
        </w:rPr>
        <w:t>É</w:t>
      </w:r>
      <w:r w:rsidRPr="00961E0F">
        <w:rPr>
          <w:rFonts w:ascii="Times New Roman" w:hAnsi="Times New Roman"/>
          <w:b/>
          <w:color w:val="000000"/>
          <w:szCs w:val="22"/>
        </w:rPr>
        <w:t>NOMINATION DU M</w:t>
      </w:r>
      <w:r w:rsidR="00564E06" w:rsidRPr="00961E0F">
        <w:rPr>
          <w:rFonts w:ascii="Times New Roman" w:hAnsi="Times New Roman"/>
          <w:b/>
          <w:color w:val="000000"/>
          <w:szCs w:val="22"/>
        </w:rPr>
        <w:t>É</w:t>
      </w:r>
      <w:r w:rsidRPr="00961E0F">
        <w:rPr>
          <w:rFonts w:ascii="Times New Roman" w:hAnsi="Times New Roman"/>
          <w:b/>
          <w:color w:val="000000"/>
          <w:szCs w:val="22"/>
        </w:rPr>
        <w:t>DICAMENT</w:t>
      </w:r>
    </w:p>
    <w:p w14:paraId="0A25794B" w14:textId="77777777" w:rsidR="007D642D" w:rsidRPr="00961E0F" w:rsidRDefault="007D642D">
      <w:pPr>
        <w:widowControl w:val="0"/>
        <w:ind w:left="567" w:hanging="567"/>
        <w:rPr>
          <w:rFonts w:ascii="Times New Roman" w:hAnsi="Times New Roman"/>
          <w:color w:val="000000"/>
          <w:szCs w:val="22"/>
        </w:rPr>
      </w:pPr>
    </w:p>
    <w:p w14:paraId="66D4978D" w14:textId="77777777" w:rsidR="00870C8C" w:rsidRPr="00961E0F" w:rsidRDefault="00870C8C">
      <w:pPr>
        <w:pStyle w:val="EndnoteText"/>
        <w:widowControl w:val="0"/>
        <w:tabs>
          <w:tab w:val="clear" w:pos="567"/>
        </w:tabs>
        <w:rPr>
          <w:color w:val="000000"/>
          <w:szCs w:val="22"/>
          <w:lang w:val="fr-FR"/>
        </w:rPr>
      </w:pPr>
      <w:r w:rsidRPr="00961E0F">
        <w:rPr>
          <w:color w:val="000000"/>
          <w:szCs w:val="22"/>
          <w:lang w:val="fr-FR"/>
        </w:rPr>
        <w:t>Glivec 100 mg gélules</w:t>
      </w:r>
    </w:p>
    <w:p w14:paraId="04C6FB88" w14:textId="77777777" w:rsidR="007D642D" w:rsidRPr="00961E0F" w:rsidRDefault="007D642D">
      <w:pPr>
        <w:pStyle w:val="EndnoteText"/>
        <w:widowControl w:val="0"/>
        <w:tabs>
          <w:tab w:val="clear" w:pos="567"/>
        </w:tabs>
        <w:rPr>
          <w:color w:val="000000"/>
          <w:szCs w:val="22"/>
          <w:lang w:val="fr-FR"/>
        </w:rPr>
      </w:pPr>
    </w:p>
    <w:p w14:paraId="60AC34D2" w14:textId="77777777" w:rsidR="007D642D" w:rsidRPr="00961E0F" w:rsidRDefault="007D642D">
      <w:pPr>
        <w:pStyle w:val="EndnoteText"/>
        <w:widowControl w:val="0"/>
        <w:tabs>
          <w:tab w:val="clear" w:pos="567"/>
        </w:tabs>
        <w:rPr>
          <w:color w:val="000000"/>
          <w:szCs w:val="22"/>
          <w:lang w:val="fr-FR"/>
        </w:rPr>
      </w:pPr>
    </w:p>
    <w:p w14:paraId="497340C5" w14:textId="77777777" w:rsidR="007D642D" w:rsidRPr="00961E0F" w:rsidRDefault="007D642D" w:rsidP="000E0F96">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COMPOSITION QUALITATIVE ET QUANTITATIVE</w:t>
      </w:r>
    </w:p>
    <w:p w14:paraId="65888F4B" w14:textId="77777777" w:rsidR="007D642D" w:rsidRPr="00961E0F" w:rsidRDefault="007D642D" w:rsidP="000E0F96">
      <w:pPr>
        <w:keepNext/>
        <w:widowControl w:val="0"/>
        <w:rPr>
          <w:rFonts w:ascii="Times New Roman" w:hAnsi="Times New Roman"/>
          <w:color w:val="000000"/>
          <w:szCs w:val="22"/>
        </w:rPr>
      </w:pPr>
    </w:p>
    <w:p w14:paraId="24B5B767" w14:textId="77777777" w:rsidR="00870C8C" w:rsidRPr="00961E0F" w:rsidRDefault="00870C8C">
      <w:pPr>
        <w:widowControl w:val="0"/>
        <w:rPr>
          <w:rFonts w:ascii="Times New Roman" w:hAnsi="Times New Roman"/>
          <w:color w:val="000000"/>
          <w:szCs w:val="22"/>
        </w:rPr>
      </w:pPr>
      <w:r w:rsidRPr="00961E0F">
        <w:rPr>
          <w:rFonts w:ascii="Times New Roman" w:hAnsi="Times New Roman"/>
          <w:color w:val="000000"/>
          <w:szCs w:val="22"/>
        </w:rPr>
        <w:t>Chaque gélule contient 100 mg d’imatinib (sous forme de mésilate).</w:t>
      </w:r>
    </w:p>
    <w:p w14:paraId="6A49B831" w14:textId="77777777" w:rsidR="00870C8C" w:rsidRPr="00961E0F" w:rsidRDefault="00870C8C">
      <w:pPr>
        <w:widowControl w:val="0"/>
        <w:rPr>
          <w:rFonts w:ascii="Times New Roman" w:hAnsi="Times New Roman"/>
          <w:color w:val="000000"/>
          <w:szCs w:val="22"/>
        </w:rPr>
      </w:pPr>
    </w:p>
    <w:p w14:paraId="292C1E7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Pour la liste complète des excipients, voir rubrique 6.1.</w:t>
      </w:r>
    </w:p>
    <w:p w14:paraId="1C99C64D" w14:textId="77777777" w:rsidR="007D642D" w:rsidRPr="00961E0F" w:rsidRDefault="007D642D">
      <w:pPr>
        <w:widowControl w:val="0"/>
        <w:rPr>
          <w:rFonts w:ascii="Times New Roman" w:hAnsi="Times New Roman"/>
          <w:color w:val="000000"/>
          <w:szCs w:val="22"/>
        </w:rPr>
      </w:pPr>
    </w:p>
    <w:p w14:paraId="5259303E" w14:textId="77777777" w:rsidR="007D642D" w:rsidRPr="00961E0F" w:rsidRDefault="007D642D">
      <w:pPr>
        <w:widowControl w:val="0"/>
        <w:rPr>
          <w:rFonts w:ascii="Times New Roman" w:hAnsi="Times New Roman"/>
          <w:color w:val="000000"/>
          <w:szCs w:val="22"/>
        </w:rPr>
      </w:pPr>
    </w:p>
    <w:p w14:paraId="429CA42C" w14:textId="77777777" w:rsidR="007D642D" w:rsidRPr="00961E0F" w:rsidRDefault="007D642D" w:rsidP="00263827">
      <w:pPr>
        <w:keepNext/>
        <w:widowControl w:val="0"/>
        <w:ind w:left="567" w:hanging="567"/>
        <w:rPr>
          <w:rFonts w:ascii="Times New Roman" w:hAnsi="Times New Roman"/>
          <w:caps/>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FORME PHARMACEUTIQUE</w:t>
      </w:r>
    </w:p>
    <w:p w14:paraId="0E530A2C" w14:textId="77777777" w:rsidR="007D642D" w:rsidRPr="00961E0F" w:rsidRDefault="007D642D" w:rsidP="00263827">
      <w:pPr>
        <w:pStyle w:val="EndnoteText"/>
        <w:keepNext/>
        <w:widowControl w:val="0"/>
        <w:tabs>
          <w:tab w:val="clear" w:pos="567"/>
        </w:tabs>
        <w:rPr>
          <w:color w:val="000000"/>
          <w:szCs w:val="22"/>
          <w:lang w:val="fr-FR"/>
        </w:rPr>
      </w:pPr>
    </w:p>
    <w:p w14:paraId="22B9F9D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Gélule</w:t>
      </w:r>
    </w:p>
    <w:p w14:paraId="53B1E433" w14:textId="77777777" w:rsidR="007D642D" w:rsidRPr="00961E0F" w:rsidRDefault="007D642D">
      <w:pPr>
        <w:widowControl w:val="0"/>
        <w:rPr>
          <w:rFonts w:ascii="Times New Roman" w:hAnsi="Times New Roman"/>
          <w:color w:val="000000"/>
          <w:szCs w:val="22"/>
        </w:rPr>
      </w:pPr>
    </w:p>
    <w:p w14:paraId="5B98F241" w14:textId="77777777" w:rsidR="00F61D84" w:rsidRPr="00961E0F" w:rsidRDefault="00F61D84" w:rsidP="00F61D84">
      <w:pPr>
        <w:widowControl w:val="0"/>
        <w:rPr>
          <w:rFonts w:ascii="Times New Roman" w:hAnsi="Times New Roman"/>
          <w:color w:val="000000"/>
          <w:szCs w:val="22"/>
        </w:rPr>
      </w:pPr>
      <w:r w:rsidRPr="00961E0F">
        <w:rPr>
          <w:rFonts w:ascii="Times New Roman" w:hAnsi="Times New Roman"/>
          <w:color w:val="000000"/>
          <w:szCs w:val="22"/>
        </w:rPr>
        <w:t xml:space="preserve">Poudre blanche à jaune dans une gélule opaque </w:t>
      </w:r>
      <w:r w:rsidR="000D3063" w:rsidRPr="00961E0F">
        <w:rPr>
          <w:rFonts w:ascii="Times New Roman" w:hAnsi="Times New Roman"/>
          <w:color w:val="000000"/>
          <w:szCs w:val="22"/>
        </w:rPr>
        <w:t>orange</w:t>
      </w:r>
      <w:r w:rsidRPr="00961E0F">
        <w:rPr>
          <w:rFonts w:ascii="Times New Roman" w:hAnsi="Times New Roman"/>
          <w:color w:val="000000"/>
          <w:szCs w:val="22"/>
        </w:rPr>
        <w:t xml:space="preserve"> à </w:t>
      </w:r>
      <w:r w:rsidR="000D3063" w:rsidRPr="00961E0F">
        <w:rPr>
          <w:rFonts w:ascii="Times New Roman" w:hAnsi="Times New Roman"/>
          <w:color w:val="000000"/>
          <w:szCs w:val="22"/>
        </w:rPr>
        <w:t>orange-grisâtre</w:t>
      </w:r>
      <w:r w:rsidRPr="00961E0F">
        <w:rPr>
          <w:rFonts w:ascii="Times New Roman" w:hAnsi="Times New Roman"/>
          <w:color w:val="000000"/>
          <w:szCs w:val="22"/>
        </w:rPr>
        <w:t>, portant l’inscription « </w:t>
      </w:r>
      <w:smartTag w:uri="urn:schemas-microsoft-com:office:smarttags" w:element="stockticker">
        <w:r w:rsidRPr="00961E0F">
          <w:rPr>
            <w:rFonts w:ascii="Times New Roman" w:hAnsi="Times New Roman"/>
            <w:color w:val="000000"/>
            <w:szCs w:val="22"/>
          </w:rPr>
          <w:t>NVR</w:t>
        </w:r>
      </w:smartTag>
      <w:r w:rsidRPr="00961E0F">
        <w:rPr>
          <w:rFonts w:ascii="Times New Roman" w:hAnsi="Times New Roman"/>
          <w:color w:val="000000"/>
          <w:szCs w:val="22"/>
        </w:rPr>
        <w:t> SI ».</w:t>
      </w:r>
    </w:p>
    <w:p w14:paraId="15928667" w14:textId="77777777" w:rsidR="00F61D84" w:rsidRPr="00961E0F" w:rsidRDefault="00F61D84">
      <w:pPr>
        <w:widowControl w:val="0"/>
        <w:rPr>
          <w:rFonts w:ascii="Times New Roman" w:hAnsi="Times New Roman"/>
          <w:color w:val="000000"/>
          <w:szCs w:val="22"/>
        </w:rPr>
      </w:pPr>
    </w:p>
    <w:p w14:paraId="313AC847" w14:textId="77777777" w:rsidR="007D642D" w:rsidRPr="00961E0F" w:rsidRDefault="007D642D">
      <w:pPr>
        <w:widowControl w:val="0"/>
        <w:rPr>
          <w:rFonts w:ascii="Times New Roman" w:hAnsi="Times New Roman"/>
          <w:color w:val="000000"/>
          <w:szCs w:val="22"/>
        </w:rPr>
      </w:pPr>
    </w:p>
    <w:p w14:paraId="372221BD" w14:textId="77777777" w:rsidR="007D642D" w:rsidRPr="00961E0F" w:rsidRDefault="007D642D" w:rsidP="000E0F96">
      <w:pPr>
        <w:keepNext/>
        <w:widowControl w:val="0"/>
        <w:ind w:left="567" w:hanging="567"/>
        <w:rPr>
          <w:rFonts w:ascii="Times New Roman" w:hAnsi="Times New Roman"/>
          <w:caps/>
          <w:color w:val="000000"/>
          <w:szCs w:val="22"/>
        </w:rPr>
      </w:pPr>
      <w:r w:rsidRPr="00961E0F">
        <w:rPr>
          <w:rFonts w:ascii="Times New Roman" w:hAnsi="Times New Roman"/>
          <w:b/>
          <w:caps/>
          <w:color w:val="000000"/>
          <w:szCs w:val="22"/>
        </w:rPr>
        <w:t>4.</w:t>
      </w:r>
      <w:r w:rsidRPr="00961E0F">
        <w:rPr>
          <w:rFonts w:ascii="Times New Roman" w:hAnsi="Times New Roman"/>
          <w:b/>
          <w:caps/>
          <w:color w:val="000000"/>
          <w:szCs w:val="22"/>
        </w:rPr>
        <w:tab/>
      </w:r>
      <w:r w:rsidR="00EE7627" w:rsidRPr="00961E0F">
        <w:rPr>
          <w:rFonts w:ascii="Times New Roman" w:hAnsi="Times New Roman"/>
          <w:b/>
          <w:color w:val="000000"/>
          <w:szCs w:val="22"/>
        </w:rPr>
        <w:t xml:space="preserve">INFORMATIONS </w:t>
      </w:r>
      <w:r w:rsidRPr="00961E0F">
        <w:rPr>
          <w:rFonts w:ascii="Times New Roman" w:hAnsi="Times New Roman"/>
          <w:b/>
          <w:color w:val="000000"/>
          <w:szCs w:val="22"/>
        </w:rPr>
        <w:t>CLINIQUES</w:t>
      </w:r>
    </w:p>
    <w:p w14:paraId="33751040" w14:textId="77777777" w:rsidR="007D642D" w:rsidRPr="00961E0F" w:rsidRDefault="007D642D" w:rsidP="000E0F96">
      <w:pPr>
        <w:pStyle w:val="EndnoteText"/>
        <w:keepNext/>
        <w:widowControl w:val="0"/>
        <w:tabs>
          <w:tab w:val="clear" w:pos="567"/>
        </w:tabs>
        <w:rPr>
          <w:color w:val="000000"/>
          <w:szCs w:val="22"/>
          <w:lang w:val="fr-FR"/>
        </w:rPr>
      </w:pPr>
    </w:p>
    <w:p w14:paraId="2CFD30C2" w14:textId="77777777" w:rsidR="007D642D" w:rsidRPr="00961E0F" w:rsidRDefault="007D642D" w:rsidP="000E0F96">
      <w:pPr>
        <w:keepNext/>
        <w:widowControl w:val="0"/>
        <w:ind w:left="567" w:hanging="567"/>
        <w:rPr>
          <w:rFonts w:ascii="Times New Roman" w:hAnsi="Times New Roman"/>
          <w:color w:val="000000"/>
          <w:szCs w:val="22"/>
        </w:rPr>
      </w:pPr>
      <w:r w:rsidRPr="00961E0F">
        <w:rPr>
          <w:rFonts w:ascii="Times New Roman" w:hAnsi="Times New Roman"/>
          <w:b/>
          <w:color w:val="000000"/>
          <w:szCs w:val="22"/>
        </w:rPr>
        <w:t>4.1</w:t>
      </w:r>
      <w:r w:rsidRPr="00961E0F">
        <w:rPr>
          <w:rFonts w:ascii="Times New Roman" w:hAnsi="Times New Roman"/>
          <w:b/>
          <w:color w:val="000000"/>
          <w:szCs w:val="22"/>
        </w:rPr>
        <w:tab/>
        <w:t>Indications thérapeutiques</w:t>
      </w:r>
    </w:p>
    <w:p w14:paraId="08443D39" w14:textId="77777777" w:rsidR="007D642D" w:rsidRPr="00961E0F" w:rsidRDefault="007D642D" w:rsidP="000E0F96">
      <w:pPr>
        <w:pStyle w:val="EndnoteText"/>
        <w:keepNext/>
        <w:widowControl w:val="0"/>
        <w:tabs>
          <w:tab w:val="clear" w:pos="567"/>
        </w:tabs>
        <w:rPr>
          <w:color w:val="000000"/>
          <w:szCs w:val="22"/>
          <w:lang w:val="fr-FR"/>
        </w:rPr>
      </w:pPr>
    </w:p>
    <w:p w14:paraId="3CED76C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Glivec est indiqué dans le traitement :</w:t>
      </w:r>
    </w:p>
    <w:p w14:paraId="7CF22CD8" w14:textId="77777777" w:rsidR="007D642D" w:rsidRPr="00961E0F" w:rsidRDefault="007D642D">
      <w:pPr>
        <w:pStyle w:val="EndnoteText"/>
        <w:widowControl w:val="0"/>
        <w:numPr>
          <w:ilvl w:val="0"/>
          <w:numId w:val="11"/>
        </w:numPr>
        <w:tabs>
          <w:tab w:val="clear" w:pos="366"/>
          <w:tab w:val="clear" w:pos="567"/>
        </w:tabs>
        <w:ind w:left="567" w:hanging="561"/>
        <w:rPr>
          <w:color w:val="000000"/>
          <w:szCs w:val="22"/>
          <w:lang w:val="fr-FR"/>
        </w:rPr>
      </w:pPr>
      <w:r w:rsidRPr="00961E0F">
        <w:rPr>
          <w:color w:val="000000"/>
          <w:szCs w:val="22"/>
          <w:lang w:val="fr-FR"/>
        </w:rPr>
        <w:t>des patients adultes et enfants atteints de leucémie myéloïde chronique (LMC) chromosome Philadelphie (bcr-abl) positive (Ph+) nouvellement diagnostiquée lorsque la greffe de moelle osseuse ne peut être envisagée comme un traitement de première intention.</w:t>
      </w:r>
    </w:p>
    <w:p w14:paraId="71AF4D08"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et enfants atteints de LMC Ph+ en phase chronique après échec du traitement par l’interféron alpha, ou en phase accélérée ou en crise blastique.</w:t>
      </w:r>
    </w:p>
    <w:p w14:paraId="6D2B21C4"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 xml:space="preserve">des patients adultes </w:t>
      </w:r>
      <w:r w:rsidR="0067643D" w:rsidRPr="00961E0F">
        <w:rPr>
          <w:color w:val="000000"/>
          <w:szCs w:val="22"/>
          <w:lang w:val="fr-FR"/>
        </w:rPr>
        <w:t xml:space="preserve">et </w:t>
      </w:r>
      <w:r w:rsidR="009B6744" w:rsidRPr="00961E0F">
        <w:rPr>
          <w:color w:val="000000"/>
          <w:szCs w:val="22"/>
          <w:lang w:val="fr-FR"/>
        </w:rPr>
        <w:t>enfants</w:t>
      </w:r>
      <w:r w:rsidR="0067643D" w:rsidRPr="00961E0F">
        <w:rPr>
          <w:color w:val="000000"/>
          <w:szCs w:val="22"/>
          <w:lang w:val="fr-FR"/>
        </w:rPr>
        <w:t xml:space="preserve"> </w:t>
      </w:r>
      <w:r w:rsidRPr="00961E0F">
        <w:rPr>
          <w:color w:val="000000"/>
          <w:szCs w:val="22"/>
          <w:lang w:val="fr-FR"/>
        </w:rPr>
        <w:t>atteints de leucémie aiguë lymphoïde chromosome Philadelphie positive (LAL Ph+) nouvellement diagnostiquée en association avec la chimiothérapie.</w:t>
      </w:r>
    </w:p>
    <w:p w14:paraId="2ABB51C4"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atteints de LAL Ph+ réfractaire ou en rechute en monothérapie.</w:t>
      </w:r>
    </w:p>
    <w:p w14:paraId="6F3CA5E4"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atteints de syndromes myélodysplasiques/myéloprolifératifs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associés à des réarrangements du gène du PDGFR (platelet-derived growth factor receptor).</w:t>
      </w:r>
    </w:p>
    <w:p w14:paraId="04B505EE"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 xml:space="preserve">des patients adultes atteints d’un syndrome hyperéosinophilique (SHE) à un stade avancé et/ou d’une leucémie chronique à éosinophiles (LCE) associés à un réarrangement du </w:t>
      </w:r>
      <w:r w:rsidRPr="00961E0F">
        <w:rPr>
          <w:color w:val="000000"/>
          <w:lang w:val="fr-FR"/>
        </w:rPr>
        <w:t>FIP1L1-PDGFR</w:t>
      </w:r>
      <w:r w:rsidRPr="00961E0F">
        <w:rPr>
          <w:color w:val="000000"/>
        </w:rPr>
        <w:sym w:font="Symbol" w:char="F061"/>
      </w:r>
      <w:r w:rsidRPr="00961E0F">
        <w:rPr>
          <w:color w:val="000000"/>
          <w:szCs w:val="22"/>
          <w:lang w:val="fr-FR"/>
        </w:rPr>
        <w:t>.</w:t>
      </w:r>
    </w:p>
    <w:p w14:paraId="2FB136BB" w14:textId="77777777" w:rsidR="007D642D" w:rsidRPr="00961E0F" w:rsidRDefault="007D642D">
      <w:pPr>
        <w:pStyle w:val="EndnoteText"/>
        <w:widowControl w:val="0"/>
        <w:tabs>
          <w:tab w:val="clear" w:pos="567"/>
        </w:tabs>
        <w:rPr>
          <w:color w:val="000000"/>
          <w:szCs w:val="22"/>
          <w:lang w:val="fr-FR"/>
        </w:rPr>
      </w:pPr>
    </w:p>
    <w:p w14:paraId="3C8D716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L’effet de Glivec sur l’issue d’une greffe de moelle osseuse n’a pas été évalué.</w:t>
      </w:r>
    </w:p>
    <w:p w14:paraId="19449BF1" w14:textId="77777777" w:rsidR="007D642D" w:rsidRPr="00961E0F" w:rsidRDefault="007D642D">
      <w:pPr>
        <w:pStyle w:val="EndnoteText"/>
        <w:widowControl w:val="0"/>
        <w:tabs>
          <w:tab w:val="clear" w:pos="567"/>
        </w:tabs>
        <w:rPr>
          <w:color w:val="000000"/>
          <w:szCs w:val="22"/>
          <w:lang w:val="fr-FR"/>
        </w:rPr>
      </w:pPr>
    </w:p>
    <w:p w14:paraId="781F3B5F"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Glivec est indiqué dans</w:t>
      </w:r>
    </w:p>
    <w:p w14:paraId="6135AF02"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des patients adultes atteints de tumeurs stromales gastro-intestinales (GIST - gastrointestinal stromal tumours) malignes Kit (CD 117) positives non résécables et/ou métastatiques.</w:t>
      </w:r>
    </w:p>
    <w:p w14:paraId="6387D789"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adjuvant des patients adultes présentant un risque significatif de rechute après résection d’une tumeur stromale gastro-intestinale GIST Kit (CD117) positive. Les patients qui présentent un faible ou très faible risque ne doivent pas être traités.</w:t>
      </w:r>
    </w:p>
    <w:p w14:paraId="6D648D9D"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des patients adultes atteints de dermatofibrosarcome protuberans (DFSP ou maladie de Darier-Ferrand) non résécable et patients adultes atteints de DFSP en rechute et/ou métastatique ne relevant pas d’un traitement chirurgical.</w:t>
      </w:r>
    </w:p>
    <w:p w14:paraId="4599C0FD" w14:textId="77777777" w:rsidR="007D642D" w:rsidRPr="00961E0F" w:rsidRDefault="007D642D">
      <w:pPr>
        <w:pStyle w:val="EndnoteText"/>
        <w:widowControl w:val="0"/>
        <w:tabs>
          <w:tab w:val="clear" w:pos="567"/>
        </w:tabs>
        <w:rPr>
          <w:color w:val="000000"/>
          <w:szCs w:val="22"/>
          <w:lang w:val="fr-FR"/>
        </w:rPr>
      </w:pPr>
    </w:p>
    <w:p w14:paraId="368D749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l’adulte et les patients pédiatriques, l’efficacité de Glivec est basée sur les taux de réponses hématologiques et cytogénétiques globales et la survie sans progression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sur les taux de réponses hématologique et cytogénétique des LAL Ph+, des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sur les taux de réponses hématologiques des SHE/LCE et sur les taux de réponses objectives des patients adultes dans les GIST résecables et/ou métastatiques et les DFSP et la survie sans rechute dans le traitement adjuvant des GIST. L’expérience avec Glivec chez les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associés à des réarrangements du gène du PDGFR est très limitée (voir rubrique 5.1). A l’exception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nouvellement diagnostiquée, il n’existe pas d’étude clinique contrôlée démontrant un bénéfice clinique ou une prolongation de la durée de vie, pour ces maladies.</w:t>
      </w:r>
    </w:p>
    <w:p w14:paraId="6BBF888B" w14:textId="77777777" w:rsidR="007D642D" w:rsidRPr="00961E0F" w:rsidRDefault="007D642D">
      <w:pPr>
        <w:widowControl w:val="0"/>
        <w:rPr>
          <w:rFonts w:ascii="Times New Roman" w:hAnsi="Times New Roman"/>
          <w:color w:val="000000"/>
          <w:szCs w:val="22"/>
        </w:rPr>
      </w:pPr>
    </w:p>
    <w:p w14:paraId="2DE630B6"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4.2</w:t>
      </w:r>
      <w:r w:rsidRPr="00961E0F">
        <w:rPr>
          <w:rFonts w:ascii="Times New Roman" w:hAnsi="Times New Roman"/>
          <w:b/>
          <w:color w:val="000000"/>
          <w:szCs w:val="22"/>
        </w:rPr>
        <w:tab/>
        <w:t>Posologie et mode d'administration</w:t>
      </w:r>
    </w:p>
    <w:p w14:paraId="72E78577" w14:textId="77777777" w:rsidR="007D642D" w:rsidRPr="00961E0F" w:rsidRDefault="007D642D" w:rsidP="00B15424">
      <w:pPr>
        <w:pStyle w:val="EndnoteText"/>
        <w:keepNext/>
        <w:widowControl w:val="0"/>
        <w:tabs>
          <w:tab w:val="clear" w:pos="567"/>
        </w:tabs>
        <w:rPr>
          <w:color w:val="000000"/>
          <w:szCs w:val="22"/>
          <w:lang w:val="fr-FR"/>
        </w:rPr>
      </w:pPr>
    </w:p>
    <w:p w14:paraId="36F80DC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traitement doit être instauré par un médecin ayant l’expérience du traitement des hémopathies malignes ou des sarcomes.</w:t>
      </w:r>
    </w:p>
    <w:p w14:paraId="65358CB1" w14:textId="77777777" w:rsidR="007D642D" w:rsidRPr="00961E0F" w:rsidRDefault="007D642D">
      <w:pPr>
        <w:pStyle w:val="EndnoteText"/>
        <w:widowControl w:val="0"/>
        <w:tabs>
          <w:tab w:val="clear" w:pos="567"/>
        </w:tabs>
        <w:rPr>
          <w:color w:val="000000"/>
          <w:szCs w:val="22"/>
          <w:lang w:val="fr-FR"/>
        </w:rPr>
      </w:pPr>
    </w:p>
    <w:p w14:paraId="526356B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prescrite doit être administrée par voie orale, avec un grand verre d'eau, au cours d'un repas pour réduire le risque d’irritations gastrointestinales. Les doses de 400 mg ou 600 mg devront être administrées en une prise par jour, tandis que la dose journalière de 800 mg devra être répartie en deux prises de 400 mg par jour, matin et soir. Pour les patients (enfants) incapables d'avaler les gélules, leur contenu peut être dilué dans un verre d'eau plate ou de jus de pomme. Dans la mesure où les études menées chez l'animal ont montré des effets toxiques sur la reproduction et que le risque potentiel chez le fœtus humain est inconnu, il est recommandé aux femmes en âge de procréer qui ouvrent les gélules d'en manipuler le contenu avec précaution et d'éviter tout contact avec la peau ou les yeux, ainsi que toute inhalation (voir rubrique 4.6). Il convient de se laver les mains immédiatement après avoir manipulé les gélules ouvertes.</w:t>
      </w:r>
    </w:p>
    <w:p w14:paraId="480374D7" w14:textId="77777777" w:rsidR="007D642D" w:rsidRPr="00961E0F" w:rsidRDefault="007D642D">
      <w:pPr>
        <w:pStyle w:val="EndnoteText"/>
        <w:widowControl w:val="0"/>
        <w:tabs>
          <w:tab w:val="clear" w:pos="567"/>
        </w:tabs>
        <w:rPr>
          <w:color w:val="000000"/>
          <w:szCs w:val="22"/>
          <w:lang w:val="fr-FR"/>
        </w:rPr>
      </w:pPr>
    </w:p>
    <w:p w14:paraId="47A63053"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 xml:space="preserve">Posologie dans </w:t>
      </w:r>
      <w:smartTag w:uri="urn:schemas-microsoft-com:office:smarttags" w:element="PersonName">
        <w:smartTagPr>
          <w:attr w:name="ProductID" w:val="la LMC"/>
        </w:smartTagPr>
        <w:r w:rsidRPr="00961E0F">
          <w:rPr>
            <w:color w:val="000000"/>
            <w:szCs w:val="22"/>
            <w:u w:val="single"/>
            <w:lang w:val="fr-FR"/>
          </w:rPr>
          <w:t>la LMC</w:t>
        </w:r>
      </w:smartTag>
      <w:r w:rsidRPr="00961E0F">
        <w:rPr>
          <w:color w:val="000000"/>
          <w:szCs w:val="22"/>
          <w:u w:val="single"/>
          <w:lang w:val="fr-FR"/>
        </w:rPr>
        <w:t xml:space="preserve"> chez l’adulte</w:t>
      </w:r>
    </w:p>
    <w:p w14:paraId="4D98C04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Patients adultes en phase chronique de LMC : la posologie recommandée est de 400 mg/j. La phase chronique est définie par l’ensemble des critères suivants : blastes &lt; 15% dans le sang et la moelle osseuse, basophiles dans le sang &lt; 20%, plaquettes &gt; 100 x 10</w:t>
      </w:r>
      <w:r w:rsidRPr="00961E0F">
        <w:rPr>
          <w:color w:val="000000"/>
          <w:szCs w:val="22"/>
          <w:vertAlign w:val="superscript"/>
          <w:lang w:val="fr-FR"/>
        </w:rPr>
        <w:t>9</w:t>
      </w:r>
      <w:r w:rsidRPr="00961E0F">
        <w:rPr>
          <w:color w:val="000000"/>
          <w:szCs w:val="22"/>
          <w:lang w:val="fr-FR"/>
        </w:rPr>
        <w:t>/l.</w:t>
      </w:r>
    </w:p>
    <w:p w14:paraId="78158C14" w14:textId="77777777" w:rsidR="007D642D" w:rsidRPr="00961E0F" w:rsidRDefault="007D642D">
      <w:pPr>
        <w:pStyle w:val="EndnoteText"/>
        <w:widowControl w:val="0"/>
        <w:tabs>
          <w:tab w:val="clear" w:pos="567"/>
        </w:tabs>
        <w:rPr>
          <w:color w:val="000000"/>
          <w:szCs w:val="22"/>
          <w:lang w:val="fr-FR"/>
        </w:rPr>
      </w:pPr>
    </w:p>
    <w:p w14:paraId="6DABDA1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Patients adultes en phase accélérée : la posologie recommandée est de 600 mg/j. La phase accélérée est définie par la présence d’un des critères suivants : blastes </w:t>
      </w:r>
      <w:r w:rsidRPr="00961E0F">
        <w:rPr>
          <w:color w:val="000000"/>
          <w:szCs w:val="22"/>
          <w:lang w:val="fr-FR"/>
        </w:rPr>
        <w:sym w:font="Symbol" w:char="F0B3"/>
      </w:r>
      <w:r w:rsidRPr="00961E0F">
        <w:rPr>
          <w:color w:val="000000"/>
          <w:szCs w:val="22"/>
          <w:lang w:val="fr-FR"/>
        </w:rPr>
        <w:t xml:space="preserve"> 15% mais &lt; 30% dans le sang ou la mœlle osseuse, blastes plus promyélocytes </w:t>
      </w:r>
      <w:r w:rsidRPr="00961E0F">
        <w:rPr>
          <w:color w:val="000000"/>
          <w:szCs w:val="22"/>
          <w:lang w:val="fr-FR"/>
        </w:rPr>
        <w:sym w:font="Symbol" w:char="F0B3"/>
      </w:r>
      <w:r w:rsidRPr="00961E0F">
        <w:rPr>
          <w:color w:val="000000"/>
          <w:szCs w:val="22"/>
          <w:lang w:val="fr-FR"/>
        </w:rPr>
        <w:t xml:space="preserve"> 30% dans le sang ou la moelle osseuse (à condition que blastes &lt; 30%), basophiles dans le sang </w:t>
      </w:r>
      <w:r w:rsidRPr="00961E0F">
        <w:rPr>
          <w:color w:val="000000"/>
          <w:szCs w:val="22"/>
          <w:lang w:val="fr-FR"/>
        </w:rPr>
        <w:sym w:font="Symbol" w:char="F0B3"/>
      </w:r>
      <w:r w:rsidRPr="00961E0F">
        <w:rPr>
          <w:color w:val="000000"/>
          <w:szCs w:val="22"/>
          <w:lang w:val="fr-FR"/>
        </w:rPr>
        <w:t> 20%, plaquettes &lt; 100 x 10</w:t>
      </w:r>
      <w:r w:rsidRPr="00961E0F">
        <w:rPr>
          <w:color w:val="000000"/>
          <w:szCs w:val="22"/>
          <w:vertAlign w:val="superscript"/>
          <w:lang w:val="fr-FR"/>
        </w:rPr>
        <w:t>9</w:t>
      </w:r>
      <w:r w:rsidRPr="00961E0F">
        <w:rPr>
          <w:color w:val="000000"/>
          <w:szCs w:val="22"/>
          <w:lang w:val="fr-FR"/>
        </w:rPr>
        <w:t>/l indépendamment du traitement.</w:t>
      </w:r>
    </w:p>
    <w:p w14:paraId="74DB9EAA" w14:textId="77777777" w:rsidR="007D642D" w:rsidRPr="00961E0F" w:rsidRDefault="007D642D">
      <w:pPr>
        <w:pStyle w:val="EndnoteText"/>
        <w:widowControl w:val="0"/>
        <w:tabs>
          <w:tab w:val="clear" w:pos="567"/>
        </w:tabs>
        <w:rPr>
          <w:color w:val="000000"/>
          <w:szCs w:val="22"/>
          <w:lang w:val="fr-FR"/>
        </w:rPr>
      </w:pPr>
    </w:p>
    <w:p w14:paraId="2862E40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Patients adultes en crise blastique : la posologie recommandée est de 600 mg/j. La crise blastique est définie par la présence de blastes </w:t>
      </w:r>
      <w:r w:rsidRPr="00961E0F">
        <w:rPr>
          <w:color w:val="000000"/>
          <w:szCs w:val="22"/>
          <w:lang w:val="fr-FR"/>
        </w:rPr>
        <w:sym w:font="Symbol" w:char="F0B3"/>
      </w:r>
      <w:r w:rsidRPr="00961E0F">
        <w:rPr>
          <w:color w:val="000000"/>
          <w:szCs w:val="22"/>
          <w:lang w:val="fr-FR"/>
        </w:rPr>
        <w:t> 30% dans le sang ou la moelle osseuse ou un envahissement extramédullaire autre qu’une hépatosplénomégalie.</w:t>
      </w:r>
    </w:p>
    <w:p w14:paraId="74D1EB21" w14:textId="77777777" w:rsidR="007D642D" w:rsidRPr="00961E0F" w:rsidRDefault="007D642D">
      <w:pPr>
        <w:pStyle w:val="EndnoteText"/>
        <w:widowControl w:val="0"/>
        <w:tabs>
          <w:tab w:val="clear" w:pos="567"/>
        </w:tabs>
        <w:rPr>
          <w:color w:val="000000"/>
          <w:szCs w:val="22"/>
          <w:lang w:val="fr-FR"/>
        </w:rPr>
      </w:pPr>
    </w:p>
    <w:p w14:paraId="343638F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Durée du traitement : dans les études cliniques, le traitement est poursuivi jusqu’à progression de la maladie. L’effet de l’arrêt du traitement après l’obtention d’une réponse cytogénétique complète n’a pas été étudié.</w:t>
      </w:r>
    </w:p>
    <w:p w14:paraId="1F35203F" w14:textId="77777777" w:rsidR="007D642D" w:rsidRPr="00961E0F" w:rsidRDefault="007D642D">
      <w:pPr>
        <w:pStyle w:val="EndnoteText"/>
        <w:widowControl w:val="0"/>
        <w:tabs>
          <w:tab w:val="clear" w:pos="567"/>
        </w:tabs>
        <w:rPr>
          <w:color w:val="000000"/>
          <w:szCs w:val="22"/>
          <w:lang w:val="fr-FR"/>
        </w:rPr>
      </w:pPr>
    </w:p>
    <w:p w14:paraId="5422DEA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l’absence d'effets indésirables sévères et de neutropénie ou de thrombopénie sévères non imputables à la leucémie, une augmentation de la dose peut être envisagée, de 400 mg à 600 mg ou 800 mg, chez les patients en phase chronique, ou de 600 mg à un maximum de 800 mg (en deux prises de 400 mg par jour) chez les patients en phase accélérée ou en crise blastique, dans les circonstances suivantes : évolution de la maladie (à tout moment), absence de réponse hématologique satisfaisante après un minimum de 3 mois de traitement, absence de réponse cytogénétique après 12 mois de traitement, ou perte de la réponse hématologique et/ou cytogénétique obtenue auparavant. Les patients devront être surveillés étroitement après augmentation de la dose étant donnée la possibilité d’une incidence accrue des effets indésirables à plus fortes doses.</w:t>
      </w:r>
    </w:p>
    <w:p w14:paraId="58C4E810" w14:textId="77777777" w:rsidR="007D642D" w:rsidRPr="00961E0F" w:rsidRDefault="007D642D">
      <w:pPr>
        <w:pStyle w:val="EndnoteText"/>
        <w:widowControl w:val="0"/>
        <w:tabs>
          <w:tab w:val="clear" w:pos="567"/>
        </w:tabs>
        <w:rPr>
          <w:color w:val="000000"/>
          <w:szCs w:val="22"/>
          <w:lang w:val="fr-FR"/>
        </w:rPr>
      </w:pPr>
    </w:p>
    <w:p w14:paraId="15079285"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lastRenderedPageBreak/>
        <w:t xml:space="preserve">Posologie dans </w:t>
      </w:r>
      <w:smartTag w:uri="urn:schemas-microsoft-com:office:smarttags" w:element="PersonName">
        <w:smartTagPr>
          <w:attr w:name="ProductID" w:val="la LMC"/>
        </w:smartTagPr>
        <w:r w:rsidRPr="00961E0F">
          <w:rPr>
            <w:color w:val="000000"/>
            <w:szCs w:val="22"/>
            <w:u w:val="single"/>
            <w:lang w:val="fr-FR"/>
          </w:rPr>
          <w:t>la LMC</w:t>
        </w:r>
      </w:smartTag>
      <w:r w:rsidRPr="00961E0F">
        <w:rPr>
          <w:color w:val="000000"/>
          <w:szCs w:val="22"/>
          <w:u w:val="single"/>
          <w:lang w:val="fr-FR"/>
        </w:rPr>
        <w:t xml:space="preserve"> chez l’enfant</w:t>
      </w:r>
    </w:p>
    <w:p w14:paraId="5E8CB09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l'enfant, la posologie devra être établie en fonction de la surface corporelle (mg/m</w:t>
      </w:r>
      <w:r w:rsidRPr="00961E0F">
        <w:rPr>
          <w:color w:val="000000"/>
          <w:szCs w:val="22"/>
          <w:vertAlign w:val="superscript"/>
          <w:lang w:val="fr-FR"/>
        </w:rPr>
        <w:t>2</w:t>
      </w:r>
      <w:r w:rsidRPr="00961E0F">
        <w:rPr>
          <w:color w:val="000000"/>
          <w:szCs w:val="22"/>
          <w:lang w:val="fr-FR"/>
        </w:rPr>
        <w:t>). La dose journalière recommandée chez l'enfant est de 340 mg/m</w:t>
      </w:r>
      <w:r w:rsidRPr="00961E0F">
        <w:rPr>
          <w:color w:val="000000"/>
          <w:szCs w:val="22"/>
          <w:vertAlign w:val="superscript"/>
          <w:lang w:val="fr-FR"/>
        </w:rPr>
        <w:t>2</w:t>
      </w:r>
      <w:r w:rsidRPr="00961E0F">
        <w:rPr>
          <w:color w:val="000000"/>
          <w:szCs w:val="22"/>
          <w:lang w:val="fr-FR"/>
        </w:rPr>
        <w:t xml:space="preserve">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et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avancée (ne doit pas dépasser une dose totale de 800 mg). Le traitement peut être administré en une prise quotidienne ou bien être divisé en deux prises (une le matin et une le soir). Ces recommandations posologiques reposent actuellement sur un faible nombre d’enfants (voir rubriques 5.1 et 5.2). On ne dispose d'aucune donnée chez l'enfant de moins de 2 ans.</w:t>
      </w:r>
    </w:p>
    <w:p w14:paraId="565F5424" w14:textId="77777777" w:rsidR="007D642D" w:rsidRPr="00961E0F" w:rsidRDefault="007D642D">
      <w:pPr>
        <w:pStyle w:val="EndnoteText"/>
        <w:widowControl w:val="0"/>
        <w:tabs>
          <w:tab w:val="clear" w:pos="567"/>
        </w:tabs>
        <w:rPr>
          <w:color w:val="000000"/>
          <w:szCs w:val="22"/>
          <w:lang w:val="fr-FR"/>
        </w:rPr>
      </w:pPr>
    </w:p>
    <w:p w14:paraId="222BC74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L’augmentation de doses de 340 mg/m</w:t>
      </w:r>
      <w:r w:rsidRPr="00961E0F">
        <w:rPr>
          <w:color w:val="000000"/>
          <w:szCs w:val="22"/>
          <w:vertAlign w:val="superscript"/>
          <w:lang w:val="fr-FR"/>
        </w:rPr>
        <w:t>2</w:t>
      </w:r>
      <w:r w:rsidRPr="00961E0F">
        <w:rPr>
          <w:color w:val="000000"/>
          <w:szCs w:val="22"/>
          <w:lang w:val="fr-FR"/>
        </w:rPr>
        <w:t xml:space="preserve"> jusqu’à 570 mg/m</w:t>
      </w:r>
      <w:r w:rsidRPr="00961E0F">
        <w:rPr>
          <w:color w:val="000000"/>
          <w:szCs w:val="22"/>
          <w:vertAlign w:val="superscript"/>
          <w:lang w:val="fr-FR"/>
        </w:rPr>
        <w:t>2</w:t>
      </w:r>
      <w:r w:rsidRPr="00961E0F">
        <w:rPr>
          <w:color w:val="000000"/>
          <w:szCs w:val="22"/>
          <w:lang w:val="fr-FR"/>
        </w:rPr>
        <w:t xml:space="preserve"> par jour (sans dépasser la dose totale de 800 mg) peut être envisagée chez l’enfant en l’absence d’effets indésirables graves et de neutropénie ou thrombopénie sévères non liées à la leucémie dans les circonstances suivantes : progression de la maladie (à n’importe quel moment) ; absence de réponse hématologique satisfaisante après au moins 3 mois de traitement ; absence de réponse cytogénétique après 12 mois de traitement ; ou perte d’une réponse hématologique et/ou cytogénétique antérieure. Les patients devront être surveillés attentivement au cours des escalades de doses compte tenu du risque accru d’effets indésirables à des doses plus élevées.</w:t>
      </w:r>
    </w:p>
    <w:p w14:paraId="04883B8C" w14:textId="77777777" w:rsidR="007D642D" w:rsidRPr="00961E0F" w:rsidRDefault="007D642D">
      <w:pPr>
        <w:pStyle w:val="EndnoteText"/>
        <w:widowControl w:val="0"/>
        <w:tabs>
          <w:tab w:val="clear" w:pos="567"/>
        </w:tabs>
        <w:rPr>
          <w:color w:val="000000"/>
          <w:szCs w:val="22"/>
          <w:lang w:val="fr-FR"/>
        </w:rPr>
      </w:pPr>
    </w:p>
    <w:p w14:paraId="7961140A"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LAL Ph+</w:t>
      </w:r>
      <w:r w:rsidR="0067643D" w:rsidRPr="00961E0F">
        <w:rPr>
          <w:color w:val="000000"/>
          <w:szCs w:val="22"/>
          <w:u w:val="single"/>
          <w:lang w:val="fr-FR"/>
        </w:rPr>
        <w:t xml:space="preserve"> chez l’adulte</w:t>
      </w:r>
    </w:p>
    <w:p w14:paraId="1C4ACDF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posologie recommandée de Glivec est de 600 mg/jour chez les patients adultes atteints de LAL Ph+. Le traitement devrait être supervisé par des hématologues experts dans la prise en charge de cette maladie pour toutes les phases de traitement.</w:t>
      </w:r>
    </w:p>
    <w:p w14:paraId="7CCBC91A" w14:textId="77777777" w:rsidR="007D642D" w:rsidRPr="00961E0F" w:rsidRDefault="007D642D">
      <w:pPr>
        <w:pStyle w:val="EndnoteText"/>
        <w:widowControl w:val="0"/>
        <w:tabs>
          <w:tab w:val="clear" w:pos="567"/>
        </w:tabs>
        <w:rPr>
          <w:color w:val="000000"/>
          <w:szCs w:val="22"/>
          <w:lang w:val="fr-FR"/>
        </w:rPr>
      </w:pPr>
    </w:p>
    <w:p w14:paraId="30EEE4E1" w14:textId="55A0ECDE"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Schéma thérapeutique : Sur la base des données existantes, Glivec s’est montré efficace et </w:t>
      </w:r>
      <w:r w:rsidR="004B5DD7">
        <w:rPr>
          <w:color w:val="000000"/>
          <w:szCs w:val="22"/>
          <w:lang w:val="fr-FR"/>
        </w:rPr>
        <w:t>bien toléré</w:t>
      </w:r>
      <w:r w:rsidRPr="00961E0F">
        <w:rPr>
          <w:color w:val="000000"/>
          <w:szCs w:val="22"/>
          <w:lang w:val="fr-FR"/>
        </w:rPr>
        <w:t xml:space="preserve"> lorsqu’il est administré à 600 mg/j en association à une chimiothérapie d’induction, de consolidation et d’entretien utilisée des LAL Ph+ nouvellement diagnostiquées de l’adulte (voir rubrique 5.1). La durée de traitement par Glivec peut varier en fonction du traitement appliqué, mais généralement les traitements prolongés de Glivec ont fourni de meilleurs résultats.</w:t>
      </w:r>
    </w:p>
    <w:p w14:paraId="57CF5E15" w14:textId="77777777" w:rsidR="007D642D" w:rsidRPr="00961E0F" w:rsidRDefault="007D642D">
      <w:pPr>
        <w:pStyle w:val="EndnoteText"/>
        <w:widowControl w:val="0"/>
        <w:tabs>
          <w:tab w:val="clear" w:pos="567"/>
        </w:tabs>
        <w:rPr>
          <w:color w:val="000000"/>
          <w:szCs w:val="22"/>
          <w:lang w:val="fr-FR"/>
        </w:rPr>
      </w:pPr>
    </w:p>
    <w:p w14:paraId="49593D5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les patients adultes atteints de LAL Ph+ en rechute ou réfractaire, une monothérapie par Glivec à la dose de 600 mg/j est sure, efficace et peut être poursuivie jusqu’à la progression de la maladie.</w:t>
      </w:r>
    </w:p>
    <w:p w14:paraId="7F943502" w14:textId="77777777" w:rsidR="007D642D" w:rsidRPr="00961E0F" w:rsidRDefault="007D642D">
      <w:pPr>
        <w:pStyle w:val="EndnoteText"/>
        <w:widowControl w:val="0"/>
        <w:tabs>
          <w:tab w:val="clear" w:pos="567"/>
        </w:tabs>
        <w:rPr>
          <w:color w:val="000000"/>
          <w:szCs w:val="22"/>
          <w:lang w:val="fr-FR"/>
        </w:rPr>
      </w:pPr>
    </w:p>
    <w:p w14:paraId="73C28336" w14:textId="77777777" w:rsidR="0067643D" w:rsidRPr="00961E0F" w:rsidRDefault="0067643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LAL Ph+ chez l’enfant</w:t>
      </w:r>
    </w:p>
    <w:p w14:paraId="0830A7A1" w14:textId="77777777" w:rsidR="0067643D" w:rsidRPr="00961E0F" w:rsidRDefault="0067643D">
      <w:pPr>
        <w:pStyle w:val="EndnoteText"/>
        <w:widowControl w:val="0"/>
        <w:tabs>
          <w:tab w:val="clear" w:pos="567"/>
        </w:tabs>
        <w:rPr>
          <w:color w:val="000000"/>
          <w:szCs w:val="22"/>
          <w:lang w:val="fr-FR"/>
        </w:rPr>
      </w:pPr>
      <w:r w:rsidRPr="00961E0F">
        <w:rPr>
          <w:color w:val="000000"/>
          <w:szCs w:val="22"/>
          <w:lang w:val="fr-FR"/>
        </w:rPr>
        <w:t>Chez l</w:t>
      </w:r>
      <w:r w:rsidR="00571676" w:rsidRPr="00961E0F">
        <w:rPr>
          <w:color w:val="000000"/>
          <w:szCs w:val="22"/>
          <w:lang w:val="fr-FR"/>
        </w:rPr>
        <w:t>’</w:t>
      </w:r>
      <w:r w:rsidRPr="00961E0F">
        <w:rPr>
          <w:color w:val="000000"/>
          <w:szCs w:val="22"/>
          <w:lang w:val="fr-FR"/>
        </w:rPr>
        <w:t>enfant, la posologie devra être établie en fonction de la surface corporelle (mg/m</w:t>
      </w:r>
      <w:r w:rsidRPr="00961E0F">
        <w:rPr>
          <w:color w:val="000000"/>
          <w:szCs w:val="22"/>
          <w:vertAlign w:val="superscript"/>
          <w:lang w:val="fr-FR"/>
        </w:rPr>
        <w:t>2</w:t>
      </w:r>
      <w:r w:rsidRPr="00961E0F">
        <w:rPr>
          <w:color w:val="000000"/>
          <w:szCs w:val="22"/>
          <w:lang w:val="fr-FR"/>
        </w:rPr>
        <w:t xml:space="preserve">). </w:t>
      </w:r>
      <w:r w:rsidR="009B6744" w:rsidRPr="00961E0F">
        <w:rPr>
          <w:color w:val="000000"/>
          <w:szCs w:val="22"/>
          <w:lang w:val="fr-FR"/>
        </w:rPr>
        <w:t>Dans les LAL Ph+, l</w:t>
      </w:r>
      <w:r w:rsidRPr="00961E0F">
        <w:rPr>
          <w:color w:val="000000"/>
          <w:szCs w:val="22"/>
          <w:lang w:val="fr-FR"/>
        </w:rPr>
        <w:t>a dose journalière reco</w:t>
      </w:r>
      <w:r w:rsidR="009D7C59" w:rsidRPr="00961E0F">
        <w:rPr>
          <w:color w:val="000000"/>
          <w:szCs w:val="22"/>
          <w:lang w:val="fr-FR"/>
        </w:rPr>
        <w:t>mmandée chez l</w:t>
      </w:r>
      <w:r w:rsidR="00571676" w:rsidRPr="00961E0F">
        <w:rPr>
          <w:color w:val="000000"/>
          <w:szCs w:val="22"/>
          <w:lang w:val="fr-FR"/>
        </w:rPr>
        <w:t>’</w:t>
      </w:r>
      <w:r w:rsidR="009D7C59" w:rsidRPr="00961E0F">
        <w:rPr>
          <w:color w:val="000000"/>
          <w:szCs w:val="22"/>
          <w:lang w:val="fr-FR"/>
        </w:rPr>
        <w:t>enfant est de 340 </w:t>
      </w:r>
      <w:r w:rsidRPr="00961E0F">
        <w:rPr>
          <w:color w:val="000000"/>
          <w:szCs w:val="22"/>
          <w:lang w:val="fr-FR"/>
        </w:rPr>
        <w:t>mg/m</w:t>
      </w:r>
      <w:r w:rsidRPr="00961E0F">
        <w:rPr>
          <w:color w:val="000000"/>
          <w:szCs w:val="22"/>
          <w:vertAlign w:val="superscript"/>
          <w:lang w:val="fr-FR"/>
        </w:rPr>
        <w:t>2</w:t>
      </w:r>
      <w:r w:rsidRPr="00961E0F">
        <w:rPr>
          <w:color w:val="000000"/>
          <w:szCs w:val="22"/>
          <w:lang w:val="fr-FR"/>
        </w:rPr>
        <w:t xml:space="preserve"> (</w:t>
      </w:r>
      <w:r w:rsidR="009B6744" w:rsidRPr="00961E0F">
        <w:rPr>
          <w:color w:val="000000"/>
          <w:szCs w:val="22"/>
          <w:lang w:val="fr-FR"/>
        </w:rPr>
        <w:t>sans</w:t>
      </w:r>
      <w:r w:rsidRPr="00961E0F">
        <w:rPr>
          <w:color w:val="000000"/>
          <w:szCs w:val="22"/>
          <w:lang w:val="fr-FR"/>
        </w:rPr>
        <w:t xml:space="preserve"> dépasser une dose totale de 6</w:t>
      </w:r>
      <w:r w:rsidR="009D7C59" w:rsidRPr="00961E0F">
        <w:rPr>
          <w:color w:val="000000"/>
          <w:szCs w:val="22"/>
          <w:lang w:val="fr-FR"/>
        </w:rPr>
        <w:t>00 </w:t>
      </w:r>
      <w:r w:rsidRPr="00961E0F">
        <w:rPr>
          <w:color w:val="000000"/>
          <w:szCs w:val="22"/>
          <w:lang w:val="fr-FR"/>
        </w:rPr>
        <w:t>mg).</w:t>
      </w:r>
    </w:p>
    <w:p w14:paraId="4D9B8C73" w14:textId="77777777" w:rsidR="0067643D" w:rsidRPr="00961E0F" w:rsidRDefault="0067643D">
      <w:pPr>
        <w:pStyle w:val="EndnoteText"/>
        <w:widowControl w:val="0"/>
        <w:tabs>
          <w:tab w:val="clear" w:pos="567"/>
        </w:tabs>
        <w:rPr>
          <w:color w:val="000000"/>
          <w:szCs w:val="22"/>
          <w:lang w:val="fr-FR"/>
        </w:rPr>
      </w:pPr>
    </w:p>
    <w:p w14:paraId="6368041F"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 xml:space="preserve">Posologie dans les </w:t>
      </w:r>
      <w:smartTag w:uri="urn:schemas-microsoft-com:office:smarttags" w:element="stockticker">
        <w:r w:rsidRPr="00961E0F">
          <w:rPr>
            <w:color w:val="000000"/>
            <w:szCs w:val="22"/>
            <w:u w:val="single"/>
            <w:lang w:val="fr-FR"/>
          </w:rPr>
          <w:t>SMD</w:t>
        </w:r>
      </w:smartTag>
      <w:r w:rsidRPr="00961E0F">
        <w:rPr>
          <w:color w:val="000000"/>
          <w:szCs w:val="22"/>
          <w:u w:val="single"/>
          <w:lang w:val="fr-FR"/>
        </w:rPr>
        <w:t>/</w:t>
      </w:r>
      <w:smartTag w:uri="urn:schemas-microsoft-com:office:smarttags" w:element="stockticker">
        <w:r w:rsidRPr="00961E0F">
          <w:rPr>
            <w:color w:val="000000"/>
            <w:szCs w:val="22"/>
            <w:u w:val="single"/>
            <w:lang w:val="fr-FR"/>
          </w:rPr>
          <w:t>SMP</w:t>
        </w:r>
      </w:smartTag>
    </w:p>
    <w:p w14:paraId="28730C2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posologie recommandée de Glivec est de 400 mg/jour chez les patients adultes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w:t>
      </w:r>
    </w:p>
    <w:p w14:paraId="60A512EC" w14:textId="77777777" w:rsidR="007D642D" w:rsidRPr="00961E0F" w:rsidRDefault="007D642D">
      <w:pPr>
        <w:pStyle w:val="EndnoteText"/>
        <w:widowControl w:val="0"/>
        <w:tabs>
          <w:tab w:val="clear" w:pos="567"/>
        </w:tabs>
        <w:rPr>
          <w:color w:val="000000"/>
          <w:szCs w:val="22"/>
          <w:lang w:val="fr-FR"/>
        </w:rPr>
      </w:pPr>
    </w:p>
    <w:p w14:paraId="37D3C5C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durée de traitement : dans l’unique étude clinique menée à ce jour, le traitement par Glivec a été poursuivi jusqu’à la progression de la maladie (voir rubrique 5.1). A la date de l’analyse, la durée médiane de traitement était de 47 mois (24 jours à 60 mois).</w:t>
      </w:r>
    </w:p>
    <w:p w14:paraId="5256EED5" w14:textId="77777777" w:rsidR="007D642D" w:rsidRPr="00961E0F" w:rsidRDefault="007D642D">
      <w:pPr>
        <w:pStyle w:val="EndnoteText"/>
        <w:widowControl w:val="0"/>
        <w:tabs>
          <w:tab w:val="clear" w:pos="567"/>
        </w:tabs>
        <w:rPr>
          <w:color w:val="000000"/>
          <w:szCs w:val="22"/>
          <w:lang w:val="fr-FR"/>
        </w:rPr>
      </w:pPr>
    </w:p>
    <w:p w14:paraId="6C153A2B"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SHE/LCE</w:t>
      </w:r>
    </w:p>
    <w:p w14:paraId="056566D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recommandée de Glivec est de 100 mg/jour chez les patients adultes atteints de SHE/LCE.</w:t>
      </w:r>
    </w:p>
    <w:p w14:paraId="1E269960" w14:textId="77777777" w:rsidR="007D642D" w:rsidRPr="00961E0F" w:rsidRDefault="007D642D">
      <w:pPr>
        <w:pStyle w:val="EndnoteText"/>
        <w:widowControl w:val="0"/>
        <w:tabs>
          <w:tab w:val="clear" w:pos="567"/>
        </w:tabs>
        <w:rPr>
          <w:color w:val="000000"/>
          <w:szCs w:val="22"/>
          <w:lang w:val="fr-FR"/>
        </w:rPr>
      </w:pPr>
    </w:p>
    <w:p w14:paraId="49D6C0DB" w14:textId="77777777" w:rsidR="007D642D" w:rsidRPr="00961E0F" w:rsidRDefault="007D642D">
      <w:pPr>
        <w:pStyle w:val="EndnoteText"/>
        <w:widowControl w:val="0"/>
        <w:tabs>
          <w:tab w:val="clear" w:pos="567"/>
        </w:tabs>
        <w:rPr>
          <w:rFonts w:eastAsia="MS Mincho"/>
          <w:color w:val="000000"/>
          <w:szCs w:val="22"/>
          <w:lang w:val="fr-FR" w:eastAsia="ja-JP"/>
        </w:rPr>
      </w:pPr>
      <w:r w:rsidRPr="00961E0F">
        <w:rPr>
          <w:color w:val="000000"/>
          <w:lang w:val="fr-FR"/>
        </w:rPr>
        <w:t>Une augmentation de dose de 100 mg à 400 mg chez ces patients peut être envisagée si la réponse au traitement est insuffisante et en l’absence d’effets indésirables</w:t>
      </w:r>
      <w:r w:rsidRPr="00961E0F">
        <w:rPr>
          <w:rFonts w:eastAsia="MS Mincho"/>
          <w:color w:val="000000"/>
          <w:szCs w:val="22"/>
          <w:lang w:val="fr-FR" w:eastAsia="ja-JP"/>
        </w:rPr>
        <w:t>.</w:t>
      </w:r>
    </w:p>
    <w:p w14:paraId="4EB16840" w14:textId="77777777" w:rsidR="007D642D" w:rsidRPr="00961E0F" w:rsidRDefault="007D642D">
      <w:pPr>
        <w:pStyle w:val="EndnoteText"/>
        <w:widowControl w:val="0"/>
        <w:tabs>
          <w:tab w:val="clear" w:pos="567"/>
        </w:tabs>
        <w:rPr>
          <w:rFonts w:eastAsia="MS Mincho"/>
          <w:color w:val="000000"/>
          <w:szCs w:val="22"/>
          <w:lang w:val="fr-FR" w:eastAsia="ja-JP"/>
        </w:rPr>
      </w:pPr>
    </w:p>
    <w:p w14:paraId="06F93F29" w14:textId="77777777" w:rsidR="007D642D" w:rsidRPr="00961E0F" w:rsidRDefault="007D642D">
      <w:pPr>
        <w:pStyle w:val="EndnoteText"/>
        <w:widowControl w:val="0"/>
        <w:tabs>
          <w:tab w:val="clear" w:pos="567"/>
        </w:tabs>
        <w:rPr>
          <w:color w:val="000000"/>
          <w:szCs w:val="22"/>
          <w:lang w:val="fr-FR"/>
        </w:rPr>
      </w:pPr>
      <w:r w:rsidRPr="00961E0F">
        <w:rPr>
          <w:rFonts w:eastAsia="MS Mincho"/>
          <w:color w:val="000000"/>
          <w:szCs w:val="22"/>
          <w:lang w:val="fr-FR" w:eastAsia="ja-JP"/>
        </w:rPr>
        <w:t>Le traitement doit être poursuivi aussi longtemps qu’il est bénéfique pour le patient.</w:t>
      </w:r>
    </w:p>
    <w:p w14:paraId="22F8CE8E" w14:textId="77777777" w:rsidR="007D642D" w:rsidRPr="00961E0F" w:rsidRDefault="007D642D">
      <w:pPr>
        <w:pStyle w:val="EndnoteText"/>
        <w:widowControl w:val="0"/>
        <w:tabs>
          <w:tab w:val="clear" w:pos="567"/>
        </w:tabs>
        <w:rPr>
          <w:color w:val="000000"/>
          <w:szCs w:val="22"/>
          <w:lang w:val="fr-FR"/>
        </w:rPr>
      </w:pPr>
    </w:p>
    <w:p w14:paraId="3E18DC14"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GIST</w:t>
      </w:r>
    </w:p>
    <w:p w14:paraId="5ABFB17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Patients adultes atteints de GIST malignes non résécables et/ou métastatiques : la posologie recommandée est de 400 mg/j.</w:t>
      </w:r>
    </w:p>
    <w:p w14:paraId="0708505E" w14:textId="77777777" w:rsidR="007D642D" w:rsidRPr="00961E0F" w:rsidRDefault="007D642D">
      <w:pPr>
        <w:pStyle w:val="EndnoteText"/>
        <w:widowControl w:val="0"/>
        <w:tabs>
          <w:tab w:val="clear" w:pos="567"/>
        </w:tabs>
        <w:rPr>
          <w:color w:val="000000"/>
          <w:szCs w:val="22"/>
          <w:lang w:val="fr-FR"/>
        </w:rPr>
      </w:pPr>
    </w:p>
    <w:p w14:paraId="64FFDEB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données concernant l’effet de l’augmentation des doses de 400 mg à 600 mg ou 800 mg chez des </w:t>
      </w:r>
      <w:r w:rsidRPr="00961E0F">
        <w:rPr>
          <w:color w:val="000000"/>
          <w:szCs w:val="22"/>
          <w:lang w:val="fr-FR"/>
        </w:rPr>
        <w:lastRenderedPageBreak/>
        <w:t>patients en progression lorsqu’ils sont traités à la plus faible dose sont limitées (voir rubrique 5.1).</w:t>
      </w:r>
    </w:p>
    <w:p w14:paraId="47101801" w14:textId="77777777" w:rsidR="007D642D" w:rsidRPr="00961E0F" w:rsidRDefault="007D642D">
      <w:pPr>
        <w:pStyle w:val="EndnoteText"/>
        <w:widowControl w:val="0"/>
        <w:tabs>
          <w:tab w:val="clear" w:pos="567"/>
        </w:tabs>
        <w:rPr>
          <w:color w:val="000000"/>
          <w:szCs w:val="22"/>
          <w:lang w:val="fr-FR"/>
        </w:rPr>
      </w:pPr>
    </w:p>
    <w:p w14:paraId="4F75AC1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Durée du traitement : dans les études cliniques menées chez des patients atteints de GIST, le traitement par Glivec a été poursuivi jusqu’à la progression de la maladie. A la date de l’analyse, la durée médiane de traitement était de 7 mois (7 jours à 13 mois). L’effet de l’arrêt du traitement après l’obtention d’une réponse n’a pas été étudié.</w:t>
      </w:r>
    </w:p>
    <w:p w14:paraId="7056C983" w14:textId="77777777" w:rsidR="007D642D" w:rsidRPr="00961E0F" w:rsidRDefault="007D642D">
      <w:pPr>
        <w:pStyle w:val="EndnoteText"/>
        <w:widowControl w:val="0"/>
        <w:tabs>
          <w:tab w:val="clear" w:pos="567"/>
        </w:tabs>
        <w:rPr>
          <w:color w:val="000000"/>
          <w:szCs w:val="22"/>
          <w:lang w:val="fr-FR"/>
        </w:rPr>
      </w:pPr>
    </w:p>
    <w:p w14:paraId="4C7D8F6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recommandée de Glivec est de 400 mg par jour dans le traitement adjuvant des patients adultes après résection d’une tumeur stromale gastro-intestinale (GIST). La durée optimale de traitement n’a pas encore été établie. La durée de traitement dans les essais cliniques dans cette indication était de 36 mois (voir rubrique 5.1).</w:t>
      </w:r>
    </w:p>
    <w:p w14:paraId="07F3B3D9" w14:textId="77777777" w:rsidR="007D642D" w:rsidRPr="00961E0F" w:rsidRDefault="007D642D">
      <w:pPr>
        <w:pStyle w:val="EndnoteText"/>
        <w:widowControl w:val="0"/>
        <w:tabs>
          <w:tab w:val="clear" w:pos="567"/>
        </w:tabs>
        <w:rPr>
          <w:color w:val="000000"/>
          <w:szCs w:val="22"/>
          <w:lang w:val="fr-FR"/>
        </w:rPr>
      </w:pPr>
    </w:p>
    <w:p w14:paraId="2B47333F"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Posologie dans le DFSP</w:t>
      </w:r>
    </w:p>
    <w:p w14:paraId="6585C03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posologie recommandée de Glivec est de 800 mg/jour chez les patients adultes atteints de DFSP.</w:t>
      </w:r>
    </w:p>
    <w:p w14:paraId="572AFC81" w14:textId="77777777" w:rsidR="007D642D" w:rsidRPr="00961E0F" w:rsidRDefault="007D642D">
      <w:pPr>
        <w:pStyle w:val="EndnoteText"/>
        <w:widowControl w:val="0"/>
        <w:tabs>
          <w:tab w:val="clear" w:pos="567"/>
        </w:tabs>
        <w:rPr>
          <w:color w:val="000000"/>
          <w:szCs w:val="22"/>
          <w:lang w:val="fr-FR"/>
        </w:rPr>
      </w:pPr>
    </w:p>
    <w:p w14:paraId="2725BF80"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Ajustement de la posologie en cas d'effets indésirables</w:t>
      </w:r>
    </w:p>
    <w:p w14:paraId="6E3054C8" w14:textId="77777777" w:rsidR="007D642D" w:rsidRPr="00961E0F" w:rsidRDefault="007D642D" w:rsidP="00B15424">
      <w:pPr>
        <w:pStyle w:val="EndnoteText"/>
        <w:keepNext/>
        <w:widowControl w:val="0"/>
        <w:tabs>
          <w:tab w:val="clear" w:pos="567"/>
        </w:tabs>
        <w:rPr>
          <w:i/>
          <w:color w:val="000000"/>
          <w:szCs w:val="22"/>
          <w:lang w:val="fr-FR"/>
        </w:rPr>
      </w:pPr>
      <w:r w:rsidRPr="00961E0F">
        <w:rPr>
          <w:i/>
          <w:color w:val="000000"/>
          <w:szCs w:val="22"/>
          <w:lang w:val="fr-FR"/>
        </w:rPr>
        <w:t>Effets indésirables extra-hématologiques</w:t>
      </w:r>
    </w:p>
    <w:p w14:paraId="4F31813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cas de survenue d’un effet indésirable extra-hématologique sévère, le traitement par Glivec doit être interrompu jusqu'à résolution de l'événement. Le traitement peut ensuite être repris de manière appropriée en fonction de la sévérité initiale de l'événement.</w:t>
      </w:r>
    </w:p>
    <w:p w14:paraId="39368E2B" w14:textId="77777777" w:rsidR="007D642D" w:rsidRPr="00961E0F" w:rsidRDefault="007D642D">
      <w:pPr>
        <w:pStyle w:val="EndnoteText"/>
        <w:widowControl w:val="0"/>
        <w:tabs>
          <w:tab w:val="clear" w:pos="567"/>
        </w:tabs>
        <w:rPr>
          <w:color w:val="000000"/>
          <w:szCs w:val="22"/>
          <w:lang w:val="fr-FR"/>
        </w:rPr>
      </w:pPr>
    </w:p>
    <w:p w14:paraId="7CF8DF2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En cas d’élévation de la bilirubine &gt; 3 x la limite supérieure de la normale (LSN) fournie par le laboratoire d’analyses ou des transaminases &gt; 5 x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Glivec doit être interrompu jusqu’à un retour de la bilirubine à un taux &lt; 1,5 x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des transaminases à un taux &lt; 2,5 x </w:t>
      </w:r>
      <w:smartTag w:uri="urn:schemas-microsoft-com:office:smarttags" w:element="PersonName">
        <w:smartTagPr>
          <w:attr w:name="ProductID" w:val="la LSN. Le"/>
        </w:smartTagPr>
        <w:r w:rsidRPr="00961E0F">
          <w:rPr>
            <w:color w:val="000000"/>
            <w:szCs w:val="22"/>
            <w:lang w:val="fr-FR"/>
          </w:rPr>
          <w:t>la LSN. Le</w:t>
        </w:r>
      </w:smartTag>
      <w:r w:rsidRPr="00961E0F">
        <w:rPr>
          <w:color w:val="000000"/>
          <w:szCs w:val="22"/>
          <w:lang w:val="fr-FR"/>
        </w:rPr>
        <w:t xml:space="preserve"> traitement peut alors être repris à dose réduite chez l’adulte, la dose sera diminuée de 400 à 300 mg ou de 600 à 400 mg ou de 800 mg à 600 mg, et chez l’enfant la dose sera diminuée de 340 à 260 mg/m</w:t>
      </w:r>
      <w:r w:rsidRPr="00961E0F">
        <w:rPr>
          <w:color w:val="000000"/>
          <w:szCs w:val="22"/>
          <w:vertAlign w:val="superscript"/>
          <w:lang w:val="fr-FR"/>
        </w:rPr>
        <w:t>2</w:t>
      </w:r>
      <w:r w:rsidRPr="00961E0F">
        <w:rPr>
          <w:color w:val="000000"/>
          <w:szCs w:val="22"/>
          <w:lang w:val="fr-FR"/>
        </w:rPr>
        <w:t>/jour.</w:t>
      </w:r>
    </w:p>
    <w:p w14:paraId="7295218C" w14:textId="77777777" w:rsidR="007D642D" w:rsidRPr="00961E0F" w:rsidRDefault="007D642D">
      <w:pPr>
        <w:pStyle w:val="EndnoteText"/>
        <w:widowControl w:val="0"/>
        <w:tabs>
          <w:tab w:val="clear" w:pos="567"/>
        </w:tabs>
        <w:rPr>
          <w:color w:val="000000"/>
          <w:szCs w:val="22"/>
          <w:lang w:val="fr-FR"/>
        </w:rPr>
      </w:pPr>
    </w:p>
    <w:p w14:paraId="5E34DDFC" w14:textId="77777777" w:rsidR="007D642D" w:rsidRPr="00961E0F" w:rsidRDefault="007D642D" w:rsidP="00B15424">
      <w:pPr>
        <w:pStyle w:val="EndnoteText"/>
        <w:keepNext/>
        <w:widowControl w:val="0"/>
        <w:tabs>
          <w:tab w:val="clear" w:pos="567"/>
        </w:tabs>
        <w:rPr>
          <w:i/>
          <w:color w:val="000000"/>
          <w:szCs w:val="22"/>
          <w:lang w:val="fr-FR"/>
        </w:rPr>
      </w:pPr>
      <w:r w:rsidRPr="00961E0F">
        <w:rPr>
          <w:i/>
          <w:color w:val="000000"/>
          <w:szCs w:val="22"/>
          <w:lang w:val="fr-FR"/>
        </w:rPr>
        <w:t>Effets indésirables hématologiques</w:t>
      </w:r>
    </w:p>
    <w:p w14:paraId="2D34FC9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cas de neutropénie ou thrombopénie sévères, il est recommandé de diminuer la dose ou d'interrompre le traitement conformément au tableau ci-dessous.</w:t>
      </w:r>
    </w:p>
    <w:p w14:paraId="64CA0F5B" w14:textId="77777777" w:rsidR="007D642D" w:rsidRPr="00961E0F" w:rsidRDefault="007D642D">
      <w:pPr>
        <w:pStyle w:val="EndnoteText"/>
        <w:widowControl w:val="0"/>
        <w:tabs>
          <w:tab w:val="clear" w:pos="567"/>
        </w:tabs>
        <w:rPr>
          <w:color w:val="000000"/>
          <w:szCs w:val="22"/>
          <w:lang w:val="fr-FR"/>
        </w:rPr>
      </w:pPr>
    </w:p>
    <w:p w14:paraId="36BBF73E"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Ajustements de posologie en cas de neutropénie et de thrombocytopénie :</w:t>
      </w:r>
    </w:p>
    <w:p w14:paraId="6408CF8D" w14:textId="77777777" w:rsidR="007D642D" w:rsidRPr="00961E0F" w:rsidRDefault="007D642D" w:rsidP="00B15424">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7D642D" w:rsidRPr="00961E0F" w14:paraId="57885F6C" w14:textId="77777777" w:rsidTr="00B15424">
        <w:trPr>
          <w:cantSplit/>
        </w:trPr>
        <w:tc>
          <w:tcPr>
            <w:tcW w:w="2376" w:type="dxa"/>
          </w:tcPr>
          <w:p w14:paraId="410F3FB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SHE/LCE </w:t>
            </w:r>
            <w:r w:rsidRPr="00961E0F">
              <w:rPr>
                <w:color w:val="000000"/>
                <w:lang w:val="fr-FR"/>
              </w:rPr>
              <w:t>(dose initiale de 100 mg)</w:t>
            </w:r>
          </w:p>
        </w:tc>
        <w:tc>
          <w:tcPr>
            <w:tcW w:w="2400" w:type="dxa"/>
          </w:tcPr>
          <w:p w14:paraId="010D4EF8"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769B25A1"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38FF91C4"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Pr>
          <w:p w14:paraId="3F87F062"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5D1DB3D2"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tc>
      </w:tr>
      <w:tr w:rsidR="007D642D" w:rsidRPr="00961E0F" w14:paraId="3185E9DF" w14:textId="77777777" w:rsidTr="00B15424">
        <w:trPr>
          <w:cantSplit/>
        </w:trPr>
        <w:tc>
          <w:tcPr>
            <w:tcW w:w="2376" w:type="dxa"/>
          </w:tcPr>
          <w:p w14:paraId="25C18DC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LMC en phase chronique,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et GIST (dose initiale 400 mg)</w:t>
            </w:r>
          </w:p>
          <w:p w14:paraId="0D69A39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SHE/LCE (à la dose de 400 mg)</w:t>
            </w:r>
          </w:p>
        </w:tc>
        <w:tc>
          <w:tcPr>
            <w:tcW w:w="2400" w:type="dxa"/>
          </w:tcPr>
          <w:p w14:paraId="28B61247"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6BE804A2"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3F06A8B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&lt; 50 x 10</w:t>
            </w:r>
            <w:r w:rsidRPr="00961E0F">
              <w:rPr>
                <w:color w:val="000000"/>
                <w:szCs w:val="22"/>
                <w:vertAlign w:val="superscript"/>
                <w:lang w:val="fr-FR"/>
              </w:rPr>
              <w:t>9</w:t>
            </w:r>
            <w:r w:rsidRPr="00961E0F">
              <w:rPr>
                <w:color w:val="000000"/>
                <w:szCs w:val="22"/>
                <w:lang w:val="fr-FR"/>
              </w:rPr>
              <w:t>/l</w:t>
            </w:r>
          </w:p>
        </w:tc>
        <w:tc>
          <w:tcPr>
            <w:tcW w:w="4404" w:type="dxa"/>
          </w:tcPr>
          <w:p w14:paraId="7D829997"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164B2966"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p w14:paraId="5C7FE520" w14:textId="77777777" w:rsidR="007D642D" w:rsidRPr="00961E0F" w:rsidRDefault="007D642D">
            <w:pPr>
              <w:pStyle w:val="EndnoteText"/>
              <w:widowControl w:val="0"/>
              <w:tabs>
                <w:tab w:val="clear" w:pos="567"/>
              </w:tabs>
              <w:ind w:left="469" w:hanging="469"/>
              <w:rPr>
                <w:color w:val="000000"/>
                <w:szCs w:val="22"/>
                <w:lang w:val="fr-FR"/>
              </w:rPr>
            </w:pPr>
            <w:r w:rsidRPr="00961E0F">
              <w:rPr>
                <w:color w:val="000000"/>
                <w:szCs w:val="22"/>
                <w:lang w:val="fr-FR"/>
              </w:rPr>
              <w:t>3.</w:t>
            </w:r>
            <w:r w:rsidRPr="00961E0F">
              <w:rPr>
                <w:color w:val="000000"/>
                <w:szCs w:val="22"/>
                <w:lang w:val="fr-FR"/>
              </w:rPr>
              <w:tab/>
              <w:t>En cas de récidive de PN &lt; 1,0 x 10</w:t>
            </w:r>
            <w:r w:rsidRPr="00961E0F">
              <w:rPr>
                <w:color w:val="000000"/>
                <w:szCs w:val="22"/>
                <w:vertAlign w:val="superscript"/>
                <w:lang w:val="fr-FR"/>
              </w:rPr>
              <w:t>9</w:t>
            </w:r>
            <w:r w:rsidRPr="00961E0F">
              <w:rPr>
                <w:color w:val="000000"/>
                <w:szCs w:val="22"/>
                <w:lang w:val="fr-FR"/>
              </w:rPr>
              <w:t>/l et/ou plaquettes &lt; 50 x 10</w:t>
            </w:r>
            <w:r w:rsidRPr="00961E0F">
              <w:rPr>
                <w:color w:val="000000"/>
                <w:szCs w:val="22"/>
                <w:vertAlign w:val="superscript"/>
                <w:lang w:val="fr-FR"/>
              </w:rPr>
              <w:t>9</w:t>
            </w:r>
            <w:r w:rsidRPr="00961E0F">
              <w:rPr>
                <w:color w:val="000000"/>
                <w:szCs w:val="22"/>
                <w:lang w:val="fr-FR"/>
              </w:rPr>
              <w:t>/l, répéter l'étape 1 puis reprendre Glivec à la dose de 300 mg.</w:t>
            </w:r>
          </w:p>
        </w:tc>
      </w:tr>
      <w:tr w:rsidR="007D642D" w:rsidRPr="00961E0F" w14:paraId="72F1D6E4" w14:textId="77777777" w:rsidTr="00B15424">
        <w:trPr>
          <w:cantSplit/>
        </w:trPr>
        <w:tc>
          <w:tcPr>
            <w:tcW w:w="2376" w:type="dxa"/>
            <w:tcBorders>
              <w:bottom w:val="nil"/>
            </w:tcBorders>
          </w:tcPr>
          <w:p w14:paraId="7969E36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LMC en phase chronique en pédiatrie</w:t>
            </w:r>
          </w:p>
          <w:p w14:paraId="6E45ECF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(à la dose de 340 mg/m</w:t>
            </w:r>
            <w:r w:rsidRPr="00961E0F">
              <w:rPr>
                <w:color w:val="000000"/>
                <w:szCs w:val="22"/>
                <w:vertAlign w:val="superscript"/>
                <w:lang w:val="fr-FR"/>
              </w:rPr>
              <w:t>2</w:t>
            </w:r>
            <w:r w:rsidRPr="00961E0F">
              <w:rPr>
                <w:color w:val="000000"/>
                <w:szCs w:val="22"/>
                <w:lang w:val="fr-FR"/>
              </w:rPr>
              <w:t>)</w:t>
            </w:r>
          </w:p>
        </w:tc>
        <w:tc>
          <w:tcPr>
            <w:tcW w:w="2400" w:type="dxa"/>
            <w:tcBorders>
              <w:bottom w:val="nil"/>
            </w:tcBorders>
          </w:tcPr>
          <w:p w14:paraId="0BA18872"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4EFC2B7F"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3B1D75D0"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vertAlign w:val="superscript"/>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Borders>
              <w:bottom w:val="nil"/>
            </w:tcBorders>
          </w:tcPr>
          <w:p w14:paraId="743D7BC2"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75C1C173"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p w14:paraId="25276246"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En cas de récidive de 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et/ou 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répéter l'étape 1 puis reprendre Glivec à la dose de 260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tc>
      </w:tr>
      <w:tr w:rsidR="007D642D" w:rsidRPr="00961E0F" w14:paraId="6B351D71" w14:textId="77777777" w:rsidTr="00B15424">
        <w:trPr>
          <w:cantSplit/>
        </w:trPr>
        <w:tc>
          <w:tcPr>
            <w:tcW w:w="2376" w:type="dxa"/>
            <w:tcBorders>
              <w:bottom w:val="nil"/>
            </w:tcBorders>
          </w:tcPr>
          <w:p w14:paraId="42CDE34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lastRenderedPageBreak/>
              <w:t>LMC en phase accélérée ou crise blastique et LAL Ph+ (dose initiale 600 mg)</w:t>
            </w:r>
          </w:p>
        </w:tc>
        <w:tc>
          <w:tcPr>
            <w:tcW w:w="2400" w:type="dxa"/>
            <w:tcBorders>
              <w:bottom w:val="nil"/>
            </w:tcBorders>
          </w:tcPr>
          <w:p w14:paraId="6F9453AF"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vertAlign w:val="superscript"/>
                <w:lang w:val="fr-FR"/>
              </w:rPr>
              <w:t>a</w:t>
            </w:r>
            <w:r w:rsidRPr="00961E0F">
              <w:rPr>
                <w:rFonts w:ascii="Times New Roman" w:hAnsi="Times New Roman"/>
                <w:color w:val="000000"/>
                <w:szCs w:val="22"/>
                <w:lang w:val="fr-FR"/>
              </w:rPr>
              <w:t>PN &lt; 0,5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285B5251"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5271BD1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&lt; 10 x 10</w:t>
            </w:r>
            <w:r w:rsidRPr="00961E0F">
              <w:rPr>
                <w:color w:val="000000"/>
                <w:szCs w:val="22"/>
                <w:vertAlign w:val="superscript"/>
                <w:lang w:val="fr-FR"/>
              </w:rPr>
              <w:t>9</w:t>
            </w:r>
            <w:r w:rsidRPr="00961E0F">
              <w:rPr>
                <w:color w:val="000000"/>
                <w:szCs w:val="22"/>
                <w:lang w:val="fr-FR"/>
              </w:rPr>
              <w:t>/l</w:t>
            </w:r>
          </w:p>
        </w:tc>
        <w:tc>
          <w:tcPr>
            <w:tcW w:w="4404" w:type="dxa"/>
            <w:tcBorders>
              <w:bottom w:val="nil"/>
            </w:tcBorders>
          </w:tcPr>
          <w:p w14:paraId="706F5EF6"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Vérifier si la cytopénie est imputable à la leucémie (ponction ou biopsie médullaire).</w:t>
            </w:r>
          </w:p>
          <w:p w14:paraId="7B9AF422"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Si la cytopénie n'est pas imputable à la leucémie, diminuer la dose de Glivec à 400 mg.</w:t>
            </w:r>
          </w:p>
          <w:p w14:paraId="0294A46E"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Si la cytopénie persiste pendant 2 semaines, diminuer encore la dose à 300 mg.</w:t>
            </w:r>
          </w:p>
          <w:p w14:paraId="1B74CEFA" w14:textId="77777777" w:rsidR="007D642D" w:rsidRPr="00961E0F" w:rsidRDefault="007D642D">
            <w:pPr>
              <w:pStyle w:val="EndnoteText"/>
              <w:widowControl w:val="0"/>
              <w:tabs>
                <w:tab w:val="clear" w:pos="567"/>
              </w:tabs>
              <w:ind w:left="469" w:hanging="469"/>
              <w:rPr>
                <w:color w:val="000000"/>
                <w:szCs w:val="22"/>
                <w:lang w:val="fr-FR"/>
              </w:rPr>
            </w:pPr>
            <w:r w:rsidRPr="00961E0F">
              <w:rPr>
                <w:color w:val="000000"/>
                <w:szCs w:val="22"/>
                <w:lang w:val="fr-FR"/>
              </w:rPr>
              <w:t>4.</w:t>
            </w:r>
            <w:r w:rsidRPr="00961E0F">
              <w:rPr>
                <w:color w:val="000000"/>
                <w:szCs w:val="22"/>
                <w:lang w:val="fr-FR"/>
              </w:rPr>
              <w:tab/>
              <w:t xml:space="preserve">Si la cytopénie persiste pendant 4 semaines et n'est toujours pas imputable à la leucémie, arrêter Glivec jusqu'à ce que PN </w:t>
            </w:r>
            <w:r w:rsidRPr="00961E0F">
              <w:rPr>
                <w:color w:val="000000"/>
                <w:szCs w:val="22"/>
                <w:lang w:val="fr-FR"/>
              </w:rPr>
              <w:sym w:font="Symbol" w:char="F0B3"/>
            </w:r>
            <w:r w:rsidRPr="00961E0F">
              <w:rPr>
                <w:color w:val="000000"/>
                <w:szCs w:val="22"/>
                <w:lang w:val="fr-FR"/>
              </w:rPr>
              <w:t> 1 x 10</w:t>
            </w:r>
            <w:r w:rsidRPr="00961E0F">
              <w:rPr>
                <w:color w:val="000000"/>
                <w:szCs w:val="22"/>
                <w:vertAlign w:val="superscript"/>
                <w:lang w:val="fr-FR"/>
              </w:rPr>
              <w:t>9</w:t>
            </w:r>
            <w:r w:rsidRPr="00961E0F">
              <w:rPr>
                <w:color w:val="000000"/>
                <w:szCs w:val="22"/>
                <w:lang w:val="fr-FR"/>
              </w:rPr>
              <w:t xml:space="preserve">/l et plaquettes </w:t>
            </w:r>
            <w:r w:rsidRPr="00961E0F">
              <w:rPr>
                <w:color w:val="000000"/>
                <w:szCs w:val="22"/>
                <w:lang w:val="fr-FR"/>
              </w:rPr>
              <w:sym w:font="Symbol" w:char="F0B3"/>
            </w:r>
            <w:r w:rsidRPr="00961E0F">
              <w:rPr>
                <w:color w:val="000000"/>
                <w:szCs w:val="22"/>
                <w:lang w:val="fr-FR"/>
              </w:rPr>
              <w:t> 20 x 10</w:t>
            </w:r>
            <w:r w:rsidRPr="00961E0F">
              <w:rPr>
                <w:color w:val="000000"/>
                <w:szCs w:val="22"/>
                <w:vertAlign w:val="superscript"/>
                <w:lang w:val="fr-FR"/>
              </w:rPr>
              <w:t>9</w:t>
            </w:r>
            <w:r w:rsidRPr="00961E0F">
              <w:rPr>
                <w:color w:val="000000"/>
                <w:szCs w:val="22"/>
                <w:lang w:val="fr-FR"/>
              </w:rPr>
              <w:t>/l, puis reprendre le traitement à 300 mg.</w:t>
            </w:r>
          </w:p>
        </w:tc>
      </w:tr>
      <w:tr w:rsidR="007D642D" w:rsidRPr="00961E0F" w14:paraId="318F8C3A" w14:textId="77777777" w:rsidTr="00B15424">
        <w:trPr>
          <w:cantSplit/>
        </w:trPr>
        <w:tc>
          <w:tcPr>
            <w:tcW w:w="2376" w:type="dxa"/>
            <w:tcBorders>
              <w:bottom w:val="nil"/>
            </w:tcBorders>
          </w:tcPr>
          <w:p w14:paraId="6FB779F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LMC en phase accélérée ou en crise blastique en pédiatrie</w:t>
            </w:r>
          </w:p>
          <w:p w14:paraId="6CCF447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(à la dose de 340 mg/m</w:t>
            </w:r>
            <w:r w:rsidRPr="00961E0F">
              <w:rPr>
                <w:color w:val="000000"/>
                <w:szCs w:val="22"/>
                <w:vertAlign w:val="superscript"/>
                <w:lang w:val="fr-FR"/>
              </w:rPr>
              <w:t>2</w:t>
            </w:r>
            <w:r w:rsidRPr="00961E0F">
              <w:rPr>
                <w:color w:val="000000"/>
                <w:szCs w:val="22"/>
                <w:lang w:val="fr-FR"/>
              </w:rPr>
              <w:t>)</w:t>
            </w:r>
          </w:p>
        </w:tc>
        <w:tc>
          <w:tcPr>
            <w:tcW w:w="2400" w:type="dxa"/>
            <w:tcBorders>
              <w:bottom w:val="nil"/>
            </w:tcBorders>
          </w:tcPr>
          <w:p w14:paraId="66823835"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color w:val="000000"/>
                <w:szCs w:val="22"/>
                <w:vertAlign w:val="superscript"/>
                <w:lang w:val="fr-FR"/>
              </w:rPr>
              <w:t>a</w:t>
            </w:r>
            <w:r w:rsidRPr="00961E0F">
              <w:rPr>
                <w:rFonts w:ascii="Times New Roman" w:hAnsi="Times New Roman"/>
                <w:color w:val="000000"/>
                <w:szCs w:val="22"/>
                <w:lang w:val="fr-FR"/>
              </w:rPr>
              <w:t>PN &lt; 0,5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2CB34543"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7474E66A"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vertAlign w:val="superscript"/>
                <w:lang w:val="fr-FR"/>
              </w:rPr>
            </w:pPr>
            <w:r w:rsidRPr="00961E0F">
              <w:rPr>
                <w:rFonts w:ascii="Times New Roman" w:hAnsi="Times New Roman"/>
                <w:color w:val="000000"/>
                <w:szCs w:val="22"/>
                <w:lang w:val="fr-FR"/>
              </w:rPr>
              <w:t>plaquettes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Borders>
              <w:bottom w:val="nil"/>
            </w:tcBorders>
          </w:tcPr>
          <w:p w14:paraId="43B870DC"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Vérifier si la cytopénie est imputable à la leucémie (ponction ou biopsie médullaire).</w:t>
            </w:r>
          </w:p>
          <w:p w14:paraId="15CE879C"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Si la cytopénie n'est pas imputable à la leucémie, diminuer la dose de Glivec à 260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p w14:paraId="2F351D6D"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Si la cytopénie persiste pendant 2 semaines, diminuer encore la dose à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p w14:paraId="23B6A974"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4.</w:t>
            </w:r>
            <w:r w:rsidRPr="00961E0F">
              <w:rPr>
                <w:rFonts w:ascii="Times New Roman" w:hAnsi="Times New Roman"/>
                <w:color w:val="000000"/>
                <w:szCs w:val="22"/>
                <w:lang w:val="fr-FR"/>
              </w:rPr>
              <w:tab/>
              <w:t xml:space="preserve">Si la cytopénie persiste pendant 4 semaines et n'est toujours pas imputable à la leucémie, 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20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puis reprendre le traitement à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tc>
      </w:tr>
      <w:tr w:rsidR="007D642D" w:rsidRPr="00961E0F" w14:paraId="18E8043E" w14:textId="77777777" w:rsidTr="00B15424">
        <w:trPr>
          <w:cantSplit/>
        </w:trPr>
        <w:tc>
          <w:tcPr>
            <w:tcW w:w="2376" w:type="dxa"/>
            <w:tcBorders>
              <w:bottom w:val="nil"/>
            </w:tcBorders>
          </w:tcPr>
          <w:p w14:paraId="6B0352AD"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DFSP</w:t>
            </w:r>
          </w:p>
          <w:p w14:paraId="7987AD3B"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(à la dose de 800 mg)</w:t>
            </w:r>
          </w:p>
        </w:tc>
        <w:tc>
          <w:tcPr>
            <w:tcW w:w="2400" w:type="dxa"/>
            <w:tcBorders>
              <w:bottom w:val="nil"/>
            </w:tcBorders>
          </w:tcPr>
          <w:p w14:paraId="650DB056" w14:textId="77777777" w:rsidR="007D642D" w:rsidRPr="00961E0F" w:rsidRDefault="007D642D" w:rsidP="00B15424">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5932AF7A" w14:textId="77777777" w:rsidR="007D642D" w:rsidRPr="00961E0F" w:rsidRDefault="007D642D" w:rsidP="00B15424">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0882CC2B" w14:textId="77777777" w:rsidR="007D642D" w:rsidRPr="00961E0F" w:rsidRDefault="007D642D" w:rsidP="00B15424">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1CDF2FDE" w14:textId="77777777" w:rsidR="007D642D" w:rsidRPr="00961E0F" w:rsidRDefault="007D642D" w:rsidP="00B15424">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p>
        </w:tc>
        <w:tc>
          <w:tcPr>
            <w:tcW w:w="4404" w:type="dxa"/>
            <w:tcBorders>
              <w:bottom w:val="nil"/>
            </w:tcBorders>
          </w:tcPr>
          <w:p w14:paraId="393C0B80" w14:textId="77777777" w:rsidR="007D642D" w:rsidRPr="00961E0F" w:rsidRDefault="007D642D" w:rsidP="00B15424">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4F91FBA6" w14:textId="77777777" w:rsidR="007D642D" w:rsidRPr="00961E0F" w:rsidRDefault="007D642D" w:rsidP="00B15424">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de 600 mg.</w:t>
            </w:r>
          </w:p>
          <w:p w14:paraId="2E6FFA74" w14:textId="77777777" w:rsidR="007D642D" w:rsidRPr="00961E0F" w:rsidRDefault="007D642D" w:rsidP="00B15424">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En cas de récidive de 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et/ou 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répéter l'étape 1 puis reprendre Glivec à la dose réduite de 400 mg.</w:t>
            </w:r>
          </w:p>
        </w:tc>
      </w:tr>
      <w:tr w:rsidR="007D642D" w:rsidRPr="00961E0F" w14:paraId="0BDD102A" w14:textId="77777777" w:rsidTr="00B15424">
        <w:trPr>
          <w:cantSplit/>
        </w:trPr>
        <w:tc>
          <w:tcPr>
            <w:tcW w:w="9180" w:type="dxa"/>
            <w:gridSpan w:val="3"/>
            <w:tcBorders>
              <w:bottom w:val="nil"/>
            </w:tcBorders>
          </w:tcPr>
          <w:p w14:paraId="17F778AC" w14:textId="77777777" w:rsidR="007D642D" w:rsidRPr="00961E0F" w:rsidRDefault="007D642D" w:rsidP="00B15424">
            <w:pPr>
              <w:pStyle w:val="TableCarCarCarCarCarCarCarCarCar"/>
              <w:keepLines w:val="0"/>
              <w:widowControl w:val="0"/>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 Polynucléaires Neutrophiles</w:t>
            </w:r>
          </w:p>
        </w:tc>
      </w:tr>
      <w:tr w:rsidR="007D642D" w:rsidRPr="00961E0F" w14:paraId="3A9A57A6" w14:textId="77777777" w:rsidTr="00B15424">
        <w:trPr>
          <w:cantSplit/>
        </w:trPr>
        <w:tc>
          <w:tcPr>
            <w:tcW w:w="9180" w:type="dxa"/>
            <w:gridSpan w:val="3"/>
            <w:tcBorders>
              <w:top w:val="nil"/>
            </w:tcBorders>
          </w:tcPr>
          <w:p w14:paraId="3AC1DF25" w14:textId="77777777" w:rsidR="007D642D" w:rsidRPr="00961E0F" w:rsidRDefault="007D642D">
            <w:pPr>
              <w:pStyle w:val="EndnoteText"/>
              <w:widowControl w:val="0"/>
              <w:tabs>
                <w:tab w:val="clear" w:pos="567"/>
              </w:tabs>
              <w:ind w:left="284" w:hanging="284"/>
              <w:rPr>
                <w:color w:val="000000"/>
                <w:szCs w:val="22"/>
                <w:lang w:val="fr-FR"/>
              </w:rPr>
            </w:pPr>
            <w:r w:rsidRPr="00961E0F">
              <w:rPr>
                <w:color w:val="000000"/>
                <w:szCs w:val="22"/>
                <w:vertAlign w:val="superscript"/>
                <w:lang w:val="fr-FR"/>
              </w:rPr>
              <w:t>a</w:t>
            </w:r>
            <w:r w:rsidRPr="00961E0F">
              <w:rPr>
                <w:color w:val="000000"/>
                <w:szCs w:val="22"/>
                <w:lang w:val="fr-FR"/>
              </w:rPr>
              <w:t>survenant après au moins 1 mois de traitement</w:t>
            </w:r>
          </w:p>
        </w:tc>
      </w:tr>
    </w:tbl>
    <w:p w14:paraId="4E21408A" w14:textId="77777777" w:rsidR="007D642D" w:rsidRPr="00961E0F" w:rsidRDefault="007D642D">
      <w:pPr>
        <w:pStyle w:val="EndnoteText"/>
        <w:widowControl w:val="0"/>
        <w:tabs>
          <w:tab w:val="clear" w:pos="567"/>
        </w:tabs>
        <w:rPr>
          <w:color w:val="000000"/>
          <w:szCs w:val="22"/>
          <w:lang w:val="fr-FR"/>
        </w:rPr>
      </w:pPr>
    </w:p>
    <w:p w14:paraId="6CB5C1AD"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Populations spéciales</w:t>
      </w:r>
    </w:p>
    <w:p w14:paraId="13D3F7FF"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Enfant :</w:t>
      </w:r>
      <w:r w:rsidRPr="00961E0F">
        <w:rPr>
          <w:color w:val="000000"/>
          <w:szCs w:val="22"/>
          <w:lang w:val="fr-FR"/>
        </w:rPr>
        <w:t xml:space="preserve"> Il n’y a pas d’expérience chez l’enfant de moins de 2 ans</w:t>
      </w:r>
      <w:r w:rsidR="002D7A0F" w:rsidRPr="00961E0F">
        <w:rPr>
          <w:color w:val="000000"/>
          <w:szCs w:val="22"/>
          <w:lang w:val="fr-FR"/>
        </w:rPr>
        <w:t xml:space="preserve"> </w:t>
      </w:r>
      <w:r w:rsidR="00C977C3" w:rsidRPr="00961E0F">
        <w:rPr>
          <w:color w:val="000000"/>
          <w:szCs w:val="22"/>
          <w:lang w:val="fr-FR"/>
        </w:rPr>
        <w:t xml:space="preserve">atteint de LMC </w:t>
      </w:r>
      <w:r w:rsidR="002D7A0F" w:rsidRPr="00961E0F">
        <w:rPr>
          <w:color w:val="000000"/>
          <w:szCs w:val="22"/>
          <w:lang w:val="fr-FR"/>
        </w:rPr>
        <w:t>et</w:t>
      </w:r>
      <w:r w:rsidR="00C977C3" w:rsidRPr="00961E0F">
        <w:rPr>
          <w:color w:val="000000"/>
          <w:szCs w:val="22"/>
          <w:lang w:val="fr-FR"/>
        </w:rPr>
        <w:t xml:space="preserve"> chez l’enfant de moins d</w:t>
      </w:r>
      <w:r w:rsidR="009B6744" w:rsidRPr="00961E0F">
        <w:rPr>
          <w:color w:val="000000"/>
          <w:szCs w:val="22"/>
          <w:lang w:val="fr-FR"/>
        </w:rPr>
        <w:t>’un</w:t>
      </w:r>
      <w:r w:rsidR="00C977C3" w:rsidRPr="00961E0F">
        <w:rPr>
          <w:color w:val="000000"/>
          <w:szCs w:val="22"/>
          <w:lang w:val="fr-FR"/>
        </w:rPr>
        <w:t> an atteint de</w:t>
      </w:r>
      <w:r w:rsidR="002D7A0F" w:rsidRPr="00961E0F">
        <w:rPr>
          <w:color w:val="000000"/>
          <w:szCs w:val="22"/>
          <w:lang w:val="fr-FR"/>
        </w:rPr>
        <w:t xml:space="preserve"> LAL</w:t>
      </w:r>
      <w:r w:rsidR="00C977C3" w:rsidRPr="00961E0F">
        <w:rPr>
          <w:color w:val="000000"/>
          <w:szCs w:val="22"/>
          <w:lang w:val="fr-FR"/>
        </w:rPr>
        <w:t> </w:t>
      </w:r>
      <w:r w:rsidR="002D7A0F" w:rsidRPr="00961E0F">
        <w:rPr>
          <w:color w:val="000000"/>
          <w:szCs w:val="22"/>
          <w:lang w:val="fr-FR"/>
        </w:rPr>
        <w:t>Ph+</w:t>
      </w:r>
      <w:r w:rsidRPr="00961E0F">
        <w:rPr>
          <w:color w:val="000000"/>
          <w:szCs w:val="22"/>
          <w:lang w:val="fr-FR"/>
        </w:rPr>
        <w:t xml:space="preserve"> (voir rubrique 5.1). L’expérience est très limitée chez l’enfant atteint de </w:t>
      </w:r>
      <w:smartTag w:uri="urn:schemas-microsoft-com:office:smarttags" w:element="stockticker">
        <w:r w:rsidRPr="00961E0F">
          <w:rPr>
            <w:color w:val="000000"/>
            <w:szCs w:val="22"/>
            <w:lang w:val="fr-FR"/>
          </w:rPr>
          <w:t>SMD</w:t>
        </w:r>
      </w:smartTag>
      <w:r w:rsidRPr="00961E0F">
        <w:rPr>
          <w:color w:val="000000"/>
          <w:szCs w:val="22"/>
          <w:lang w:val="fr-FR"/>
        </w:rPr>
        <w:t>/SMP, de DFSP, de GIST et de SHE/LCE.</w:t>
      </w:r>
    </w:p>
    <w:p w14:paraId="45DDA5B6" w14:textId="77777777" w:rsidR="007D642D" w:rsidRPr="00961E0F" w:rsidRDefault="007D642D">
      <w:pPr>
        <w:pStyle w:val="EndnoteText"/>
        <w:widowControl w:val="0"/>
        <w:tabs>
          <w:tab w:val="clear" w:pos="567"/>
        </w:tabs>
        <w:rPr>
          <w:color w:val="000000"/>
          <w:szCs w:val="22"/>
          <w:lang w:val="fr-FR"/>
        </w:rPr>
      </w:pPr>
    </w:p>
    <w:p w14:paraId="632B1A2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sécurité et l’efficatité de l’imatinib chez les enfants âgés de moins de 18 ans atteints de SMD/SMP, DFSP, GIST et SHE/LCE n’ont pas été établies par des études cliniques. Les données publiées actuellement disponibles sont résumées dans la rubrique 5.1 mais aucune recommandation sur la posologie ne peut être donnée.</w:t>
      </w:r>
    </w:p>
    <w:p w14:paraId="0797E8C6" w14:textId="77777777" w:rsidR="007D642D" w:rsidRPr="00961E0F" w:rsidRDefault="007D642D">
      <w:pPr>
        <w:pStyle w:val="EndnoteText"/>
        <w:widowControl w:val="0"/>
        <w:tabs>
          <w:tab w:val="clear" w:pos="567"/>
        </w:tabs>
        <w:rPr>
          <w:color w:val="000000"/>
          <w:szCs w:val="22"/>
          <w:lang w:val="fr-FR"/>
        </w:rPr>
      </w:pPr>
    </w:p>
    <w:p w14:paraId="69C99EC9"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Insuffisance hépatique :</w:t>
      </w:r>
      <w:r w:rsidRPr="00961E0F">
        <w:rPr>
          <w:color w:val="000000"/>
          <w:szCs w:val="22"/>
          <w:lang w:val="fr-FR"/>
        </w:rPr>
        <w:t xml:space="preserve"> L’imatinib est principalement métabolisé par le foie. Les patients présentant une altération de la fonction hépatique, légère, modérée ou importante devraient être traités à la dose minimale recommandée 400 mg. La dose peut être réduite si elle est mal tolérée (voir rubrique 4.4, 4.8 et 5.2).</w:t>
      </w:r>
    </w:p>
    <w:p w14:paraId="76DD8153" w14:textId="77777777" w:rsidR="007D642D" w:rsidRPr="00961E0F" w:rsidRDefault="007D642D">
      <w:pPr>
        <w:pStyle w:val="EndnoteText"/>
        <w:widowControl w:val="0"/>
        <w:tabs>
          <w:tab w:val="clear" w:pos="567"/>
        </w:tabs>
        <w:rPr>
          <w:color w:val="000000"/>
          <w:szCs w:val="22"/>
          <w:lang w:val="fr-FR"/>
        </w:rPr>
      </w:pPr>
    </w:p>
    <w:p w14:paraId="2AB7341B"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lastRenderedPageBreak/>
        <w:t>Classification des altérations hépatiques :</w:t>
      </w:r>
    </w:p>
    <w:p w14:paraId="5156B976" w14:textId="77777777" w:rsidR="007D642D" w:rsidRPr="00961E0F" w:rsidRDefault="007D642D" w:rsidP="00B15424">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6"/>
        <w:gridCol w:w="5494"/>
      </w:tblGrid>
      <w:tr w:rsidR="007D642D" w:rsidRPr="00961E0F" w14:paraId="6DD7300B" w14:textId="77777777" w:rsidTr="00B15424">
        <w:trPr>
          <w:cantSplit/>
        </w:trPr>
        <w:tc>
          <w:tcPr>
            <w:tcW w:w="3652" w:type="dxa"/>
          </w:tcPr>
          <w:p w14:paraId="0715D2EA"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Altération de la fonction hépatique</w:t>
            </w:r>
          </w:p>
        </w:tc>
        <w:tc>
          <w:tcPr>
            <w:tcW w:w="5634" w:type="dxa"/>
          </w:tcPr>
          <w:p w14:paraId="6B4915D3"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Tests de la fonction hépatique</w:t>
            </w:r>
          </w:p>
        </w:tc>
      </w:tr>
      <w:tr w:rsidR="007D642D" w:rsidRPr="00961E0F" w14:paraId="52E2580A" w14:textId="77777777" w:rsidTr="00B15424">
        <w:trPr>
          <w:cantSplit/>
        </w:trPr>
        <w:tc>
          <w:tcPr>
            <w:tcW w:w="3652" w:type="dxa"/>
          </w:tcPr>
          <w:p w14:paraId="735B0184"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Légere</w:t>
            </w:r>
          </w:p>
        </w:tc>
        <w:tc>
          <w:tcPr>
            <w:tcW w:w="5634" w:type="dxa"/>
          </w:tcPr>
          <w:p w14:paraId="055617F9"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de 1,5 fois </w:t>
            </w:r>
            <w:smartTag w:uri="urn:schemas-microsoft-com:office:smarttags" w:element="PersonName">
              <w:smartTagPr>
                <w:attr w:name="ProductID" w:val="la LSN ASAT"/>
              </w:smartTagPr>
              <w:r w:rsidRPr="00961E0F">
                <w:rPr>
                  <w:color w:val="000000"/>
                  <w:szCs w:val="22"/>
                  <w:lang w:val="fr-FR"/>
                </w:rPr>
                <w:t>la LSN ASAT</w:t>
              </w:r>
            </w:smartTag>
            <w:r w:rsidRPr="00961E0F">
              <w:rPr>
                <w:color w:val="000000"/>
                <w:szCs w:val="22"/>
                <w:lang w:val="fr-FR"/>
              </w:rPr>
              <w:t> : &gt; LSN (peut être normale ou &lt; LSN si la bilirubine totale est &gt; LSN)</w:t>
            </w:r>
          </w:p>
        </w:tc>
      </w:tr>
      <w:tr w:rsidR="007D642D" w:rsidRPr="00961E0F" w14:paraId="3AE892DF" w14:textId="77777777" w:rsidTr="00B15424">
        <w:trPr>
          <w:cantSplit/>
        </w:trPr>
        <w:tc>
          <w:tcPr>
            <w:tcW w:w="3652" w:type="dxa"/>
          </w:tcPr>
          <w:p w14:paraId="50585465"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Modérée</w:t>
            </w:r>
          </w:p>
        </w:tc>
        <w:tc>
          <w:tcPr>
            <w:tcW w:w="5634" w:type="dxa"/>
          </w:tcPr>
          <w:p w14:paraId="67AA7B95"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&gt; à 1,5 fois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&lt; 3,0 fois </w:t>
            </w:r>
            <w:smartTag w:uri="urn:schemas-microsoft-com:office:smarttags" w:element="PersonName">
              <w:smartTagPr>
                <w:attr w:name="ProductID" w:val="la LSN"/>
              </w:smartTagPr>
              <w:r w:rsidRPr="00961E0F">
                <w:rPr>
                  <w:color w:val="000000"/>
                  <w:szCs w:val="22"/>
                  <w:lang w:val="fr-FR"/>
                </w:rPr>
                <w:t>la LSN</w:t>
              </w:r>
            </w:smartTag>
          </w:p>
          <w:p w14:paraId="1253FB9E"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ASAT quelle que soit la valeur</w:t>
            </w:r>
          </w:p>
        </w:tc>
      </w:tr>
      <w:tr w:rsidR="007D642D" w:rsidRPr="00961E0F" w14:paraId="3F368B55" w14:textId="77777777" w:rsidTr="00B15424">
        <w:trPr>
          <w:cantSplit/>
        </w:trPr>
        <w:tc>
          <w:tcPr>
            <w:tcW w:w="3652" w:type="dxa"/>
          </w:tcPr>
          <w:p w14:paraId="075750E1"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Importante</w:t>
            </w:r>
          </w:p>
        </w:tc>
        <w:tc>
          <w:tcPr>
            <w:tcW w:w="5634" w:type="dxa"/>
          </w:tcPr>
          <w:p w14:paraId="3BC66F60"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&gt; 3,0 fois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&lt; 10 fois </w:t>
            </w:r>
            <w:smartTag w:uri="urn:schemas-microsoft-com:office:smarttags" w:element="PersonName">
              <w:smartTagPr>
                <w:attr w:name="ProductID" w:val="la LSN"/>
              </w:smartTagPr>
              <w:r w:rsidRPr="00961E0F">
                <w:rPr>
                  <w:color w:val="000000"/>
                  <w:szCs w:val="22"/>
                  <w:lang w:val="fr-FR"/>
                </w:rPr>
                <w:t>la LSN</w:t>
              </w:r>
            </w:smartTag>
          </w:p>
          <w:p w14:paraId="46AB9316"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ASAT quelle que soit la valeur</w:t>
            </w:r>
          </w:p>
        </w:tc>
      </w:tr>
    </w:tbl>
    <w:p w14:paraId="2A8C1BA4"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LSN : Limite supérieure de la normale du laboratoire</w:t>
      </w:r>
    </w:p>
    <w:p w14:paraId="5C0D1B4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ASAT : aspartate aminotransférase</w:t>
      </w:r>
    </w:p>
    <w:p w14:paraId="7DDD1FB4" w14:textId="77777777" w:rsidR="007D642D" w:rsidRPr="00961E0F" w:rsidRDefault="007D642D">
      <w:pPr>
        <w:pStyle w:val="EndnoteText"/>
        <w:widowControl w:val="0"/>
        <w:tabs>
          <w:tab w:val="clear" w:pos="567"/>
        </w:tabs>
        <w:rPr>
          <w:color w:val="000000"/>
          <w:szCs w:val="22"/>
          <w:lang w:val="fr-FR"/>
        </w:rPr>
      </w:pPr>
    </w:p>
    <w:p w14:paraId="27162837"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Insuffisance rénale :</w:t>
      </w:r>
      <w:r w:rsidRPr="00961E0F">
        <w:rPr>
          <w:color w:val="000000"/>
          <w:szCs w:val="22"/>
          <w:lang w:val="fr-FR"/>
        </w:rPr>
        <w:t xml:space="preserve"> Chez les patients présentant une altération de la fonction rénale ou sous dialyse, la dose initiale de traitement de 400 mg par jour est recommandée. Toutefois, la prudence est recommandée chez ces patients. La dose peut être réduite si elle est mal tolérée. Si elle est tolérée, la dose peut être augmentée en l’absence d’efficacité (voir rubrique 4.4 et 5.2).</w:t>
      </w:r>
    </w:p>
    <w:p w14:paraId="18118825" w14:textId="77777777" w:rsidR="007D642D" w:rsidRPr="00961E0F" w:rsidRDefault="007D642D">
      <w:pPr>
        <w:pStyle w:val="EndnoteText"/>
        <w:widowControl w:val="0"/>
        <w:tabs>
          <w:tab w:val="clear" w:pos="567"/>
        </w:tabs>
        <w:rPr>
          <w:color w:val="000000"/>
          <w:szCs w:val="22"/>
          <w:lang w:val="fr-FR"/>
        </w:rPr>
      </w:pPr>
    </w:p>
    <w:p w14:paraId="73A0B5D3" w14:textId="77777777" w:rsidR="007D642D" w:rsidRPr="00961E0F" w:rsidRDefault="00E8481F">
      <w:pPr>
        <w:pStyle w:val="EndnoteText"/>
        <w:widowControl w:val="0"/>
        <w:tabs>
          <w:tab w:val="clear" w:pos="567"/>
        </w:tabs>
        <w:rPr>
          <w:color w:val="000000"/>
          <w:szCs w:val="22"/>
          <w:lang w:val="fr-FR"/>
        </w:rPr>
      </w:pPr>
      <w:r w:rsidRPr="00961E0F">
        <w:rPr>
          <w:i/>
          <w:color w:val="000000"/>
          <w:szCs w:val="22"/>
          <w:lang w:val="fr-FR"/>
        </w:rPr>
        <w:t>Personnes âgées</w:t>
      </w:r>
      <w:r w:rsidR="007D642D" w:rsidRPr="00961E0F">
        <w:rPr>
          <w:i/>
          <w:color w:val="000000"/>
          <w:szCs w:val="22"/>
          <w:lang w:val="fr-FR"/>
        </w:rPr>
        <w:t> :</w:t>
      </w:r>
      <w:r w:rsidR="007D642D" w:rsidRPr="00961E0F">
        <w:rPr>
          <w:color w:val="000000"/>
          <w:szCs w:val="22"/>
          <w:lang w:val="fr-FR"/>
        </w:rPr>
        <w:t xml:space="preserve"> la pharmacocinétique de l’imatinib n’a pas été spécifiquement étudiée chez le</w:t>
      </w:r>
      <w:r w:rsidRPr="00961E0F">
        <w:rPr>
          <w:color w:val="000000"/>
          <w:szCs w:val="22"/>
          <w:lang w:val="fr-FR"/>
        </w:rPr>
        <w:t>s personnes âgées</w:t>
      </w:r>
      <w:r w:rsidR="007D642D" w:rsidRPr="00961E0F">
        <w:rPr>
          <w:color w:val="000000"/>
          <w:szCs w:val="22"/>
          <w:lang w:val="fr-FR"/>
        </w:rPr>
        <w:t xml:space="preserve">. Aucune différence significative de pharmacocinétique n’a été observée en fonction de l’âge chez les patients adultes inclus dans les études cliniques dont plus de 20% étaient âgés de 65 ans et plus. Par conséquent, aucune recommandation particulière sur la posologie n’est requise </w:t>
      </w:r>
      <w:r w:rsidR="00BB7CFB" w:rsidRPr="00961E0F">
        <w:rPr>
          <w:color w:val="000000"/>
          <w:szCs w:val="22"/>
          <w:lang w:val="fr-FR"/>
        </w:rPr>
        <w:t>chez les personnes âgées</w:t>
      </w:r>
      <w:r w:rsidR="007D642D" w:rsidRPr="00961E0F">
        <w:rPr>
          <w:color w:val="000000"/>
          <w:szCs w:val="22"/>
          <w:lang w:val="fr-FR"/>
        </w:rPr>
        <w:t>.</w:t>
      </w:r>
    </w:p>
    <w:p w14:paraId="776C5D4E" w14:textId="77777777" w:rsidR="007D642D" w:rsidRPr="00961E0F" w:rsidRDefault="007D642D">
      <w:pPr>
        <w:pStyle w:val="EndnoteText"/>
        <w:widowControl w:val="0"/>
        <w:tabs>
          <w:tab w:val="clear" w:pos="567"/>
        </w:tabs>
        <w:rPr>
          <w:color w:val="000000"/>
          <w:szCs w:val="22"/>
          <w:lang w:val="fr-FR"/>
        </w:rPr>
      </w:pPr>
    </w:p>
    <w:p w14:paraId="13446AB5"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4.3</w:t>
      </w:r>
      <w:r w:rsidRPr="00961E0F">
        <w:rPr>
          <w:rFonts w:ascii="Times New Roman" w:hAnsi="Times New Roman"/>
          <w:b/>
          <w:color w:val="000000"/>
          <w:szCs w:val="22"/>
        </w:rPr>
        <w:tab/>
        <w:t>Contre-indications</w:t>
      </w:r>
    </w:p>
    <w:p w14:paraId="42BE4E7C" w14:textId="77777777" w:rsidR="007D642D" w:rsidRPr="00961E0F" w:rsidRDefault="007D642D" w:rsidP="00B15424">
      <w:pPr>
        <w:pStyle w:val="EndnoteText"/>
        <w:keepNext/>
        <w:widowControl w:val="0"/>
        <w:tabs>
          <w:tab w:val="clear" w:pos="567"/>
        </w:tabs>
        <w:rPr>
          <w:color w:val="000000"/>
          <w:szCs w:val="22"/>
          <w:lang w:val="fr-FR"/>
        </w:rPr>
      </w:pPr>
    </w:p>
    <w:p w14:paraId="19D5D5B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Hypersensibilité à la substance active ou à l’un des excipients mentionnés à la rubrique 6.1.</w:t>
      </w:r>
    </w:p>
    <w:p w14:paraId="3B75CD0A" w14:textId="77777777" w:rsidR="007D642D" w:rsidRPr="00961E0F" w:rsidRDefault="007D642D">
      <w:pPr>
        <w:pStyle w:val="EndnoteText"/>
        <w:widowControl w:val="0"/>
        <w:tabs>
          <w:tab w:val="clear" w:pos="567"/>
        </w:tabs>
        <w:rPr>
          <w:color w:val="000000"/>
          <w:szCs w:val="22"/>
          <w:lang w:val="fr-FR"/>
        </w:rPr>
      </w:pPr>
    </w:p>
    <w:p w14:paraId="3147CB81" w14:textId="77777777" w:rsidR="007D642D" w:rsidRPr="00961E0F" w:rsidRDefault="007D642D" w:rsidP="00B15424">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4.4</w:t>
      </w:r>
      <w:r w:rsidRPr="00961E0F">
        <w:rPr>
          <w:rFonts w:ascii="Times New Roman" w:hAnsi="Times New Roman"/>
          <w:b/>
          <w:color w:val="000000"/>
          <w:szCs w:val="22"/>
        </w:rPr>
        <w:tab/>
        <w:t>Mises en garde spéciales et précautions d'emploi</w:t>
      </w:r>
    </w:p>
    <w:p w14:paraId="2A56E9A8" w14:textId="77777777" w:rsidR="007D642D" w:rsidRPr="00961E0F" w:rsidRDefault="007D642D" w:rsidP="00B15424">
      <w:pPr>
        <w:keepNext/>
        <w:widowControl w:val="0"/>
        <w:ind w:left="567" w:hanging="567"/>
        <w:rPr>
          <w:rFonts w:ascii="Times New Roman" w:hAnsi="Times New Roman"/>
          <w:color w:val="000000"/>
          <w:szCs w:val="22"/>
        </w:rPr>
      </w:pPr>
    </w:p>
    <w:p w14:paraId="634EAB0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Lorsque Glivec est co-administré avec d’autres médicaments, des interactions médicamenteuses sont possibles. La prudence est requise en cas d'utilisation de Glivec avec des inhibiteurs de protéase, des antifongiques azolés, certains macrolides (voir rubrique 4.5), des substrats du CYP3A4 avec une marge thérapeutique étroite (par exemple : ciclosporine, pimozide, tacrolimus, sirolimus, ergotamine, diergotamine, fentanyl, alfentanil, terfénadine, bortézomib, docétaxel, quinidine) ou warfarine et autres dérivés coumariniques (voir rubrique 4.5).</w:t>
      </w:r>
    </w:p>
    <w:p w14:paraId="5C04BD1B" w14:textId="77777777" w:rsidR="007D642D" w:rsidRPr="00961E0F" w:rsidRDefault="007D642D">
      <w:pPr>
        <w:pStyle w:val="EndnoteText"/>
        <w:widowControl w:val="0"/>
        <w:tabs>
          <w:tab w:val="clear" w:pos="567"/>
        </w:tabs>
        <w:rPr>
          <w:color w:val="000000"/>
          <w:szCs w:val="22"/>
          <w:lang w:val="fr-FR"/>
        </w:rPr>
      </w:pPr>
    </w:p>
    <w:p w14:paraId="3CD7952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L’utilisation concomitante d’imatinib et de médicaments inducteurs du CYP3A4 (par exemple : dexaméthasone, phénytoïne, carbamazépine, rifampicine, phénobarbital, ou </w:t>
      </w:r>
      <w:r w:rsidRPr="00961E0F">
        <w:rPr>
          <w:i/>
          <w:color w:val="000000"/>
          <w:szCs w:val="22"/>
          <w:lang w:val="fr-FR"/>
        </w:rPr>
        <w:t>Hypericum perforatum</w:t>
      </w:r>
      <w:r w:rsidRPr="00961E0F">
        <w:rPr>
          <w:color w:val="000000"/>
          <w:szCs w:val="22"/>
          <w:lang w:val="fr-FR"/>
        </w:rPr>
        <w:t xml:space="preserve"> (millepertuis), peut réduire significativement l’exposition systémique au Glivec et augmenter potentiellement le risque d’échec thérapeutique. Par conséquent, l’utilisation concomitante d’imatinib avec des inducteurs puissants du CYP3A4 devra être évitée (voir rubrique 4.5).</w:t>
      </w:r>
    </w:p>
    <w:p w14:paraId="35825CBA" w14:textId="77777777" w:rsidR="007D642D" w:rsidRPr="00961E0F" w:rsidRDefault="007D642D">
      <w:pPr>
        <w:pStyle w:val="EndnoteText"/>
        <w:widowControl w:val="0"/>
        <w:tabs>
          <w:tab w:val="clear" w:pos="567"/>
        </w:tabs>
        <w:rPr>
          <w:color w:val="000000"/>
          <w:szCs w:val="22"/>
          <w:lang w:val="fr-FR"/>
        </w:rPr>
      </w:pPr>
    </w:p>
    <w:p w14:paraId="652C17B2"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Hypothyroïdie</w:t>
      </w:r>
    </w:p>
    <w:p w14:paraId="6795F67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cas cliniques d’hypothyroïdie ont été rapportés chez des patients traités par Glivec, ayant subi une thyroïdectomie et recevant un traitement par lévothyroxine (voir rubrique 4.5). Les taux de l’hormone thyréotrope (TSH) devront être étroitement surveillés chez ces patients.</w:t>
      </w:r>
    </w:p>
    <w:p w14:paraId="7F1DBF52" w14:textId="77777777" w:rsidR="007D642D" w:rsidRPr="00961E0F" w:rsidRDefault="007D642D">
      <w:pPr>
        <w:pStyle w:val="EndnoteText"/>
        <w:widowControl w:val="0"/>
        <w:tabs>
          <w:tab w:val="clear" w:pos="567"/>
        </w:tabs>
        <w:rPr>
          <w:color w:val="000000"/>
          <w:szCs w:val="22"/>
          <w:lang w:val="fr-FR"/>
        </w:rPr>
      </w:pPr>
    </w:p>
    <w:p w14:paraId="3341A98C"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Hépatotoxicité</w:t>
      </w:r>
    </w:p>
    <w:p w14:paraId="791223F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métabolisme de Glivec est principalement hépatique, et seulement 13% de l’excrétion est rénale. Chez les patients présentant une altération de la fonction hépatique (légère, modérée ou importante) la numération formule sanguine et les enzymes hépatiques devront être étroitement surveillées (cf. rubrique 4.2, 4.8 et 5.2). Il est à noter que les patients atteints de GIST peuvent présenter des métastases hépatiques qui pourraient entraîner une insuffisance hépatique.</w:t>
      </w:r>
    </w:p>
    <w:p w14:paraId="47FABF34" w14:textId="77777777" w:rsidR="007D642D" w:rsidRPr="00961E0F" w:rsidRDefault="007D642D">
      <w:pPr>
        <w:pStyle w:val="EndnoteText"/>
        <w:widowControl w:val="0"/>
        <w:tabs>
          <w:tab w:val="clear" w:pos="567"/>
        </w:tabs>
        <w:rPr>
          <w:color w:val="000000"/>
          <w:szCs w:val="22"/>
          <w:lang w:val="fr-FR"/>
        </w:rPr>
      </w:pPr>
    </w:p>
    <w:p w14:paraId="79860D1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lastRenderedPageBreak/>
        <w:t>Des cas d’altérations de la fonction hépatique, y compris des cas d’insuffisance hépatique et de nécrose hépatique ont été observés avec l’imatinib. Lorsque l’imatinib est associé à des chimiothérapies à fortes doses, une augmentation des réactions hépatiques graves a été mise en évidence. Une surveillance étroite de la fonction hépatique est recommandée lorsque l’imatinib est associé à une chimiothérapie connue comme pouvant être associée à une altération de la fonction hépatique (voir rubriques 4.5 et 4.8).</w:t>
      </w:r>
    </w:p>
    <w:p w14:paraId="26B2594C" w14:textId="77777777" w:rsidR="007D642D" w:rsidRPr="00961E0F" w:rsidRDefault="007D642D">
      <w:pPr>
        <w:pStyle w:val="EndnoteText"/>
        <w:widowControl w:val="0"/>
        <w:tabs>
          <w:tab w:val="clear" w:pos="567"/>
        </w:tabs>
        <w:rPr>
          <w:color w:val="000000"/>
          <w:szCs w:val="22"/>
          <w:lang w:val="fr-FR"/>
        </w:rPr>
      </w:pPr>
    </w:p>
    <w:p w14:paraId="231875FA"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Rétention hydrique</w:t>
      </w:r>
    </w:p>
    <w:p w14:paraId="7C72C89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Des cas de rétention hydrique sévère (épanchement pleural, œdème, œdème pulmonaire, ascite, œdème superficiel) ont été décrits chez environ 2,5% des patients atteints de LMC nouvellement diagnostiqués traités par Glivec. Il est donc fortement recommandé de peser régulièrement les patients. Une prise de poids rapide et inattendue devra faire l'objet d'un examen plus approfondi et, si nécessaire, l’instauration d'un traitement symptomatique et des mesures thérapeutiques devront être entreprises. Dans les études cliniques, l’incidence de ces effets indésirables était augmentée chez les </w:t>
      </w:r>
      <w:r w:rsidR="00E8481F" w:rsidRPr="00961E0F">
        <w:rPr>
          <w:color w:val="000000"/>
          <w:szCs w:val="22"/>
          <w:lang w:val="fr-FR"/>
        </w:rPr>
        <w:t>personnes âgées</w:t>
      </w:r>
      <w:r w:rsidR="007969B9" w:rsidRPr="00961E0F">
        <w:rPr>
          <w:color w:val="000000"/>
          <w:szCs w:val="22"/>
          <w:lang w:val="fr-FR"/>
        </w:rPr>
        <w:t xml:space="preserve"> </w:t>
      </w:r>
      <w:r w:rsidRPr="00961E0F">
        <w:rPr>
          <w:color w:val="000000"/>
          <w:szCs w:val="22"/>
          <w:lang w:val="fr-FR"/>
        </w:rPr>
        <w:t>ainsi que chez ceux ayant des antécédents cardiaques. La prudence est donc recommandée chez des patients présentant un dysfonctionnement cardiaque.</w:t>
      </w:r>
    </w:p>
    <w:p w14:paraId="5A8641B7" w14:textId="77777777" w:rsidR="007D642D" w:rsidRPr="00961E0F" w:rsidRDefault="007D642D">
      <w:pPr>
        <w:pStyle w:val="EndnoteText"/>
        <w:widowControl w:val="0"/>
        <w:tabs>
          <w:tab w:val="clear" w:pos="567"/>
        </w:tabs>
        <w:rPr>
          <w:color w:val="000000"/>
          <w:szCs w:val="22"/>
          <w:lang w:val="fr-FR"/>
        </w:rPr>
      </w:pPr>
    </w:p>
    <w:p w14:paraId="6B93E2DE"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Patients présentant des pathologies cardiaques</w:t>
      </w:r>
    </w:p>
    <w:p w14:paraId="2373533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Les patients présentant des pathologies cardiaques, des facteurs de risque de survenue d’insuffisance cardiaque ou des antécédents d’insuffisance rénale devront être étroitement surveillés, et tout patient présentant des signes ou des symptômes évocateurs d’une insuffisance cardiaque ou rénale doit faire l’objet d’une évaluation et être traités.</w:t>
      </w:r>
    </w:p>
    <w:p w14:paraId="1A4D16EA" w14:textId="77777777" w:rsidR="007D642D" w:rsidRPr="00961E0F" w:rsidRDefault="007D642D">
      <w:pPr>
        <w:pStyle w:val="EndnoteText"/>
        <w:widowControl w:val="0"/>
        <w:tabs>
          <w:tab w:val="clear" w:pos="567"/>
        </w:tabs>
        <w:rPr>
          <w:color w:val="000000"/>
          <w:szCs w:val="22"/>
          <w:lang w:val="fr-FR"/>
        </w:rPr>
      </w:pPr>
    </w:p>
    <w:p w14:paraId="1A74DAF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des patients présentant un syndrome hyperéosinophilique (HES) avec infiltration de cellules HES dans le myocarde, des cas isolés de choc cardiogénique et d’altération de la fonction ventriculaire gauche ont été associés à la dégranulation de cellules HES lors de l’instauration d’un traitement par Glivec. Cette situation s’est montrée réversible après l’administration d’une corticothérapie systémique, des mesures d’assistance circulatoire et l’interruption temporaire de l’imatinib. Comme des effets indésirables cardiaques ont été observés peu fréquemment avec l’imatinib, une évaluation du rapport bénéfices/risques du traitement par l’imatinib devra être envisagé chez les patients attteints de SHE/LCE avant l’instauration du traitement.</w:t>
      </w:r>
    </w:p>
    <w:p w14:paraId="1001D66F" w14:textId="77777777" w:rsidR="007D642D" w:rsidRPr="00961E0F" w:rsidRDefault="007D642D">
      <w:pPr>
        <w:pStyle w:val="EndnoteText"/>
        <w:widowControl w:val="0"/>
        <w:tabs>
          <w:tab w:val="clear" w:pos="567"/>
        </w:tabs>
        <w:rPr>
          <w:color w:val="000000"/>
          <w:szCs w:val="22"/>
          <w:lang w:val="fr-FR"/>
        </w:rPr>
      </w:pPr>
    </w:p>
    <w:p w14:paraId="318C0E7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syndromes myélodysplasiques/myéloprolifératifs associés à des réarrangements du gène du récepteur PDGFR pourront être associés à des taux élévés d’éosinophiles. La prise en charge par un cardiologue, la réalisation d’un échocardiogramme et le dosage sérique de la troponine devront donc être envisagés chez les patients atteints de SHE/LCE et chez les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associés à des taux élevés d’éosinophiles, avant l’administration de l’imatinib. Si l’un des ces examens est anormal, le suivi par un cardiologue et l’administration prophylactique d’une corticothérapie systémique (1</w:t>
      </w:r>
      <w:r w:rsidRPr="00961E0F">
        <w:rPr>
          <w:color w:val="000000"/>
          <w:szCs w:val="22"/>
          <w:lang w:val="fr-FR"/>
        </w:rPr>
        <w:noBreakHyphen/>
        <w:t>2 mg/kg) pendant une à deux semaines en association avec l’imatinib devra être envisagée lors de l’instauration du traitement.</w:t>
      </w:r>
    </w:p>
    <w:p w14:paraId="65145A53" w14:textId="77777777" w:rsidR="007D642D" w:rsidRPr="00961E0F" w:rsidRDefault="007D642D">
      <w:pPr>
        <w:pStyle w:val="EndnoteText"/>
        <w:widowControl w:val="0"/>
        <w:tabs>
          <w:tab w:val="clear" w:pos="567"/>
        </w:tabs>
        <w:rPr>
          <w:color w:val="000000"/>
          <w:szCs w:val="22"/>
          <w:lang w:val="fr-FR"/>
        </w:rPr>
      </w:pPr>
    </w:p>
    <w:p w14:paraId="58DA1398"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Hémorragies gastro-intestinales</w:t>
      </w:r>
    </w:p>
    <w:p w14:paraId="412E883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Dans l’étude clinique menée chez des patients atteints de GIST non resécables et/ou métastatiques, des hémorragies gastro-intestinales et intratumorales ont été rapportées (voir rubrique 4.8). Sur la base des données disponibles, aucun facteur (ex. taille de la tumeur, localisation de la tumeur, troubles de la coagulation) n’a été identifié, prédisposant les patients atteints de GIST à un risque plus élevé de développer l’un ou l’autre des deux types d’hémorragies. Puisqu’une augmentation de la vascularisation et une propension aux saignements font partie de la nature et l’évolution clinique de la maladie, des modalités standardisées de suivi et de prise en charge des hémorragies devront être adoptées pour tous les patients.</w:t>
      </w:r>
    </w:p>
    <w:p w14:paraId="312C38DD" w14:textId="77777777" w:rsidR="007D642D" w:rsidRPr="00961E0F" w:rsidRDefault="007D642D">
      <w:pPr>
        <w:pStyle w:val="EndnoteText"/>
        <w:widowControl w:val="0"/>
        <w:tabs>
          <w:tab w:val="clear" w:pos="567"/>
        </w:tabs>
        <w:rPr>
          <w:color w:val="000000"/>
          <w:szCs w:val="22"/>
          <w:lang w:val="fr-FR"/>
        </w:rPr>
      </w:pPr>
    </w:p>
    <w:p w14:paraId="088E4770" w14:textId="77777777" w:rsidR="00893854" w:rsidRPr="00961E0F" w:rsidRDefault="00893854">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De plus, </w:t>
      </w:r>
      <w:r w:rsidR="00BD2B36" w:rsidRPr="00961E0F">
        <w:rPr>
          <w:rFonts w:ascii="Times New Roman" w:hAnsi="Times New Roman"/>
          <w:color w:val="000000"/>
          <w:szCs w:val="22"/>
        </w:rPr>
        <w:t xml:space="preserve">des </w:t>
      </w:r>
      <w:r w:rsidR="00D038BD" w:rsidRPr="00961E0F">
        <w:rPr>
          <w:rFonts w:ascii="Times New Roman" w:hAnsi="Times New Roman"/>
          <w:color w:val="000000"/>
          <w:szCs w:val="22"/>
        </w:rPr>
        <w:t>ectasie</w:t>
      </w:r>
      <w:r w:rsidR="00BD2B36" w:rsidRPr="00961E0F">
        <w:rPr>
          <w:rFonts w:ascii="Times New Roman" w:hAnsi="Times New Roman"/>
          <w:color w:val="000000"/>
          <w:szCs w:val="22"/>
        </w:rPr>
        <w:t>s</w:t>
      </w:r>
      <w:r w:rsidR="00D038BD" w:rsidRPr="00961E0F">
        <w:rPr>
          <w:rFonts w:ascii="Times New Roman" w:hAnsi="Times New Roman"/>
          <w:color w:val="000000"/>
          <w:szCs w:val="22"/>
        </w:rPr>
        <w:t xml:space="preserve"> vasculaire</w:t>
      </w:r>
      <w:r w:rsidR="00BD2B36" w:rsidRPr="00961E0F">
        <w:rPr>
          <w:rFonts w:ascii="Times New Roman" w:hAnsi="Times New Roman"/>
          <w:color w:val="000000"/>
          <w:szCs w:val="22"/>
        </w:rPr>
        <w:t>s</w:t>
      </w:r>
      <w:r w:rsidR="00D038BD" w:rsidRPr="00961E0F">
        <w:rPr>
          <w:rFonts w:ascii="Times New Roman" w:hAnsi="Times New Roman"/>
          <w:color w:val="000000"/>
          <w:szCs w:val="22"/>
        </w:rPr>
        <w:t xml:space="preserve"> de l’antre gastrique (EVAG), une cause rare d’hémorragie</w:t>
      </w:r>
      <w:r w:rsidR="00990F8B" w:rsidRPr="00961E0F">
        <w:rPr>
          <w:rFonts w:ascii="Times New Roman" w:hAnsi="Times New Roman"/>
          <w:color w:val="000000"/>
          <w:szCs w:val="22"/>
        </w:rPr>
        <w:t>s</w:t>
      </w:r>
      <w:r w:rsidR="00D038BD" w:rsidRPr="00961E0F">
        <w:rPr>
          <w:rFonts w:ascii="Times New Roman" w:hAnsi="Times New Roman"/>
          <w:color w:val="000000"/>
          <w:szCs w:val="22"/>
        </w:rPr>
        <w:t xml:space="preserve"> </w:t>
      </w:r>
      <w:r w:rsidR="00BD2B36" w:rsidRPr="00961E0F">
        <w:rPr>
          <w:rFonts w:ascii="Times New Roman" w:hAnsi="Times New Roman"/>
          <w:color w:val="000000"/>
          <w:szCs w:val="22"/>
        </w:rPr>
        <w:t>gastro-intestinale</w:t>
      </w:r>
      <w:r w:rsidR="00990F8B" w:rsidRPr="00961E0F">
        <w:rPr>
          <w:rFonts w:ascii="Times New Roman" w:hAnsi="Times New Roman"/>
          <w:color w:val="000000"/>
          <w:szCs w:val="22"/>
        </w:rPr>
        <w:t>s</w:t>
      </w:r>
      <w:r w:rsidR="00BD2B36" w:rsidRPr="00961E0F">
        <w:rPr>
          <w:rFonts w:ascii="Times New Roman" w:hAnsi="Times New Roman"/>
          <w:color w:val="000000"/>
          <w:szCs w:val="22"/>
        </w:rPr>
        <w:t>, ont été rapportées depuis la mise sur le marché chez des patients atteints de LMC, de LAL et d’autres pathologies (voir rubrique 4.8). Lorsque cela est nécessaire, l’arrêt du traitement par Glivec doit être envisagé.</w:t>
      </w:r>
    </w:p>
    <w:p w14:paraId="55573C4C" w14:textId="77777777" w:rsidR="00305C3A" w:rsidRPr="00961E0F" w:rsidRDefault="00305C3A">
      <w:pPr>
        <w:autoSpaceDE w:val="0"/>
        <w:autoSpaceDN w:val="0"/>
        <w:adjustRightInd w:val="0"/>
        <w:rPr>
          <w:rFonts w:ascii="Times New Roman" w:hAnsi="Times New Roman"/>
          <w:color w:val="000000"/>
          <w:szCs w:val="22"/>
          <w:u w:val="single"/>
        </w:rPr>
      </w:pPr>
    </w:p>
    <w:p w14:paraId="0EB11AAF" w14:textId="77777777" w:rsidR="007D642D" w:rsidRPr="00961E0F" w:rsidRDefault="007D642D" w:rsidP="00B15424">
      <w:pPr>
        <w:keepNext/>
        <w:autoSpaceDE w:val="0"/>
        <w:autoSpaceDN w:val="0"/>
        <w:adjustRightInd w:val="0"/>
        <w:rPr>
          <w:rFonts w:ascii="Times New Roman" w:hAnsi="Times New Roman"/>
          <w:color w:val="000000"/>
          <w:szCs w:val="22"/>
          <w:u w:val="single"/>
        </w:rPr>
      </w:pPr>
      <w:r w:rsidRPr="00961E0F">
        <w:rPr>
          <w:rFonts w:ascii="Times New Roman" w:hAnsi="Times New Roman"/>
          <w:color w:val="000000"/>
          <w:szCs w:val="22"/>
          <w:u w:val="single"/>
        </w:rPr>
        <w:lastRenderedPageBreak/>
        <w:t>Syndrome de lyse tumorale</w:t>
      </w:r>
    </w:p>
    <w:p w14:paraId="3B5974B4" w14:textId="77777777" w:rsidR="007D642D" w:rsidRPr="00961E0F" w:rsidRDefault="007D642D">
      <w:pPr>
        <w:autoSpaceDE w:val="0"/>
        <w:autoSpaceDN w:val="0"/>
        <w:adjustRightInd w:val="0"/>
        <w:rPr>
          <w:rFonts w:ascii="Times New Roman" w:hAnsi="Times New Roman"/>
          <w:color w:val="000000"/>
          <w:szCs w:val="22"/>
        </w:rPr>
      </w:pPr>
      <w:r w:rsidRPr="00961E0F">
        <w:rPr>
          <w:rFonts w:ascii="Times New Roman" w:hAnsi="Times New Roman"/>
          <w:color w:val="000000"/>
          <w:szCs w:val="22"/>
        </w:rPr>
        <w:t>En raison de la survenue possible de syndrome de lyse tumorale (SLT), il est recommandé de corriger toute déshydratation cliniquement significative et de traiter l’hyperuricémie avant l’initiation du traitement par Glivec (voir rubrique 4.8).</w:t>
      </w:r>
    </w:p>
    <w:p w14:paraId="71DF0204" w14:textId="77777777" w:rsidR="00DA7392" w:rsidRPr="00961E0F" w:rsidRDefault="00DA7392">
      <w:pPr>
        <w:autoSpaceDE w:val="0"/>
        <w:autoSpaceDN w:val="0"/>
        <w:adjustRightInd w:val="0"/>
        <w:rPr>
          <w:rFonts w:ascii="Times New Roman" w:hAnsi="Times New Roman"/>
          <w:color w:val="000000"/>
          <w:szCs w:val="22"/>
        </w:rPr>
      </w:pPr>
    </w:p>
    <w:p w14:paraId="135D517C" w14:textId="77777777" w:rsidR="006C7A67" w:rsidRPr="00961E0F" w:rsidRDefault="00DA7392" w:rsidP="006C7A67">
      <w:pPr>
        <w:keepNext/>
        <w:autoSpaceDE w:val="0"/>
        <w:autoSpaceDN w:val="0"/>
        <w:adjustRightInd w:val="0"/>
        <w:rPr>
          <w:rFonts w:ascii="Times New Roman" w:hAnsi="Times New Roman"/>
          <w:color w:val="000000"/>
          <w:szCs w:val="22"/>
          <w:u w:val="single"/>
        </w:rPr>
      </w:pPr>
      <w:r w:rsidRPr="00961E0F">
        <w:rPr>
          <w:rFonts w:ascii="Times New Roman" w:hAnsi="Times New Roman"/>
          <w:color w:val="000000"/>
          <w:szCs w:val="22"/>
          <w:u w:val="single"/>
        </w:rPr>
        <w:t>Réactivation de l'hépatite B</w:t>
      </w:r>
    </w:p>
    <w:p w14:paraId="7E0BC99A" w14:textId="77777777" w:rsidR="00DA7392" w:rsidRPr="00961E0F" w:rsidRDefault="00DA7392" w:rsidP="006C7A67">
      <w:pPr>
        <w:autoSpaceDE w:val="0"/>
        <w:autoSpaceDN w:val="0"/>
        <w:adjustRightInd w:val="0"/>
        <w:rPr>
          <w:rFonts w:ascii="Times New Roman" w:hAnsi="Times New Roman"/>
          <w:color w:val="000000"/>
          <w:szCs w:val="22"/>
        </w:rPr>
      </w:pPr>
      <w:r w:rsidRPr="00961E0F">
        <w:rPr>
          <w:rFonts w:ascii="Times New Roman" w:hAnsi="Times New Roman"/>
          <w:color w:val="000000"/>
          <w:szCs w:val="22"/>
        </w:rPr>
        <w:t>Des cas de réactivation du virus l’hépatite B ont été rapportés chez des patients porteurs chroniques du virus et traités par des inhibiteurs de la tyrosine kinase BCR-ABL. Certains de ces cas ont évolué vers une insuffisance hépatique aiguë ou une hépatite fulminante requérant une transplantation hépatique ou dont l’issue a été fatale.</w:t>
      </w:r>
    </w:p>
    <w:p w14:paraId="254204B2" w14:textId="77777777" w:rsidR="006C7A67" w:rsidRPr="00961E0F" w:rsidRDefault="006C7A67" w:rsidP="006C7A67">
      <w:pPr>
        <w:autoSpaceDE w:val="0"/>
        <w:autoSpaceDN w:val="0"/>
        <w:adjustRightInd w:val="0"/>
        <w:rPr>
          <w:rFonts w:ascii="Times New Roman" w:hAnsi="Times New Roman"/>
          <w:color w:val="000000"/>
          <w:szCs w:val="22"/>
        </w:rPr>
      </w:pPr>
    </w:p>
    <w:p w14:paraId="70BADBEE" w14:textId="77777777" w:rsidR="00DA7392" w:rsidRPr="00961E0F" w:rsidRDefault="00DA7392" w:rsidP="00DA7392">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Tous les patients doivent faire l’objet d’un dépistage d’une infection par le VHB avant l’initiation d’un traitement par </w:t>
      </w:r>
      <w:r w:rsidR="00934C2B" w:rsidRPr="00961E0F">
        <w:rPr>
          <w:rFonts w:ascii="Times New Roman" w:hAnsi="Times New Roman"/>
          <w:color w:val="000000"/>
          <w:szCs w:val="22"/>
        </w:rPr>
        <w:t>Glivec</w:t>
      </w:r>
      <w:r w:rsidRPr="00961E0F">
        <w:rPr>
          <w:rFonts w:ascii="Times New Roman" w:hAnsi="Times New Roman"/>
          <w:color w:val="000000"/>
          <w:szCs w:val="22"/>
        </w:rPr>
        <w:t xml:space="preserve">. Un médecin spécialisé en hépatologie doit être consulté avant instauration du traitement chez les patients porteurs de marqueurs sérologiques positifs (y compris ceux ayant une hépatite B active) et chez les patients dont la sérologie devient positive en cours du traitement. Les patients porteurs du VHB doivent être étroitement suivis tout au long du traitement par </w:t>
      </w:r>
      <w:r w:rsidR="00934C2B" w:rsidRPr="00961E0F">
        <w:rPr>
          <w:rFonts w:ascii="Times New Roman" w:hAnsi="Times New Roman"/>
          <w:color w:val="000000"/>
          <w:szCs w:val="22"/>
        </w:rPr>
        <w:t>Glivec</w:t>
      </w:r>
      <w:r w:rsidRPr="00961E0F">
        <w:rPr>
          <w:rFonts w:ascii="Times New Roman" w:hAnsi="Times New Roman"/>
          <w:color w:val="000000"/>
          <w:szCs w:val="22"/>
        </w:rPr>
        <w:t xml:space="preserve"> et plusieurs mois après la fin du traitement (voir rubrique</w:t>
      </w:r>
      <w:r w:rsidR="006C7A67" w:rsidRPr="00961E0F">
        <w:rPr>
          <w:rFonts w:ascii="Times New Roman" w:hAnsi="Times New Roman"/>
          <w:color w:val="000000"/>
          <w:szCs w:val="22"/>
        </w:rPr>
        <w:t> </w:t>
      </w:r>
      <w:r w:rsidRPr="00961E0F">
        <w:rPr>
          <w:rFonts w:ascii="Times New Roman" w:hAnsi="Times New Roman"/>
          <w:color w:val="000000"/>
          <w:szCs w:val="22"/>
        </w:rPr>
        <w:t>4.8).</w:t>
      </w:r>
    </w:p>
    <w:p w14:paraId="4B942D4D" w14:textId="77777777" w:rsidR="0067392E" w:rsidRPr="00961E0F" w:rsidRDefault="0067392E" w:rsidP="00DA7392">
      <w:pPr>
        <w:autoSpaceDE w:val="0"/>
        <w:autoSpaceDN w:val="0"/>
        <w:adjustRightInd w:val="0"/>
        <w:rPr>
          <w:rFonts w:ascii="Times New Roman" w:hAnsi="Times New Roman"/>
          <w:color w:val="000000"/>
          <w:szCs w:val="22"/>
        </w:rPr>
      </w:pPr>
    </w:p>
    <w:p w14:paraId="0E9AB5EC" w14:textId="77777777" w:rsidR="0067392E" w:rsidRPr="00961E0F" w:rsidRDefault="0067392E" w:rsidP="007F0AF2">
      <w:pPr>
        <w:keepNext/>
        <w:rPr>
          <w:rFonts w:ascii="Times New Roman" w:hAnsi="Times New Roman"/>
          <w:color w:val="000000"/>
          <w:szCs w:val="22"/>
          <w:u w:val="single"/>
        </w:rPr>
      </w:pPr>
      <w:r w:rsidRPr="00961E0F">
        <w:rPr>
          <w:rFonts w:ascii="Times New Roman" w:hAnsi="Times New Roman"/>
          <w:color w:val="000000"/>
          <w:szCs w:val="22"/>
          <w:u w:val="single"/>
        </w:rPr>
        <w:t>Phototoxicité</w:t>
      </w:r>
    </w:p>
    <w:p w14:paraId="6041D521" w14:textId="77777777" w:rsidR="0067392E" w:rsidRPr="00961E0F" w:rsidRDefault="0067392E" w:rsidP="0067392E">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L’exposition directe </w:t>
      </w:r>
      <w:r w:rsidR="00BC4ECB" w:rsidRPr="00961E0F">
        <w:rPr>
          <w:rFonts w:ascii="Times New Roman" w:hAnsi="Times New Roman"/>
          <w:color w:val="000000"/>
          <w:szCs w:val="22"/>
        </w:rPr>
        <w:t xml:space="preserve">au soleil </w:t>
      </w:r>
      <w:r w:rsidRPr="00961E0F">
        <w:rPr>
          <w:rFonts w:ascii="Times New Roman" w:hAnsi="Times New Roman"/>
          <w:color w:val="000000"/>
          <w:szCs w:val="22"/>
        </w:rPr>
        <w:t>doit être évitée ou réduite en raison du risque de phototoxicité associé au traitement par imatinib. Il doit être conseillé aux patients d’utiliser des mesures telles que le port de vêtements de protection et l’utilisation d’un écran solaire avec un facteur de protection solaire (FPS) élevé.</w:t>
      </w:r>
    </w:p>
    <w:p w14:paraId="589A4E3F" w14:textId="77777777" w:rsidR="007D642D" w:rsidRPr="00961E0F" w:rsidRDefault="007D642D" w:rsidP="006C7A67">
      <w:pPr>
        <w:autoSpaceDE w:val="0"/>
        <w:autoSpaceDN w:val="0"/>
        <w:adjustRightInd w:val="0"/>
        <w:rPr>
          <w:rFonts w:ascii="Times New Roman" w:hAnsi="Times New Roman"/>
          <w:color w:val="000000"/>
          <w:szCs w:val="22"/>
        </w:rPr>
      </w:pPr>
    </w:p>
    <w:p w14:paraId="32B89902" w14:textId="77777777" w:rsidR="00437B40" w:rsidRPr="00961E0F" w:rsidRDefault="00437B40" w:rsidP="00F65F59">
      <w:pPr>
        <w:keepNext/>
        <w:autoSpaceDE w:val="0"/>
        <w:autoSpaceDN w:val="0"/>
        <w:adjustRightInd w:val="0"/>
        <w:rPr>
          <w:rFonts w:ascii="Times New Roman" w:hAnsi="Times New Roman"/>
          <w:color w:val="000000"/>
          <w:szCs w:val="22"/>
          <w:u w:val="single"/>
        </w:rPr>
      </w:pPr>
      <w:r w:rsidRPr="00961E0F">
        <w:rPr>
          <w:rFonts w:ascii="Times New Roman" w:hAnsi="Times New Roman"/>
          <w:color w:val="000000"/>
          <w:szCs w:val="22"/>
          <w:u w:val="single"/>
        </w:rPr>
        <w:t>Microangiopathie thrombotique</w:t>
      </w:r>
    </w:p>
    <w:p w14:paraId="6ED2BE8F" w14:textId="77777777" w:rsidR="00437B40" w:rsidRPr="00961E0F" w:rsidRDefault="00437B40" w:rsidP="006C7A67">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Les inhibiteurs de </w:t>
      </w:r>
      <w:r w:rsidR="00996715" w:rsidRPr="00961E0F">
        <w:rPr>
          <w:rFonts w:ascii="Times New Roman" w:hAnsi="Times New Roman"/>
          <w:color w:val="000000"/>
          <w:szCs w:val="22"/>
        </w:rPr>
        <w:t xml:space="preserve">la </w:t>
      </w:r>
      <w:r w:rsidRPr="00961E0F">
        <w:rPr>
          <w:rFonts w:ascii="Times New Roman" w:hAnsi="Times New Roman"/>
          <w:color w:val="000000"/>
          <w:szCs w:val="22"/>
        </w:rPr>
        <w:t xml:space="preserve">tyrosine kinase (ITK) BCR-ABL ont été </w:t>
      </w:r>
      <w:r w:rsidR="00996715" w:rsidRPr="00961E0F">
        <w:rPr>
          <w:rFonts w:ascii="Times New Roman" w:hAnsi="Times New Roman"/>
          <w:color w:val="000000"/>
          <w:szCs w:val="22"/>
        </w:rPr>
        <w:t>associés</w:t>
      </w:r>
      <w:r w:rsidRPr="00961E0F">
        <w:rPr>
          <w:rFonts w:ascii="Times New Roman" w:hAnsi="Times New Roman"/>
          <w:color w:val="000000"/>
          <w:szCs w:val="22"/>
        </w:rPr>
        <w:t xml:space="preserve"> à des microangiopathies thrombotiques (MAT), et </w:t>
      </w:r>
      <w:r w:rsidR="00FD7036" w:rsidRPr="00961E0F">
        <w:rPr>
          <w:rFonts w:ascii="Times New Roman" w:hAnsi="Times New Roman"/>
          <w:color w:val="000000"/>
          <w:szCs w:val="22"/>
        </w:rPr>
        <w:t>des</w:t>
      </w:r>
      <w:r w:rsidRPr="00961E0F">
        <w:rPr>
          <w:rFonts w:ascii="Times New Roman" w:hAnsi="Times New Roman"/>
          <w:color w:val="000000"/>
          <w:szCs w:val="22"/>
        </w:rPr>
        <w:t xml:space="preserve"> cas individuels </w:t>
      </w:r>
      <w:r w:rsidR="00FD7036" w:rsidRPr="00961E0F">
        <w:rPr>
          <w:rFonts w:ascii="Times New Roman" w:hAnsi="Times New Roman"/>
          <w:color w:val="000000"/>
          <w:szCs w:val="22"/>
        </w:rPr>
        <w:t>ont été rapportés avec</w:t>
      </w:r>
      <w:r w:rsidRPr="00961E0F">
        <w:rPr>
          <w:rFonts w:ascii="Times New Roman" w:hAnsi="Times New Roman"/>
          <w:color w:val="000000"/>
          <w:szCs w:val="22"/>
        </w:rPr>
        <w:t xml:space="preserve"> Glivec </w:t>
      </w:r>
      <w:r w:rsidR="00F65F59" w:rsidRPr="00961E0F">
        <w:rPr>
          <w:rFonts w:ascii="Times New Roman" w:hAnsi="Times New Roman"/>
          <w:color w:val="000000"/>
          <w:szCs w:val="22"/>
        </w:rPr>
        <w:t>(voir rubrique </w:t>
      </w:r>
      <w:r w:rsidRPr="00961E0F">
        <w:rPr>
          <w:rFonts w:ascii="Times New Roman" w:hAnsi="Times New Roman"/>
          <w:color w:val="000000"/>
          <w:szCs w:val="22"/>
        </w:rPr>
        <w:t>4.8). Si des résultats biologiques ou cliniques associés à une MAT surviennent chez un patient traité par Glivec, le traitement doit ê</w:t>
      </w:r>
      <w:r w:rsidR="0062535B" w:rsidRPr="00961E0F">
        <w:rPr>
          <w:rFonts w:ascii="Times New Roman" w:hAnsi="Times New Roman"/>
          <w:color w:val="000000"/>
          <w:szCs w:val="22"/>
        </w:rPr>
        <w:t xml:space="preserve">tre interrompu </w:t>
      </w:r>
      <w:r w:rsidR="00FD7036" w:rsidRPr="00961E0F">
        <w:rPr>
          <w:rFonts w:ascii="Times New Roman" w:hAnsi="Times New Roman"/>
          <w:color w:val="000000"/>
          <w:szCs w:val="22"/>
        </w:rPr>
        <w:t>et un</w:t>
      </w:r>
      <w:r w:rsidR="00996715" w:rsidRPr="00961E0F">
        <w:rPr>
          <w:rFonts w:ascii="Times New Roman" w:hAnsi="Times New Roman"/>
          <w:color w:val="000000"/>
          <w:szCs w:val="22"/>
        </w:rPr>
        <w:t>e évaluation approfondie</w:t>
      </w:r>
      <w:r w:rsidR="00FD7036" w:rsidRPr="00961E0F">
        <w:rPr>
          <w:rFonts w:ascii="Times New Roman" w:hAnsi="Times New Roman"/>
          <w:color w:val="000000"/>
          <w:szCs w:val="22"/>
        </w:rPr>
        <w:t xml:space="preserve"> </w:t>
      </w:r>
      <w:r w:rsidR="0062535B" w:rsidRPr="00961E0F">
        <w:rPr>
          <w:rFonts w:ascii="Times New Roman" w:hAnsi="Times New Roman"/>
          <w:color w:val="000000"/>
          <w:szCs w:val="22"/>
        </w:rPr>
        <w:t xml:space="preserve">de </w:t>
      </w:r>
      <w:r w:rsidR="00996715" w:rsidRPr="00961E0F">
        <w:rPr>
          <w:rFonts w:ascii="Times New Roman" w:hAnsi="Times New Roman"/>
          <w:color w:val="000000"/>
          <w:szCs w:val="22"/>
        </w:rPr>
        <w:t xml:space="preserve">la </w:t>
      </w:r>
      <w:r w:rsidR="0062535B" w:rsidRPr="00961E0F">
        <w:rPr>
          <w:rFonts w:ascii="Times New Roman" w:hAnsi="Times New Roman"/>
          <w:color w:val="000000"/>
          <w:szCs w:val="22"/>
        </w:rPr>
        <w:t>MAT doit être réalisé</w:t>
      </w:r>
      <w:r w:rsidR="00E004BD" w:rsidRPr="00961E0F">
        <w:rPr>
          <w:rFonts w:ascii="Times New Roman" w:hAnsi="Times New Roman"/>
          <w:color w:val="000000"/>
          <w:szCs w:val="22"/>
        </w:rPr>
        <w:t>e</w:t>
      </w:r>
      <w:r w:rsidR="0062535B" w:rsidRPr="00961E0F">
        <w:rPr>
          <w:rFonts w:ascii="Times New Roman" w:hAnsi="Times New Roman"/>
          <w:color w:val="000000"/>
          <w:szCs w:val="22"/>
        </w:rPr>
        <w:t xml:space="preserve">, </w:t>
      </w:r>
      <w:r w:rsidR="00BF6460" w:rsidRPr="00961E0F">
        <w:rPr>
          <w:rFonts w:ascii="Times New Roman" w:hAnsi="Times New Roman"/>
          <w:color w:val="000000"/>
          <w:szCs w:val="22"/>
        </w:rPr>
        <w:t>incluant</w:t>
      </w:r>
      <w:r w:rsidR="0062535B" w:rsidRPr="00961E0F">
        <w:rPr>
          <w:rFonts w:ascii="Times New Roman" w:hAnsi="Times New Roman"/>
          <w:color w:val="000000"/>
          <w:szCs w:val="22"/>
        </w:rPr>
        <w:t xml:space="preserve"> la détermination de l’activité ADAMTS13 et </w:t>
      </w:r>
      <w:r w:rsidR="00545F86" w:rsidRPr="00961E0F">
        <w:rPr>
          <w:rFonts w:ascii="Times New Roman" w:hAnsi="Times New Roman"/>
          <w:color w:val="000000"/>
          <w:szCs w:val="22"/>
        </w:rPr>
        <w:t>des anticorps anti-ADAMTS13.</w:t>
      </w:r>
      <w:r w:rsidR="00FD7036" w:rsidRPr="00961E0F">
        <w:rPr>
          <w:rFonts w:ascii="Times New Roman" w:hAnsi="Times New Roman"/>
          <w:color w:val="000000"/>
          <w:szCs w:val="22"/>
        </w:rPr>
        <w:t xml:space="preserve"> Si le taux d’anticorp</w:t>
      </w:r>
      <w:r w:rsidR="00545F86" w:rsidRPr="00961E0F">
        <w:rPr>
          <w:rFonts w:ascii="Times New Roman" w:hAnsi="Times New Roman"/>
          <w:color w:val="000000"/>
          <w:szCs w:val="22"/>
        </w:rPr>
        <w:t>s anti-ADAMTS13 est élevé conjointement à une activ</w:t>
      </w:r>
      <w:r w:rsidR="00FD7036" w:rsidRPr="00961E0F">
        <w:rPr>
          <w:rFonts w:ascii="Times New Roman" w:hAnsi="Times New Roman"/>
          <w:color w:val="000000"/>
          <w:szCs w:val="22"/>
        </w:rPr>
        <w:t>ité ADAMTS13 faible, le traiteme</w:t>
      </w:r>
      <w:r w:rsidR="00545F86" w:rsidRPr="00961E0F">
        <w:rPr>
          <w:rFonts w:ascii="Times New Roman" w:hAnsi="Times New Roman"/>
          <w:color w:val="000000"/>
          <w:szCs w:val="22"/>
        </w:rPr>
        <w:t>nt par Glivec ne doit pas être repris.</w:t>
      </w:r>
    </w:p>
    <w:p w14:paraId="25E5762D" w14:textId="77777777" w:rsidR="00545F86" w:rsidRPr="00961E0F" w:rsidRDefault="00545F86" w:rsidP="006C7A67">
      <w:pPr>
        <w:autoSpaceDE w:val="0"/>
        <w:autoSpaceDN w:val="0"/>
        <w:adjustRightInd w:val="0"/>
        <w:rPr>
          <w:rFonts w:ascii="Times New Roman" w:hAnsi="Times New Roman"/>
          <w:color w:val="000000"/>
          <w:szCs w:val="22"/>
        </w:rPr>
      </w:pPr>
    </w:p>
    <w:p w14:paraId="6EF36A7F" w14:textId="77777777" w:rsidR="007D642D" w:rsidRPr="00B15424" w:rsidRDefault="007D642D" w:rsidP="00B15424">
      <w:pPr>
        <w:keepNext/>
        <w:autoSpaceDE w:val="0"/>
        <w:autoSpaceDN w:val="0"/>
        <w:adjustRightInd w:val="0"/>
        <w:rPr>
          <w:rFonts w:ascii="Times New Roman" w:hAnsi="Times New Roman"/>
          <w:color w:val="000000"/>
          <w:szCs w:val="22"/>
          <w:u w:val="single"/>
        </w:rPr>
      </w:pPr>
      <w:r w:rsidRPr="00B15424">
        <w:rPr>
          <w:rFonts w:ascii="Times New Roman" w:hAnsi="Times New Roman"/>
          <w:color w:val="000000"/>
          <w:szCs w:val="22"/>
          <w:u w:val="single"/>
        </w:rPr>
        <w:t>Analyses biologiques</w:t>
      </w:r>
    </w:p>
    <w:p w14:paraId="0B49754A" w14:textId="77777777" w:rsidR="007D642D" w:rsidRPr="00961E0F" w:rsidRDefault="007D642D" w:rsidP="006C7A67">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Des numérations formules sanguines doivent être effectuées régulièrement : le traitement par Glivec de patients atteints de LMC a été associé à une neutropénie ou une thrombopénie. Cependant, la survenue de ces cytopénies est vraisemblablement liée au stade de la maladie traitée : elles ont été plus fréquemment retrouvées chez les patients en phase accélérée ou en crise blastique que chez ceux en phase chronique de </w:t>
      </w:r>
      <w:smartTag w:uri="urn:schemas-microsoft-com:office:smarttags" w:element="PersonName">
        <w:smartTagPr>
          <w:attr w:name="ProductID" w:val="la LMC. Le"/>
        </w:smartTagPr>
        <w:r w:rsidRPr="00961E0F">
          <w:rPr>
            <w:rFonts w:ascii="Times New Roman" w:hAnsi="Times New Roman"/>
            <w:color w:val="000000"/>
            <w:szCs w:val="22"/>
          </w:rPr>
          <w:t>la LMC. Le</w:t>
        </w:r>
      </w:smartTag>
      <w:r w:rsidRPr="00961E0F">
        <w:rPr>
          <w:rFonts w:ascii="Times New Roman" w:hAnsi="Times New Roman"/>
          <w:color w:val="000000"/>
          <w:szCs w:val="22"/>
        </w:rPr>
        <w:t xml:space="preserve"> traitement peut alors être interrompu ou la dose réduite, selon les recommandations de la rubrique 4.2.</w:t>
      </w:r>
    </w:p>
    <w:p w14:paraId="1C2541C5" w14:textId="77777777" w:rsidR="007D642D" w:rsidRPr="00961E0F" w:rsidRDefault="007D642D">
      <w:pPr>
        <w:pStyle w:val="EndnoteText"/>
        <w:widowControl w:val="0"/>
        <w:tabs>
          <w:tab w:val="clear" w:pos="567"/>
        </w:tabs>
        <w:rPr>
          <w:color w:val="000000"/>
          <w:szCs w:val="22"/>
          <w:lang w:val="fr-FR"/>
        </w:rPr>
      </w:pPr>
    </w:p>
    <w:p w14:paraId="5C58EAA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fonction hépatique (transaminases, bilirubine, phosphatases alcalines) doit faire l’objet d’une surveillance régulière.</w:t>
      </w:r>
    </w:p>
    <w:p w14:paraId="5A2EB21A" w14:textId="77777777" w:rsidR="007D642D" w:rsidRPr="00961E0F" w:rsidRDefault="007D642D">
      <w:pPr>
        <w:pStyle w:val="EndnoteText"/>
        <w:widowControl w:val="0"/>
        <w:tabs>
          <w:tab w:val="clear" w:pos="567"/>
        </w:tabs>
        <w:rPr>
          <w:color w:val="000000"/>
          <w:szCs w:val="22"/>
          <w:lang w:val="fr-FR"/>
        </w:rPr>
      </w:pPr>
    </w:p>
    <w:p w14:paraId="4C737A7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les patients présentant une altération de la fonction rénale, l’exposition plasmatique à l’imatinib semble être supérieure à celle des patients présentant une fonction rénale normale, probablement en raison d’un taux plasmatique élevé de l’alpha-glycoprotéine acide, une protéine plasmatique liée à l’imatinib, chez ces patients. Chez les patients présentant une altération de la fonction rénale légère à modérée, la dose initiale de traitement de 400 mg par jour est recommandée. Les patients présentant une altération sévère de la fonction rénale devront être traités avec attention. La dose peut être réduite si elle est mal tolérée (voir rubrique 4.2 et 5.2).</w:t>
      </w:r>
    </w:p>
    <w:p w14:paraId="052D2994" w14:textId="77777777" w:rsidR="00D829B8" w:rsidRPr="00961E0F" w:rsidRDefault="00D829B8">
      <w:pPr>
        <w:pStyle w:val="EndnoteText"/>
        <w:widowControl w:val="0"/>
        <w:tabs>
          <w:tab w:val="clear" w:pos="567"/>
        </w:tabs>
        <w:rPr>
          <w:color w:val="000000"/>
          <w:szCs w:val="22"/>
          <w:lang w:val="fr-FR"/>
        </w:rPr>
      </w:pPr>
    </w:p>
    <w:p w14:paraId="30A0D527" w14:textId="77777777" w:rsidR="00D829B8" w:rsidRPr="00961E0F" w:rsidRDefault="00D829B8">
      <w:pPr>
        <w:pStyle w:val="EndnoteText"/>
        <w:widowControl w:val="0"/>
        <w:tabs>
          <w:tab w:val="clear" w:pos="567"/>
        </w:tabs>
        <w:rPr>
          <w:color w:val="000000"/>
          <w:szCs w:val="22"/>
          <w:lang w:val="fr-FR"/>
        </w:rPr>
      </w:pPr>
      <w:r w:rsidRPr="00961E0F">
        <w:rPr>
          <w:color w:val="000000"/>
          <w:szCs w:val="22"/>
          <w:lang w:val="fr-FR"/>
        </w:rPr>
        <w:t xml:space="preserve">Un traitement au long terme par imatinib peut être associé à une </w:t>
      </w:r>
      <w:r w:rsidR="002175A4" w:rsidRPr="00961E0F">
        <w:rPr>
          <w:color w:val="000000"/>
          <w:szCs w:val="22"/>
          <w:lang w:val="fr-FR"/>
        </w:rPr>
        <w:t>détérioration</w:t>
      </w:r>
      <w:r w:rsidRPr="00961E0F">
        <w:rPr>
          <w:color w:val="000000"/>
          <w:szCs w:val="22"/>
          <w:lang w:val="fr-FR"/>
        </w:rPr>
        <w:t xml:space="preserve"> cliniquement significative de la fonction rénale. La fonction rénale doit donc être évaluée avant le début du traitement par imatinib et étroitement surveillée pendant le traitement, en portant une attention particulière aux patients présentant des facteurs de risque </w:t>
      </w:r>
      <w:r w:rsidR="001240E6" w:rsidRPr="00961E0F">
        <w:rPr>
          <w:color w:val="000000"/>
          <w:szCs w:val="22"/>
          <w:lang w:val="fr-FR"/>
        </w:rPr>
        <w:t>d’altération de la fonction</w:t>
      </w:r>
      <w:r w:rsidRPr="00961E0F">
        <w:rPr>
          <w:color w:val="000000"/>
          <w:szCs w:val="22"/>
          <w:lang w:val="fr-FR"/>
        </w:rPr>
        <w:t xml:space="preserve"> rénal</w:t>
      </w:r>
      <w:r w:rsidR="001240E6" w:rsidRPr="00961E0F">
        <w:rPr>
          <w:color w:val="000000"/>
          <w:szCs w:val="22"/>
          <w:lang w:val="fr-FR"/>
        </w:rPr>
        <w:t>e</w:t>
      </w:r>
      <w:r w:rsidRPr="00961E0F">
        <w:rPr>
          <w:color w:val="000000"/>
          <w:szCs w:val="22"/>
          <w:lang w:val="fr-FR"/>
        </w:rPr>
        <w:t xml:space="preserve">. </w:t>
      </w:r>
      <w:r w:rsidR="00A5478B" w:rsidRPr="00961E0F">
        <w:rPr>
          <w:color w:val="000000"/>
          <w:szCs w:val="22"/>
          <w:lang w:val="fr-FR"/>
        </w:rPr>
        <w:t>Si un</w:t>
      </w:r>
      <w:r w:rsidR="001240E6" w:rsidRPr="00961E0F">
        <w:rPr>
          <w:color w:val="000000"/>
          <w:szCs w:val="22"/>
          <w:lang w:val="fr-FR"/>
        </w:rPr>
        <w:t>e</w:t>
      </w:r>
      <w:r w:rsidR="00A5478B" w:rsidRPr="00961E0F">
        <w:rPr>
          <w:color w:val="000000"/>
          <w:szCs w:val="22"/>
          <w:lang w:val="fr-FR"/>
        </w:rPr>
        <w:t xml:space="preserve"> </w:t>
      </w:r>
      <w:r w:rsidR="001240E6" w:rsidRPr="00961E0F">
        <w:rPr>
          <w:color w:val="000000"/>
          <w:szCs w:val="22"/>
          <w:lang w:val="fr-FR"/>
        </w:rPr>
        <w:t>altération de la fonction</w:t>
      </w:r>
      <w:r w:rsidR="00A5478B" w:rsidRPr="00961E0F">
        <w:rPr>
          <w:color w:val="000000"/>
          <w:szCs w:val="22"/>
          <w:lang w:val="fr-FR"/>
        </w:rPr>
        <w:t xml:space="preserve"> rénal</w:t>
      </w:r>
      <w:r w:rsidR="001240E6" w:rsidRPr="00961E0F">
        <w:rPr>
          <w:color w:val="000000"/>
          <w:szCs w:val="22"/>
          <w:lang w:val="fr-FR"/>
        </w:rPr>
        <w:t>e</w:t>
      </w:r>
      <w:r w:rsidR="00A5478B" w:rsidRPr="00961E0F">
        <w:rPr>
          <w:color w:val="000000"/>
          <w:szCs w:val="22"/>
          <w:lang w:val="fr-FR"/>
        </w:rPr>
        <w:t xml:space="preserve"> est observé</w:t>
      </w:r>
      <w:r w:rsidR="001240E6" w:rsidRPr="00961E0F">
        <w:rPr>
          <w:color w:val="000000"/>
          <w:szCs w:val="22"/>
          <w:lang w:val="fr-FR"/>
        </w:rPr>
        <w:t>e</w:t>
      </w:r>
      <w:r w:rsidR="00A5478B" w:rsidRPr="00961E0F">
        <w:rPr>
          <w:color w:val="000000"/>
          <w:szCs w:val="22"/>
          <w:lang w:val="fr-FR"/>
        </w:rPr>
        <w:t>, une prise en charge et un traitement adapté</w:t>
      </w:r>
      <w:r w:rsidR="0013094E" w:rsidRPr="00961E0F">
        <w:rPr>
          <w:color w:val="000000"/>
          <w:szCs w:val="22"/>
          <w:lang w:val="fr-FR"/>
        </w:rPr>
        <w:t>s</w:t>
      </w:r>
      <w:r w:rsidR="00A5478B" w:rsidRPr="00961E0F">
        <w:rPr>
          <w:color w:val="000000"/>
          <w:szCs w:val="22"/>
          <w:lang w:val="fr-FR"/>
        </w:rPr>
        <w:t xml:space="preserve"> doivent être </w:t>
      </w:r>
      <w:r w:rsidR="00A5478B" w:rsidRPr="00961E0F">
        <w:rPr>
          <w:color w:val="000000"/>
          <w:szCs w:val="22"/>
          <w:lang w:val="fr-FR"/>
        </w:rPr>
        <w:lastRenderedPageBreak/>
        <w:t>mis en place en accord avec les recommandations standard</w:t>
      </w:r>
      <w:r w:rsidR="0091424B" w:rsidRPr="00961E0F">
        <w:rPr>
          <w:color w:val="000000"/>
          <w:szCs w:val="22"/>
          <w:lang w:val="fr-FR"/>
        </w:rPr>
        <w:t>s</w:t>
      </w:r>
      <w:r w:rsidR="00A5478B" w:rsidRPr="00961E0F">
        <w:rPr>
          <w:color w:val="000000"/>
          <w:szCs w:val="22"/>
          <w:lang w:val="fr-FR"/>
        </w:rPr>
        <w:t xml:space="preserve"> de traitement.</w:t>
      </w:r>
    </w:p>
    <w:p w14:paraId="251E1076" w14:textId="77777777" w:rsidR="007D642D" w:rsidRPr="00961E0F" w:rsidRDefault="007D642D">
      <w:pPr>
        <w:pStyle w:val="EndnoteText"/>
        <w:widowControl w:val="0"/>
        <w:tabs>
          <w:tab w:val="clear" w:pos="567"/>
        </w:tabs>
        <w:rPr>
          <w:color w:val="000000"/>
          <w:szCs w:val="22"/>
          <w:lang w:val="fr-FR"/>
        </w:rPr>
      </w:pPr>
    </w:p>
    <w:p w14:paraId="0D6A49CD"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Population pédiatrique</w:t>
      </w:r>
    </w:p>
    <w:p w14:paraId="419DE32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Des cas de retard de croissance chez les enfants et pré-adolescents recevant de l’imatinib ont été rapportés. </w:t>
      </w:r>
      <w:r w:rsidR="002139B9" w:rsidRPr="00961E0F">
        <w:rPr>
          <w:color w:val="000000"/>
          <w:szCs w:val="22"/>
          <w:lang w:val="fr-FR"/>
        </w:rPr>
        <w:t xml:space="preserve">Dans une étude observationnelle chez les patients </w:t>
      </w:r>
      <w:r w:rsidR="00250DF7" w:rsidRPr="00961E0F">
        <w:rPr>
          <w:color w:val="000000"/>
          <w:szCs w:val="22"/>
          <w:lang w:val="fr-FR"/>
        </w:rPr>
        <w:t xml:space="preserve">pédiatriques </w:t>
      </w:r>
      <w:r w:rsidR="002139B9" w:rsidRPr="00961E0F">
        <w:rPr>
          <w:color w:val="000000"/>
          <w:szCs w:val="22"/>
          <w:lang w:val="fr-FR"/>
        </w:rPr>
        <w:t xml:space="preserve">atteints de LMC, </w:t>
      </w:r>
      <w:r w:rsidR="00250DF7" w:rsidRPr="00961E0F">
        <w:rPr>
          <w:color w:val="000000"/>
          <w:szCs w:val="22"/>
          <w:lang w:val="fr-FR"/>
        </w:rPr>
        <w:t xml:space="preserve">une diminution statistiquement significative (mais d’une pertinence clinique incertaine) </w:t>
      </w:r>
      <w:r w:rsidR="002139B9" w:rsidRPr="00961E0F">
        <w:rPr>
          <w:color w:val="000000"/>
          <w:szCs w:val="22"/>
          <w:lang w:val="fr-FR"/>
        </w:rPr>
        <w:t xml:space="preserve">de </w:t>
      </w:r>
      <w:r w:rsidR="00706DB9" w:rsidRPr="00961E0F">
        <w:rPr>
          <w:color w:val="000000"/>
          <w:szCs w:val="22"/>
          <w:lang w:val="fr-FR"/>
        </w:rPr>
        <w:t>la médiane du score d’</w:t>
      </w:r>
      <w:r w:rsidR="002139B9" w:rsidRPr="00961E0F">
        <w:rPr>
          <w:color w:val="000000"/>
          <w:szCs w:val="22"/>
          <w:lang w:val="fr-FR"/>
        </w:rPr>
        <w:t>écart type de la taille après 12 et 24</w:t>
      </w:r>
      <w:r w:rsidR="00C8738B" w:rsidRPr="00961E0F">
        <w:rPr>
          <w:color w:val="000000"/>
          <w:szCs w:val="22"/>
          <w:lang w:val="fr-FR"/>
        </w:rPr>
        <w:t> </w:t>
      </w:r>
      <w:r w:rsidR="002139B9" w:rsidRPr="00961E0F">
        <w:rPr>
          <w:color w:val="000000"/>
          <w:szCs w:val="22"/>
          <w:lang w:val="fr-FR"/>
        </w:rPr>
        <w:t xml:space="preserve">mois de traitement a été reportée dans deux </w:t>
      </w:r>
      <w:r w:rsidR="00755077" w:rsidRPr="00961E0F">
        <w:rPr>
          <w:color w:val="000000"/>
          <w:szCs w:val="22"/>
          <w:lang w:val="fr-FR"/>
        </w:rPr>
        <w:t>sous-groupes</w:t>
      </w:r>
      <w:r w:rsidR="00706DB9" w:rsidRPr="00961E0F">
        <w:rPr>
          <w:color w:val="000000"/>
          <w:szCs w:val="22"/>
          <w:lang w:val="fr-FR"/>
        </w:rPr>
        <w:t xml:space="preserve"> </w:t>
      </w:r>
      <w:r w:rsidR="00CA1A21" w:rsidRPr="00961E0F">
        <w:rPr>
          <w:color w:val="000000"/>
          <w:szCs w:val="22"/>
          <w:lang w:val="fr-FR"/>
        </w:rPr>
        <w:t xml:space="preserve">de taille limitée, </w:t>
      </w:r>
      <w:r w:rsidR="00755077" w:rsidRPr="00961E0F">
        <w:rPr>
          <w:color w:val="000000"/>
          <w:szCs w:val="22"/>
          <w:lang w:val="fr-FR"/>
        </w:rPr>
        <w:t xml:space="preserve">indépendamment du statut pubertaire </w:t>
      </w:r>
      <w:r w:rsidR="00B53565" w:rsidRPr="00961E0F">
        <w:rPr>
          <w:color w:val="000000"/>
          <w:szCs w:val="22"/>
          <w:lang w:val="fr-FR"/>
        </w:rPr>
        <w:t>ou</w:t>
      </w:r>
      <w:r w:rsidR="002139B9" w:rsidRPr="00961E0F">
        <w:rPr>
          <w:color w:val="000000"/>
          <w:szCs w:val="22"/>
          <w:lang w:val="fr-FR"/>
        </w:rPr>
        <w:t xml:space="preserve"> du sexe.</w:t>
      </w:r>
      <w:r w:rsidRPr="00961E0F">
        <w:rPr>
          <w:color w:val="000000"/>
          <w:szCs w:val="22"/>
          <w:lang w:val="fr-FR"/>
        </w:rPr>
        <w:t xml:space="preserve"> </w:t>
      </w:r>
      <w:r w:rsidR="002139B9" w:rsidRPr="00961E0F">
        <w:rPr>
          <w:color w:val="000000"/>
          <w:szCs w:val="22"/>
          <w:lang w:val="fr-FR"/>
        </w:rPr>
        <w:t>U</w:t>
      </w:r>
      <w:r w:rsidRPr="00961E0F">
        <w:rPr>
          <w:color w:val="000000"/>
          <w:szCs w:val="22"/>
          <w:lang w:val="fr-FR"/>
        </w:rPr>
        <w:t>ne surveillance étroite de la croissance chez les enfants traités par imatinib est recommandée (voir rubrique 4.8).</w:t>
      </w:r>
    </w:p>
    <w:p w14:paraId="612083BE" w14:textId="77777777" w:rsidR="007D642D" w:rsidRPr="00961E0F" w:rsidRDefault="007D642D">
      <w:pPr>
        <w:pStyle w:val="EndnoteText"/>
        <w:widowControl w:val="0"/>
        <w:tabs>
          <w:tab w:val="clear" w:pos="567"/>
        </w:tabs>
        <w:rPr>
          <w:color w:val="000000"/>
          <w:szCs w:val="22"/>
          <w:lang w:val="fr-FR"/>
        </w:rPr>
      </w:pPr>
    </w:p>
    <w:p w14:paraId="376B06C9" w14:textId="77777777" w:rsidR="007D642D" w:rsidRPr="00961E0F" w:rsidRDefault="007D642D" w:rsidP="00B15424">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4.5</w:t>
      </w:r>
      <w:r w:rsidRPr="00961E0F">
        <w:rPr>
          <w:rFonts w:ascii="Times New Roman" w:hAnsi="Times New Roman"/>
          <w:b/>
          <w:color w:val="000000"/>
          <w:szCs w:val="22"/>
        </w:rPr>
        <w:tab/>
        <w:t>Interactions avec d'autres médicaments et autres formes d'interactions</w:t>
      </w:r>
    </w:p>
    <w:p w14:paraId="1FF0230A" w14:textId="77777777" w:rsidR="007D642D" w:rsidRPr="00961E0F" w:rsidRDefault="007D642D" w:rsidP="00B15424">
      <w:pPr>
        <w:pStyle w:val="EndnoteText"/>
        <w:keepNext/>
        <w:widowControl w:val="0"/>
        <w:tabs>
          <w:tab w:val="clear" w:pos="567"/>
        </w:tabs>
        <w:rPr>
          <w:color w:val="000000"/>
          <w:szCs w:val="22"/>
          <w:lang w:val="fr-FR"/>
        </w:rPr>
      </w:pPr>
    </w:p>
    <w:p w14:paraId="5A7CFE30"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 xml:space="preserve">Substances actives pouvant </w:t>
      </w:r>
      <w:r w:rsidRPr="00961E0F">
        <w:rPr>
          <w:b/>
          <w:color w:val="000000"/>
          <w:szCs w:val="22"/>
          <w:u w:val="single"/>
          <w:lang w:val="fr-FR"/>
        </w:rPr>
        <w:t>augmenter</w:t>
      </w:r>
      <w:r w:rsidRPr="00961E0F">
        <w:rPr>
          <w:color w:val="000000"/>
          <w:szCs w:val="22"/>
          <w:u w:val="single"/>
          <w:lang w:val="fr-FR"/>
        </w:rPr>
        <w:t xml:space="preserve"> les concentrations plasmatiques d’imatinib</w:t>
      </w:r>
    </w:p>
    <w:p w14:paraId="0830633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substances inhibant l’activité de l’isoenzyme CYP3A4 du cytochrome P450 (par exemple : inhibiteurs de protéase tels qu’indinavir, lopinavir/ritonavir, ritonavir, saquinavir, télaprévir, nelfinavir, bocéprévir ; antifongiques azolés tels que kétoconazole, itraconazole, posaconazole, voriconazole ; certains macrolides tels qu’érythromycine, clarithromycine et télithromycine) pourraient diminuer le métabolisme d’imatinib et donc augmenter les concentrations plasmatiques de l’imatinib. Une augmentation significative de l’exposition systémique à l’imatinib (la valeur moyenne de </w:t>
      </w:r>
      <w:smartTag w:uri="urn:schemas-microsoft-com:office:smarttags" w:element="PersonName">
        <w:smartTagPr>
          <w:attr w:name="ProductID" w:val="la Cmax"/>
        </w:smartTagPr>
        <w:r w:rsidRPr="00961E0F">
          <w:rPr>
            <w:color w:val="000000"/>
            <w:szCs w:val="22"/>
            <w:lang w:val="fr-FR"/>
          </w:rPr>
          <w:t>la Cmax</w:t>
        </w:r>
      </w:smartTag>
      <w:r w:rsidRPr="00961E0F">
        <w:rPr>
          <w:color w:val="000000"/>
          <w:szCs w:val="22"/>
          <w:lang w:val="fr-FR"/>
        </w:rPr>
        <w:t xml:space="preserve"> et de l’ASC (Aire sous la courbe) ont respectivement été augmentées de 26% et 40%) a été observée chez des volontaires sains lors de l’administration d’une dose unique de kétoconazole (un inhibiteur du CYP3A4). La prudence est requise lorsque Glivec est administré avec des inhibiteurs du CYP3A4.</w:t>
      </w:r>
    </w:p>
    <w:p w14:paraId="4359E38E" w14:textId="77777777" w:rsidR="007D642D" w:rsidRPr="00961E0F" w:rsidRDefault="007D642D">
      <w:pPr>
        <w:pStyle w:val="EndnoteText"/>
        <w:widowControl w:val="0"/>
        <w:tabs>
          <w:tab w:val="clear" w:pos="567"/>
        </w:tabs>
        <w:rPr>
          <w:color w:val="000000"/>
          <w:szCs w:val="22"/>
          <w:lang w:val="fr-FR"/>
        </w:rPr>
      </w:pPr>
    </w:p>
    <w:p w14:paraId="6A7BA47C"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 xml:space="preserve">Substances actives pouvant </w:t>
      </w:r>
      <w:r w:rsidRPr="00961E0F">
        <w:rPr>
          <w:b/>
          <w:color w:val="000000"/>
          <w:szCs w:val="22"/>
          <w:u w:val="single"/>
          <w:lang w:val="fr-FR"/>
        </w:rPr>
        <w:t>diminuer</w:t>
      </w:r>
      <w:r w:rsidRPr="00961E0F">
        <w:rPr>
          <w:color w:val="000000"/>
          <w:szCs w:val="22"/>
          <w:u w:val="single"/>
          <w:lang w:val="fr-FR"/>
        </w:rPr>
        <w:t xml:space="preserve"> les concentrations plasmatiques d’imatinib</w:t>
      </w:r>
    </w:p>
    <w:p w14:paraId="24622A73" w14:textId="19ABE3A2"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substances agissant comme inducteurs de l’activité du CYP3A4 (par exemple : dexaméthasone, phénytoïne, carbamazépine, rifampicine, phénobarbital, fosphénytoïne, primidone, </w:t>
      </w:r>
      <w:r w:rsidRPr="00961E0F">
        <w:rPr>
          <w:i/>
          <w:color w:val="000000"/>
          <w:szCs w:val="22"/>
          <w:lang w:val="fr-FR"/>
        </w:rPr>
        <w:t>Hypericum perforatum</w:t>
      </w:r>
      <w:r w:rsidRPr="00961E0F">
        <w:rPr>
          <w:color w:val="000000"/>
          <w:szCs w:val="22"/>
          <w:lang w:val="fr-FR"/>
        </w:rPr>
        <w:t xml:space="preserve"> (millepertuis)) pourraient réduire significativement l’exposition systémique au Glivec, et potentiellement augmenter le risque d’échec thérapeutique. Un traitement préalable par 600 mg de rifampicine à doses multiples suivies d'une dose unique de 400 mg de Glivec, a entraîné une diminution de C</w:t>
      </w:r>
      <w:r w:rsidRPr="00961E0F">
        <w:rPr>
          <w:color w:val="000000"/>
          <w:szCs w:val="22"/>
          <w:vertAlign w:val="subscript"/>
          <w:lang w:val="fr-FR"/>
        </w:rPr>
        <w:t>max</w:t>
      </w:r>
      <w:r w:rsidRPr="00961E0F">
        <w:rPr>
          <w:color w:val="000000"/>
          <w:szCs w:val="22"/>
          <w:lang w:val="fr-FR"/>
        </w:rPr>
        <w:t xml:space="preserve"> et de l’ASC</w:t>
      </w:r>
      <w:r w:rsidRPr="00961E0F">
        <w:rPr>
          <w:color w:val="000000"/>
          <w:szCs w:val="22"/>
          <w:vertAlign w:val="subscript"/>
          <w:lang w:val="fr-FR"/>
        </w:rPr>
        <w:t>(0-</w:t>
      </w:r>
      <w:r w:rsidR="004B5DD7">
        <w:rPr>
          <w:color w:val="000000"/>
          <w:szCs w:val="22"/>
          <w:vertAlign w:val="subscript"/>
          <w:lang w:val="fr-FR"/>
        </w:rPr>
        <w:t>infini</w:t>
      </w:r>
      <w:r w:rsidRPr="00961E0F">
        <w:rPr>
          <w:color w:val="000000"/>
          <w:szCs w:val="22"/>
          <w:vertAlign w:val="subscript"/>
          <w:lang w:val="fr-FR"/>
        </w:rPr>
        <w:t>)</w:t>
      </w:r>
      <w:r w:rsidRPr="00961E0F">
        <w:rPr>
          <w:color w:val="000000"/>
          <w:szCs w:val="22"/>
          <w:lang w:val="fr-FR"/>
        </w:rPr>
        <w:t xml:space="preserve"> d’au moins 54% et 74%, par rapport à leurs valeurs respectives sans traitement par rifampicine. Des résultats similaires ont été observés chez des patients atteints de gliomes malins traités par Glivec et avec des antiépileptiques inducteurs enzymatiques tels que la carbamazépine, l’oxcarbazépine et la phénytoïne. L’ASC plasmatique de l’imatinib a diminué de 73% par rapport à celle des patients non traités par antiépileptiques inducteurs enzymatiques. L’utilisation concomitante d’imatinib avec des inducteurs puissants du CYP3A4 devra être évitée.</w:t>
      </w:r>
    </w:p>
    <w:p w14:paraId="65034BDA" w14:textId="77777777" w:rsidR="007D642D" w:rsidRPr="00961E0F" w:rsidRDefault="007D642D">
      <w:pPr>
        <w:pStyle w:val="EndnoteText"/>
        <w:widowControl w:val="0"/>
        <w:tabs>
          <w:tab w:val="clear" w:pos="567"/>
        </w:tabs>
        <w:rPr>
          <w:color w:val="000000"/>
          <w:szCs w:val="22"/>
          <w:lang w:val="fr-FR"/>
        </w:rPr>
      </w:pPr>
    </w:p>
    <w:p w14:paraId="4A81CE60" w14:textId="77777777" w:rsidR="007D642D" w:rsidRPr="00961E0F" w:rsidRDefault="007D642D" w:rsidP="00B15424">
      <w:pPr>
        <w:pStyle w:val="EndnoteText"/>
        <w:keepNext/>
        <w:widowControl w:val="0"/>
        <w:tabs>
          <w:tab w:val="clear" w:pos="567"/>
        </w:tabs>
        <w:rPr>
          <w:b/>
          <w:color w:val="000000"/>
          <w:szCs w:val="22"/>
          <w:lang w:val="fr-FR"/>
        </w:rPr>
      </w:pPr>
      <w:r w:rsidRPr="00961E0F">
        <w:rPr>
          <w:b/>
          <w:color w:val="000000"/>
          <w:szCs w:val="22"/>
          <w:lang w:val="fr-FR"/>
        </w:rPr>
        <w:t>Substances actives dont la concentration plasmatique peut être modifiée par Glivec :</w:t>
      </w:r>
    </w:p>
    <w:p w14:paraId="70D70D1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L’imatinib augmente la valeur moyenne de </w:t>
      </w:r>
      <w:smartTag w:uri="urn:schemas-microsoft-com:office:smarttags" w:element="PersonName">
        <w:smartTagPr>
          <w:attr w:name="ProductID" w:val="la Cmax"/>
        </w:smartTagPr>
        <w:r w:rsidRPr="00961E0F">
          <w:rPr>
            <w:color w:val="000000"/>
            <w:szCs w:val="22"/>
            <w:lang w:val="fr-FR"/>
          </w:rPr>
          <w:t>la Cmax</w:t>
        </w:r>
      </w:smartTag>
      <w:r w:rsidRPr="00961E0F">
        <w:rPr>
          <w:color w:val="000000"/>
          <w:szCs w:val="22"/>
          <w:lang w:val="fr-FR"/>
        </w:rPr>
        <w:t xml:space="preserve"> et l’ASC de la simvastatine (substrat du CYP3A4), respectivement 2 fois et 3,5 fois, indiquant ainsi une inhibition du CYP3A4 par l’imatinib. Glivec doit donc être associé avec prudence à des substrats du CYP3A4 dont l’index thérapeutique est étroit (par exemple : ciclosporine, pimozide, tacrolimus, sirolimus, ergotamine, diergotamine, fentanyl, alfentanil, terfénadine, bortézomib, docétaxel et quinidine). Par ailleurs, Glivec peut augmenter la concentration plasmatique d’autres médicaments métabolisés par le CYP3A4 (par exemple triazolo-benzodiazépines, inhibiteurs calciques de type dihydropyridine, certains inhibiteurs de l’</w:t>
      </w:r>
      <w:smartTag w:uri="urn:schemas-microsoft-com:office:smarttags" w:element="stockticker">
        <w:r w:rsidRPr="00961E0F">
          <w:rPr>
            <w:color w:val="000000"/>
            <w:szCs w:val="22"/>
            <w:lang w:val="fr-FR"/>
          </w:rPr>
          <w:t>HMG</w:t>
        </w:r>
      </w:smartTag>
      <w:r w:rsidRPr="00961E0F">
        <w:rPr>
          <w:color w:val="000000"/>
          <w:szCs w:val="22"/>
          <w:lang w:val="fr-FR"/>
        </w:rPr>
        <w:t>-CoA réductase, c’est à dire les statines, etc.).</w:t>
      </w:r>
    </w:p>
    <w:p w14:paraId="051E31DB" w14:textId="77777777" w:rsidR="007D642D" w:rsidRPr="00961E0F" w:rsidRDefault="007D642D">
      <w:pPr>
        <w:pStyle w:val="EndnoteText"/>
        <w:widowControl w:val="0"/>
        <w:tabs>
          <w:tab w:val="clear" w:pos="567"/>
        </w:tabs>
        <w:rPr>
          <w:color w:val="000000"/>
          <w:szCs w:val="22"/>
          <w:lang w:val="fr-FR"/>
        </w:rPr>
      </w:pPr>
    </w:p>
    <w:p w14:paraId="726B53D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raison des risques connus d’augmentation des saignements associés à l’utilisation de l’imatinib (par exemple hémorragie), les patients nécessitant un traitement anticoagulant devront recevoir de l’héparine standard ou de bas poids moléculaire au lieu de dérivés de la coumarine tels que la warfarine.</w:t>
      </w:r>
    </w:p>
    <w:p w14:paraId="1A7BF1D7" w14:textId="77777777" w:rsidR="007D642D" w:rsidRPr="00961E0F" w:rsidRDefault="007D642D">
      <w:pPr>
        <w:pStyle w:val="EndnoteText"/>
        <w:widowControl w:val="0"/>
        <w:tabs>
          <w:tab w:val="clear" w:pos="567"/>
        </w:tabs>
        <w:rPr>
          <w:color w:val="000000"/>
          <w:szCs w:val="22"/>
          <w:lang w:val="fr-FR"/>
        </w:rPr>
      </w:pPr>
    </w:p>
    <w:p w14:paraId="1FF98878"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Glivec inhibe l’activité de l’isoenzyme CYP2D6 du cytochrome P450 à des concentrations similaires à celles affectant l’activité du CYP3A4. L’imatinib à 400 mg deux fois par jour avait un effet inhibiteur sur le métabolisme de métoprolol via le CYP2D6, avec une augmentation approximativement de 23% du C</w:t>
      </w:r>
      <w:r w:rsidRPr="00961E0F">
        <w:rPr>
          <w:color w:val="000000"/>
          <w:szCs w:val="22"/>
          <w:vertAlign w:val="subscript"/>
          <w:lang w:val="fr-FR"/>
        </w:rPr>
        <w:t>max</w:t>
      </w:r>
      <w:r w:rsidRPr="00961E0F">
        <w:rPr>
          <w:color w:val="000000"/>
          <w:szCs w:val="22"/>
          <w:lang w:val="fr-FR"/>
        </w:rPr>
        <w:t xml:space="preserve"> et de l’ASC</w:t>
      </w:r>
      <w:r w:rsidRPr="00961E0F">
        <w:rPr>
          <w:color w:val="000000"/>
          <w:szCs w:val="22"/>
          <w:vertAlign w:val="subscript"/>
          <w:lang w:val="fr-FR"/>
        </w:rPr>
        <w:t xml:space="preserve"> </w:t>
      </w:r>
      <w:r w:rsidRPr="00961E0F">
        <w:rPr>
          <w:color w:val="000000"/>
          <w:szCs w:val="22"/>
          <w:lang w:val="fr-FR"/>
        </w:rPr>
        <w:t>du métoprolol (IC 90%[1,16</w:t>
      </w:r>
      <w:r w:rsidRPr="00961E0F">
        <w:rPr>
          <w:color w:val="000000"/>
          <w:szCs w:val="22"/>
          <w:lang w:val="fr-FR"/>
        </w:rPr>
        <w:noBreakHyphen/>
        <w:t xml:space="preserve">1,30]. Il ne semble pas nécessaire d’adapter les doses lorsque l’imatinib est administré avec des substrats du CYP2D6, </w:t>
      </w:r>
      <w:r w:rsidRPr="00961E0F">
        <w:rPr>
          <w:color w:val="000000"/>
          <w:szCs w:val="22"/>
          <w:lang w:val="fr-FR"/>
        </w:rPr>
        <w:lastRenderedPageBreak/>
        <w:t>toutefois la prudence est recommandée avec les substrats du CYP2D6 présentant une fenêtre thérapeutique étroite telle que le métoprolol. Chez les patients traités par métoprolol, la surveillance clinique devra être envisagée.</w:t>
      </w:r>
    </w:p>
    <w:p w14:paraId="42F52262" w14:textId="77777777" w:rsidR="007D642D" w:rsidRPr="00961E0F" w:rsidRDefault="007D642D">
      <w:pPr>
        <w:pStyle w:val="EndnoteText"/>
        <w:widowControl w:val="0"/>
        <w:tabs>
          <w:tab w:val="clear" w:pos="567"/>
        </w:tabs>
        <w:rPr>
          <w:color w:val="000000"/>
          <w:szCs w:val="22"/>
          <w:lang w:val="fr-FR"/>
        </w:rPr>
      </w:pPr>
    </w:p>
    <w:p w14:paraId="5134EBAF"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xml:space="preserve">, Glivec inhibe l’O-glucuronidation du paracétamol avec un Ki de 58,5 µmol/l. Cette inhibition n’a pas été observée </w:t>
      </w:r>
      <w:r w:rsidRPr="00961E0F">
        <w:rPr>
          <w:i/>
          <w:color w:val="000000"/>
          <w:szCs w:val="22"/>
          <w:lang w:val="fr-FR"/>
        </w:rPr>
        <w:t>in vivo</w:t>
      </w:r>
      <w:r w:rsidRPr="00961E0F">
        <w:rPr>
          <w:color w:val="000000"/>
          <w:szCs w:val="22"/>
          <w:lang w:val="fr-FR"/>
        </w:rPr>
        <w:t xml:space="preserve"> après l’administration de 400 mg de Glivec et 1000 mg de paracétamol. Des doses plus élevées de Glivec et de paracétamol n’ont pas été étudiées.</w:t>
      </w:r>
    </w:p>
    <w:p w14:paraId="7642697E" w14:textId="77777777" w:rsidR="007D642D" w:rsidRPr="00961E0F" w:rsidRDefault="007D642D">
      <w:pPr>
        <w:pStyle w:val="EndnoteText"/>
        <w:widowControl w:val="0"/>
        <w:tabs>
          <w:tab w:val="clear" w:pos="567"/>
        </w:tabs>
        <w:rPr>
          <w:color w:val="000000"/>
          <w:szCs w:val="22"/>
          <w:lang w:val="fr-FR"/>
        </w:rPr>
      </w:pPr>
    </w:p>
    <w:p w14:paraId="6CD60D9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prudence est donc requise lors de l’utilisation concomitante de fortes doses de Glivec et de paracétamol.</w:t>
      </w:r>
    </w:p>
    <w:p w14:paraId="6AD36B2F" w14:textId="77777777" w:rsidR="007D642D" w:rsidRPr="00961E0F" w:rsidRDefault="007D642D">
      <w:pPr>
        <w:pStyle w:val="EndnoteText"/>
        <w:widowControl w:val="0"/>
        <w:tabs>
          <w:tab w:val="clear" w:pos="567"/>
        </w:tabs>
        <w:rPr>
          <w:color w:val="000000"/>
          <w:szCs w:val="22"/>
          <w:lang w:val="fr-FR"/>
        </w:rPr>
      </w:pPr>
    </w:p>
    <w:p w14:paraId="4BC3DF7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Des cas cliniques d’hupothyroïdie ont été rapportés chez des patients traités par Glivec, ayant subi une thyroïdectomie et recevant un traitement par lévothyroxine (voir rubrique 4.4). Toutefois, le mécanisme de cette interaction observée est à ce jour inconnu. La prudence est donc recommandée. Les taux de </w:t>
      </w:r>
      <w:smartTag w:uri="urn:schemas-microsoft-com:office:smarttags" w:element="stockticker">
        <w:r w:rsidRPr="00961E0F">
          <w:rPr>
            <w:color w:val="000000"/>
            <w:szCs w:val="22"/>
            <w:lang w:val="fr-FR"/>
          </w:rPr>
          <w:t>TSH</w:t>
        </w:r>
      </w:smartTag>
      <w:r w:rsidRPr="00961E0F">
        <w:rPr>
          <w:color w:val="000000"/>
          <w:szCs w:val="22"/>
          <w:lang w:val="fr-FR"/>
        </w:rPr>
        <w:t xml:space="preserve"> devront être étroitement surveillés chez ces patients.</w:t>
      </w:r>
    </w:p>
    <w:p w14:paraId="34618A2A" w14:textId="77777777" w:rsidR="007D642D" w:rsidRPr="00961E0F" w:rsidRDefault="007D642D">
      <w:pPr>
        <w:pStyle w:val="EndnoteText"/>
        <w:widowControl w:val="0"/>
        <w:tabs>
          <w:tab w:val="clear" w:pos="567"/>
        </w:tabs>
        <w:rPr>
          <w:color w:val="000000"/>
          <w:szCs w:val="22"/>
          <w:lang w:val="fr-FR"/>
        </w:rPr>
      </w:pPr>
    </w:p>
    <w:p w14:paraId="1CFE393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les patients atteints de LAL Ph+, on dispose d’une expérience clinique de l’administration concomitante de Glivec avec une chimiothérapie (voir rubrique 5.1), cependant les interactions médicamenteuses entre l’imatinib et les schémas thérapeutiques de chimiothérapie n’ont pas été clairement identifiés. Les effets indésirables de l’imatinib tels qu’une hépatotoxicité, une myélosuppression ou d’autres effets, peuvent augmenter et il a été rapporté q’une utilisation concomitante de </w:t>
      </w:r>
      <w:smartTag w:uri="urn:schemas-microsoft-com:office:smarttags" w:element="PersonName">
        <w:smartTagPr>
          <w:attr w:name="ProductID" w:val="la L-asparaginase"/>
        </w:smartTagPr>
        <w:r w:rsidRPr="00961E0F">
          <w:rPr>
            <w:color w:val="000000"/>
            <w:szCs w:val="22"/>
            <w:lang w:val="fr-FR"/>
          </w:rPr>
          <w:t>la L-asparaginase</w:t>
        </w:r>
      </w:smartTag>
      <w:r w:rsidRPr="00961E0F">
        <w:rPr>
          <w:color w:val="000000"/>
          <w:szCs w:val="22"/>
          <w:lang w:val="fr-FR"/>
        </w:rPr>
        <w:t xml:space="preserve"> pourrait être associée à une hépatotoxicité augmentée (voir rubrique 4.8). Ainsi, l’administration de Glivec en association nécessite des précautions particulières.</w:t>
      </w:r>
    </w:p>
    <w:p w14:paraId="5FE693AD" w14:textId="77777777" w:rsidR="007D642D" w:rsidRPr="00961E0F" w:rsidRDefault="007D642D">
      <w:pPr>
        <w:pStyle w:val="EndnoteText"/>
        <w:widowControl w:val="0"/>
        <w:tabs>
          <w:tab w:val="clear" w:pos="567"/>
        </w:tabs>
        <w:rPr>
          <w:color w:val="000000"/>
          <w:szCs w:val="22"/>
          <w:lang w:val="fr-FR"/>
        </w:rPr>
      </w:pPr>
    </w:p>
    <w:p w14:paraId="2BBC4EBB"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4.6</w:t>
      </w:r>
      <w:r w:rsidRPr="00961E0F">
        <w:rPr>
          <w:rFonts w:ascii="Times New Roman" w:hAnsi="Times New Roman"/>
          <w:b/>
          <w:color w:val="000000"/>
          <w:szCs w:val="22"/>
        </w:rPr>
        <w:tab/>
      </w:r>
      <w:r w:rsidR="00E8481F" w:rsidRPr="00961E0F">
        <w:rPr>
          <w:rFonts w:ascii="Times New Roman" w:hAnsi="Times New Roman"/>
          <w:b/>
          <w:color w:val="000000"/>
          <w:szCs w:val="22"/>
        </w:rPr>
        <w:t>Fertilité</w:t>
      </w:r>
      <w:r w:rsidRPr="00961E0F">
        <w:rPr>
          <w:rFonts w:ascii="Times New Roman" w:hAnsi="Times New Roman"/>
          <w:b/>
          <w:color w:val="000000"/>
          <w:szCs w:val="22"/>
        </w:rPr>
        <w:t>, grossesse et allaitement</w:t>
      </w:r>
    </w:p>
    <w:p w14:paraId="72253193" w14:textId="77777777" w:rsidR="007D642D" w:rsidRPr="00961E0F" w:rsidRDefault="007D642D" w:rsidP="00B15424">
      <w:pPr>
        <w:pStyle w:val="EndnoteText"/>
        <w:keepNext/>
        <w:widowControl w:val="0"/>
        <w:tabs>
          <w:tab w:val="clear" w:pos="567"/>
        </w:tabs>
        <w:rPr>
          <w:color w:val="000000"/>
          <w:szCs w:val="22"/>
          <w:lang w:val="fr-FR"/>
        </w:rPr>
      </w:pPr>
    </w:p>
    <w:p w14:paraId="17EBC5D9" w14:textId="77777777" w:rsidR="00E8481F" w:rsidRPr="00961E0F" w:rsidRDefault="00E8481F" w:rsidP="00B15424">
      <w:pPr>
        <w:pStyle w:val="EndnoteText"/>
        <w:keepNext/>
        <w:widowControl w:val="0"/>
        <w:tabs>
          <w:tab w:val="clear" w:pos="567"/>
        </w:tabs>
        <w:rPr>
          <w:color w:val="000000"/>
          <w:szCs w:val="22"/>
          <w:u w:val="single"/>
          <w:lang w:val="fr-FR"/>
        </w:rPr>
      </w:pPr>
      <w:r w:rsidRPr="00961E0F">
        <w:rPr>
          <w:color w:val="000000"/>
          <w:szCs w:val="22"/>
          <w:u w:val="single"/>
          <w:lang w:val="fr-FR"/>
        </w:rPr>
        <w:t>Femmes en âge de procréer</w:t>
      </w:r>
    </w:p>
    <w:p w14:paraId="4B11C99B" w14:textId="77777777" w:rsidR="00E8481F" w:rsidRPr="00961E0F" w:rsidRDefault="00E8481F" w:rsidP="00E8481F">
      <w:pPr>
        <w:pStyle w:val="EndnoteText"/>
        <w:widowControl w:val="0"/>
        <w:tabs>
          <w:tab w:val="clear" w:pos="567"/>
        </w:tabs>
        <w:rPr>
          <w:color w:val="000000"/>
          <w:szCs w:val="22"/>
          <w:lang w:val="fr-FR"/>
        </w:rPr>
      </w:pPr>
      <w:r w:rsidRPr="00961E0F">
        <w:rPr>
          <w:color w:val="000000"/>
          <w:szCs w:val="22"/>
          <w:lang w:val="fr-FR"/>
        </w:rPr>
        <w:t>Les femmes en âge de procréer doivent être informées qu’elles doivent utiliser une contraception efficace pendant le traitement</w:t>
      </w:r>
      <w:r w:rsidR="001A5311">
        <w:rPr>
          <w:color w:val="000000"/>
          <w:szCs w:val="22"/>
          <w:lang w:val="fr-FR"/>
        </w:rPr>
        <w:t xml:space="preserve"> et pendant au moins 15 jours après l’arrêt du traitement par Glivec</w:t>
      </w:r>
      <w:r w:rsidRPr="00961E0F">
        <w:rPr>
          <w:color w:val="000000"/>
          <w:szCs w:val="22"/>
          <w:lang w:val="fr-FR"/>
        </w:rPr>
        <w:t>.</w:t>
      </w:r>
    </w:p>
    <w:p w14:paraId="04702CDC" w14:textId="77777777" w:rsidR="00E8481F" w:rsidRPr="00961E0F" w:rsidRDefault="00E8481F">
      <w:pPr>
        <w:pStyle w:val="EndnoteText"/>
        <w:widowControl w:val="0"/>
        <w:tabs>
          <w:tab w:val="clear" w:pos="567"/>
        </w:tabs>
        <w:rPr>
          <w:color w:val="000000"/>
          <w:szCs w:val="22"/>
          <w:u w:val="single"/>
          <w:lang w:val="fr-FR"/>
        </w:rPr>
      </w:pPr>
    </w:p>
    <w:p w14:paraId="5E759676"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Grossesse</w:t>
      </w:r>
    </w:p>
    <w:p w14:paraId="601A22F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données concernant l'utilisation de l'imatinib chez la femme enceinte sont limitées. </w:t>
      </w:r>
      <w:r w:rsidR="000D4062" w:rsidRPr="00961E0F">
        <w:rPr>
          <w:color w:val="000000"/>
          <w:szCs w:val="22"/>
          <w:lang w:val="fr-FR"/>
        </w:rPr>
        <w:t xml:space="preserve">Depuis la mise sur le marché, des cas d’avortement spontanés et d’anomalies congénitales ont été rapportés chez des femmes ayant été traitées par Glivec. </w:t>
      </w:r>
      <w:r w:rsidRPr="00961E0F">
        <w:rPr>
          <w:color w:val="000000"/>
          <w:szCs w:val="22"/>
          <w:lang w:val="fr-FR"/>
        </w:rPr>
        <w:t xml:space="preserve">Les études effectuées chez l'animal ont toutefois mis en évidence une toxicité sur la reproduction (voir rubrique 5.3) et le risque potentiel sur le fœtus en clinique n’est pas connu. Glivec </w:t>
      </w:r>
      <w:bookmarkStart w:id="1" w:name="OLE_LINK1"/>
      <w:bookmarkStart w:id="2" w:name="OLE_LINK2"/>
      <w:r w:rsidRPr="00961E0F">
        <w:rPr>
          <w:color w:val="000000"/>
          <w:szCs w:val="22"/>
          <w:lang w:val="fr-FR"/>
        </w:rPr>
        <w:t xml:space="preserve">ne doit pas être utilisé pendant la grossesse </w:t>
      </w:r>
      <w:bookmarkEnd w:id="1"/>
      <w:bookmarkEnd w:id="2"/>
      <w:r w:rsidRPr="00961E0F">
        <w:rPr>
          <w:color w:val="000000"/>
          <w:szCs w:val="22"/>
          <w:lang w:val="fr-FR"/>
        </w:rPr>
        <w:t>à moins d’une nécessité absolue. S’il est utilisé au cours de la grossesse, la patiente doit être prévenue du risque potentiel pour le fœtus.</w:t>
      </w:r>
    </w:p>
    <w:p w14:paraId="65BBCEAB" w14:textId="77777777" w:rsidR="007D642D" w:rsidRPr="00961E0F" w:rsidRDefault="007D642D">
      <w:pPr>
        <w:pStyle w:val="EndnoteText"/>
        <w:widowControl w:val="0"/>
        <w:tabs>
          <w:tab w:val="clear" w:pos="567"/>
        </w:tabs>
        <w:rPr>
          <w:color w:val="000000"/>
          <w:szCs w:val="22"/>
          <w:lang w:val="fr-FR"/>
        </w:rPr>
      </w:pPr>
    </w:p>
    <w:p w14:paraId="70F462C4"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u w:val="single"/>
          <w:lang w:val="fr-FR"/>
        </w:rPr>
        <w:t>Allaitement</w:t>
      </w:r>
    </w:p>
    <w:p w14:paraId="6A7DE193" w14:textId="72486F4D"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informations concernant la distribution de l’imatinib dans le lait maternel sont limitées. Les études chez deux patientes qui allaitaient ont montré que l’imatinib et son métabolite actif peuvent être distribués dans le lait maternel. Le rapport lait/plasma des concentrations d’imatinib mesuré chez une patiente était de 0,5 et celui du métabolite était de 0,9, suggérant une distribution plus élevée du métabolite dans le lait. En considérant la concentration de l’imatinib associée à celle de son métabolite et la quantité de lait journalière ingérée par les nourrissons, l’exposition totale attendue devrait être faible (environ 10% de la dose thérapeutique). Cependant, les effets d’une exposition </w:t>
      </w:r>
      <w:r w:rsidR="001A5311">
        <w:rPr>
          <w:color w:val="000000"/>
          <w:szCs w:val="22"/>
          <w:lang w:val="fr-FR"/>
        </w:rPr>
        <w:t xml:space="preserve">à l’imatinib </w:t>
      </w:r>
      <w:r w:rsidRPr="00961E0F">
        <w:rPr>
          <w:color w:val="000000"/>
          <w:szCs w:val="22"/>
          <w:lang w:val="fr-FR"/>
        </w:rPr>
        <w:t>de faible dose chez le nourrisson n’étant pas connus, les femmes ne doivent pas allaiter</w:t>
      </w:r>
      <w:r w:rsidR="001A5311">
        <w:rPr>
          <w:color w:val="000000"/>
          <w:szCs w:val="22"/>
          <w:lang w:val="fr-FR"/>
        </w:rPr>
        <w:t xml:space="preserve"> pendant le traitement et pendant au moins 15 jours après l’arrêt du traitement par Glivec</w:t>
      </w:r>
      <w:r w:rsidRPr="00961E0F">
        <w:rPr>
          <w:color w:val="000000"/>
          <w:szCs w:val="22"/>
          <w:lang w:val="fr-FR"/>
        </w:rPr>
        <w:t>.</w:t>
      </w:r>
    </w:p>
    <w:p w14:paraId="7A43C5A7" w14:textId="77777777" w:rsidR="007D642D" w:rsidRPr="00961E0F" w:rsidRDefault="007D642D">
      <w:pPr>
        <w:pStyle w:val="EndnoteText"/>
        <w:widowControl w:val="0"/>
        <w:tabs>
          <w:tab w:val="clear" w:pos="567"/>
        </w:tabs>
        <w:rPr>
          <w:color w:val="000000"/>
          <w:szCs w:val="22"/>
          <w:u w:val="single"/>
          <w:lang w:val="fr-FR"/>
        </w:rPr>
      </w:pPr>
    </w:p>
    <w:p w14:paraId="15027E2C" w14:textId="77777777" w:rsidR="007D642D" w:rsidRPr="00961E0F" w:rsidRDefault="00E8481F" w:rsidP="00B15424">
      <w:pPr>
        <w:pStyle w:val="EndnoteText"/>
        <w:keepNext/>
        <w:widowControl w:val="0"/>
        <w:tabs>
          <w:tab w:val="clear" w:pos="567"/>
        </w:tabs>
        <w:rPr>
          <w:color w:val="000000"/>
          <w:szCs w:val="22"/>
          <w:u w:val="single"/>
          <w:lang w:val="fr-FR"/>
        </w:rPr>
      </w:pPr>
      <w:r w:rsidRPr="00961E0F">
        <w:rPr>
          <w:color w:val="000000"/>
          <w:szCs w:val="22"/>
          <w:u w:val="single"/>
          <w:lang w:val="fr-FR"/>
        </w:rPr>
        <w:t>Fertilité</w:t>
      </w:r>
    </w:p>
    <w:p w14:paraId="1BAF240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fertilité des rats mâles et femelles n’a pas été affectée dans les études précliniques</w:t>
      </w:r>
      <w:r w:rsidR="001A5311">
        <w:rPr>
          <w:color w:val="000000"/>
          <w:szCs w:val="22"/>
          <w:lang w:val="fr-FR"/>
        </w:rPr>
        <w:t>, bien que des effets sur les paramètres de la reproduction aient été observés</w:t>
      </w:r>
      <w:r w:rsidRPr="00961E0F">
        <w:rPr>
          <w:color w:val="000000"/>
          <w:szCs w:val="22"/>
          <w:lang w:val="fr-FR"/>
        </w:rPr>
        <w:t xml:space="preserve"> (voir rubrique 5.3). Aucune étude n'a été effectuée sur des patients recevant Glivec et sur son effet sur la fécondité et la gamétogenèse. Les patients préoccupés par leur fécondité sous traitement par Glivec doivent consulter leur médecin.</w:t>
      </w:r>
    </w:p>
    <w:p w14:paraId="29068D78" w14:textId="77777777" w:rsidR="007D642D" w:rsidRPr="00961E0F" w:rsidRDefault="007D642D">
      <w:pPr>
        <w:pStyle w:val="EndnoteText"/>
        <w:widowControl w:val="0"/>
        <w:tabs>
          <w:tab w:val="clear" w:pos="567"/>
        </w:tabs>
        <w:rPr>
          <w:color w:val="000000"/>
          <w:szCs w:val="22"/>
          <w:lang w:val="fr-FR"/>
        </w:rPr>
      </w:pPr>
    </w:p>
    <w:p w14:paraId="7B6DF567"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lastRenderedPageBreak/>
        <w:t>4.7</w:t>
      </w:r>
      <w:r w:rsidRPr="00961E0F">
        <w:rPr>
          <w:rFonts w:ascii="Times New Roman" w:hAnsi="Times New Roman"/>
          <w:b/>
          <w:color w:val="000000"/>
          <w:szCs w:val="22"/>
        </w:rPr>
        <w:tab/>
        <w:t>Effets sur l'aptitude à conduire des véhicules et à utiliser des machines</w:t>
      </w:r>
    </w:p>
    <w:p w14:paraId="446C7531" w14:textId="77777777" w:rsidR="007D642D" w:rsidRPr="00961E0F" w:rsidRDefault="007D642D" w:rsidP="00B15424">
      <w:pPr>
        <w:pStyle w:val="EndnoteText"/>
        <w:keepNext/>
        <w:widowControl w:val="0"/>
        <w:tabs>
          <w:tab w:val="clear" w:pos="567"/>
        </w:tabs>
        <w:rPr>
          <w:color w:val="000000"/>
          <w:szCs w:val="22"/>
          <w:lang w:val="fr-FR"/>
        </w:rPr>
      </w:pPr>
    </w:p>
    <w:p w14:paraId="0FD8AD8C" w14:textId="77777777" w:rsidR="007D642D" w:rsidRPr="00961E0F" w:rsidRDefault="007D642D">
      <w:pPr>
        <w:widowControl w:val="0"/>
        <w:suppressAutoHyphens/>
        <w:rPr>
          <w:rFonts w:ascii="Times New Roman" w:hAnsi="Times New Roman"/>
          <w:snapToGrid w:val="0"/>
          <w:color w:val="000000"/>
          <w:szCs w:val="22"/>
        </w:rPr>
      </w:pPr>
      <w:r w:rsidRPr="00961E0F">
        <w:rPr>
          <w:rFonts w:ascii="Times New Roman" w:hAnsi="Times New Roman"/>
          <w:snapToGrid w:val="0"/>
          <w:color w:val="000000"/>
          <w:szCs w:val="22"/>
        </w:rPr>
        <w:t>Les patients devront être informés qu’ils peuvent voir survenir des effets indésirables tels que sensations vertigineuses, troubles visuels ou somnolence au cours du traitement par l’imatinib. La prudence est donc recommandée pour les utilisateurs de véhicules ou de machines.</w:t>
      </w:r>
    </w:p>
    <w:p w14:paraId="0686980C" w14:textId="77777777" w:rsidR="007D642D" w:rsidRPr="00961E0F" w:rsidRDefault="007D642D">
      <w:pPr>
        <w:widowControl w:val="0"/>
        <w:suppressAutoHyphens/>
        <w:rPr>
          <w:rFonts w:ascii="Times New Roman" w:hAnsi="Times New Roman"/>
          <w:snapToGrid w:val="0"/>
          <w:color w:val="000000"/>
          <w:szCs w:val="22"/>
        </w:rPr>
      </w:pPr>
    </w:p>
    <w:p w14:paraId="7483C312" w14:textId="77777777" w:rsidR="007D642D" w:rsidRPr="00961E0F" w:rsidRDefault="007D642D" w:rsidP="00B15424">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4.8</w:t>
      </w:r>
      <w:r w:rsidRPr="00961E0F">
        <w:rPr>
          <w:rFonts w:ascii="Times New Roman" w:hAnsi="Times New Roman"/>
          <w:b/>
          <w:color w:val="000000"/>
          <w:szCs w:val="22"/>
        </w:rPr>
        <w:tab/>
        <w:t>Effets indésirables</w:t>
      </w:r>
    </w:p>
    <w:p w14:paraId="7DDF8B03" w14:textId="77777777" w:rsidR="007D642D" w:rsidRPr="00961E0F" w:rsidRDefault="007D642D" w:rsidP="00B15424">
      <w:pPr>
        <w:keepNext/>
        <w:widowControl w:val="0"/>
        <w:rPr>
          <w:rFonts w:ascii="Times New Roman" w:hAnsi="Times New Roman"/>
          <w:color w:val="000000"/>
          <w:szCs w:val="22"/>
        </w:rPr>
      </w:pPr>
    </w:p>
    <w:p w14:paraId="03E4ED80"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Les patients atteints de pathologies malignes à un stade avancé peuvent présenter des affections intercurrentes. Ces affections peuvent rendre difficile l’évaluation du lien entre l’administration de Glivec et la survenue d’événements indésirables en raison de la variété des symptômes liés à la maladie sous-jacente, à sa progression ou à la co-administration de nombreux médicaments.</w:t>
      </w:r>
    </w:p>
    <w:p w14:paraId="00780146" w14:textId="77777777" w:rsidR="007D642D" w:rsidRPr="00961E0F" w:rsidRDefault="007D642D">
      <w:pPr>
        <w:pStyle w:val="paragraphSIF"/>
        <w:widowControl w:val="0"/>
        <w:tabs>
          <w:tab w:val="clear" w:pos="-720"/>
        </w:tabs>
        <w:jc w:val="left"/>
        <w:rPr>
          <w:color w:val="000000"/>
          <w:szCs w:val="22"/>
          <w:lang w:val="fr-FR"/>
        </w:rPr>
      </w:pPr>
    </w:p>
    <w:p w14:paraId="16D58FA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Au cours des études cliniques menées dans </w:t>
      </w:r>
      <w:smartTag w:uri="urn:schemas-microsoft-com:office:smarttags" w:element="PersonName">
        <w:smartTagPr>
          <w:attr w:name="ProductID" w:val="la LMC"/>
        </w:smartTagPr>
        <w:r w:rsidRPr="00961E0F">
          <w:rPr>
            <w:rFonts w:ascii="Times New Roman" w:hAnsi="Times New Roman"/>
            <w:color w:val="000000"/>
            <w:szCs w:val="22"/>
          </w:rPr>
          <w:t>la LMC</w:t>
        </w:r>
      </w:smartTag>
      <w:r w:rsidRPr="00961E0F">
        <w:rPr>
          <w:rFonts w:ascii="Times New Roman" w:hAnsi="Times New Roman"/>
          <w:color w:val="000000"/>
          <w:szCs w:val="22"/>
        </w:rPr>
        <w:t>, un arrêt du traitement motivé par des effets indésirables imputables au médicament a été observé chez 2,4% des patients nouvellement diagnostiqués, 4% des patients en phase chronique tardive après échec du traitement par l’interféron, 4% des patients en phase accélérée après échec du traitement par l’interféron et 5% des patients en crise blastique après échec du traitement par l’interféron. Dans les GIST, le produit étudié a été arrêté en raison d'effets indésirables imputables au médicament chez 4% des patients.</w:t>
      </w:r>
    </w:p>
    <w:p w14:paraId="19F3EBFB" w14:textId="77777777" w:rsidR="007D642D" w:rsidRPr="00961E0F" w:rsidRDefault="007D642D">
      <w:pPr>
        <w:widowControl w:val="0"/>
        <w:rPr>
          <w:rFonts w:ascii="Times New Roman" w:hAnsi="Times New Roman"/>
          <w:color w:val="000000"/>
          <w:szCs w:val="22"/>
        </w:rPr>
      </w:pPr>
    </w:p>
    <w:p w14:paraId="3DB0CF04" w14:textId="77777777" w:rsidR="007D642D" w:rsidRPr="00961E0F" w:rsidRDefault="007D642D">
      <w:pPr>
        <w:pStyle w:val="paragraphSIF"/>
        <w:widowControl w:val="0"/>
        <w:tabs>
          <w:tab w:val="clear" w:pos="-720"/>
        </w:tabs>
        <w:jc w:val="left"/>
        <w:rPr>
          <w:color w:val="000000"/>
          <w:szCs w:val="22"/>
          <w:lang w:val="fr-FR"/>
        </w:rPr>
      </w:pPr>
      <w:r w:rsidRPr="00961E0F">
        <w:rPr>
          <w:color w:val="000000"/>
          <w:szCs w:val="22"/>
          <w:lang w:val="fr-FR"/>
        </w:rPr>
        <w:t xml:space="preserve">Les effets indésirables ont été comparables dans toutes les indications, à deux exceptions près. Il y a eu plus de myélosuppressions observées chez les patients atteints de LMC que chez ceux atteints de GIST, ce qui est probablement dû à la maladie sous-jacente. Dans l’étude clinique menée chez des patients atteints de GIST non resécables et/ou métastatiques, 7 (5%) patients ont présenté des saignements de grade 3 / 4 selon la classification </w:t>
      </w:r>
      <w:smartTag w:uri="urn:schemas-microsoft-com:office:smarttags" w:element="stockticker">
        <w:r w:rsidRPr="00961E0F">
          <w:rPr>
            <w:color w:val="000000"/>
            <w:szCs w:val="22"/>
            <w:lang w:val="fr-FR"/>
          </w:rPr>
          <w:t>CTC</w:t>
        </w:r>
      </w:smartTag>
      <w:r w:rsidRPr="00961E0F">
        <w:rPr>
          <w:color w:val="000000"/>
          <w:szCs w:val="22"/>
          <w:lang w:val="fr-FR"/>
        </w:rPr>
        <w:t xml:space="preserve"> (Common Toxicity Criteria) : saignements gastrointestinaux (3 patients), saignements intra-tumoraux (3 patients), les deux types (1 patient). La localisation de la tumeur gastrointestinale peut avoir été à l’origine des saignements gastro-intestinaux (voir rubrique 4.4). Les saignements gastro-intestinaux et intra-tumoraux peuvent être sérieux et dans certains cas fatals. Les effets indésirables les plus fréquemment rapportés (</w:t>
      </w:r>
      <w:r w:rsidRPr="00961E0F">
        <w:rPr>
          <w:color w:val="000000"/>
          <w:szCs w:val="22"/>
        </w:rPr>
        <w:sym w:font="Symbol" w:char="F0B3"/>
      </w:r>
      <w:r w:rsidRPr="00961E0F">
        <w:rPr>
          <w:color w:val="000000"/>
          <w:szCs w:val="22"/>
          <w:lang w:val="fr-FR"/>
        </w:rPr>
        <w:t> 10%) pouvant être imputables au traitement par Glivec dans les deux indications ont été des nausées modérées, vomissements, diarrhée, douleur abdominale, fatigue, myalgies, crampes musculaires et rash. Des œdèmes superficiels ont été très fréquemment observés dans toutes les études cliniques et décrits principalement comme des œdèmes périorbitaux ou des membres inférieurs. Toutefois, ces œdèmes ont été rarement sévères et ont pu être contrôlés par des diurétiques, d’autres mesures symptomatiques ou en réduisant la dose de Glivec.</w:t>
      </w:r>
    </w:p>
    <w:p w14:paraId="4302B1F2" w14:textId="77777777" w:rsidR="007D642D" w:rsidRPr="00961E0F" w:rsidRDefault="007D642D">
      <w:pPr>
        <w:pStyle w:val="paragraphSIF"/>
        <w:widowControl w:val="0"/>
        <w:tabs>
          <w:tab w:val="clear" w:pos="-720"/>
        </w:tabs>
        <w:jc w:val="left"/>
        <w:rPr>
          <w:color w:val="000000"/>
          <w:szCs w:val="22"/>
          <w:lang w:val="fr-FR"/>
        </w:rPr>
      </w:pPr>
    </w:p>
    <w:p w14:paraId="597158D8" w14:textId="77777777" w:rsidR="007D642D" w:rsidRPr="00961E0F" w:rsidRDefault="007D642D">
      <w:pPr>
        <w:pStyle w:val="paragraphSIF"/>
        <w:widowControl w:val="0"/>
        <w:tabs>
          <w:tab w:val="clear" w:pos="-720"/>
        </w:tabs>
        <w:jc w:val="left"/>
        <w:rPr>
          <w:color w:val="000000"/>
          <w:szCs w:val="22"/>
          <w:lang w:val="fr-FR"/>
        </w:rPr>
      </w:pPr>
      <w:r w:rsidRPr="00961E0F">
        <w:rPr>
          <w:color w:val="000000"/>
          <w:szCs w:val="22"/>
          <w:lang w:val="fr-FR"/>
        </w:rPr>
        <w:t>Lorsque l’imatinib était associé à des doses élevées de chimiothérapie chez des patients atteints de LAL Ph+, une toxicité hépatique transitoire se traduisant par une élévation des transaminases et une hyperbilirubinémie a été observée.</w:t>
      </w:r>
      <w:r w:rsidR="007E6051" w:rsidRPr="00961E0F">
        <w:rPr>
          <w:color w:val="000000"/>
          <w:szCs w:val="22"/>
          <w:lang w:val="fr-FR"/>
        </w:rPr>
        <w:t xml:space="preserve"> Au vu des données </w:t>
      </w:r>
      <w:r w:rsidR="00C977C3" w:rsidRPr="00961E0F">
        <w:rPr>
          <w:color w:val="000000"/>
          <w:szCs w:val="22"/>
          <w:lang w:val="fr-FR"/>
        </w:rPr>
        <w:t xml:space="preserve">limitées </w:t>
      </w:r>
      <w:r w:rsidR="007E6051" w:rsidRPr="00961E0F">
        <w:rPr>
          <w:color w:val="000000"/>
          <w:szCs w:val="22"/>
          <w:lang w:val="fr-FR"/>
        </w:rPr>
        <w:t xml:space="preserve">de </w:t>
      </w:r>
      <w:r w:rsidR="009B6744" w:rsidRPr="00961E0F">
        <w:rPr>
          <w:color w:val="000000"/>
          <w:szCs w:val="22"/>
          <w:lang w:val="fr-FR"/>
        </w:rPr>
        <w:t>tolérance</w:t>
      </w:r>
      <w:r w:rsidR="007E6051" w:rsidRPr="00961E0F">
        <w:rPr>
          <w:color w:val="000000"/>
          <w:szCs w:val="22"/>
          <w:lang w:val="fr-FR"/>
        </w:rPr>
        <w:t xml:space="preserve">, les effets indésirables rapportés </w:t>
      </w:r>
      <w:r w:rsidR="00C977C3" w:rsidRPr="00961E0F">
        <w:rPr>
          <w:color w:val="000000"/>
          <w:szCs w:val="22"/>
          <w:lang w:val="fr-FR"/>
        </w:rPr>
        <w:t>ci-après</w:t>
      </w:r>
      <w:r w:rsidR="007E6051" w:rsidRPr="00961E0F">
        <w:rPr>
          <w:color w:val="000000"/>
          <w:szCs w:val="22"/>
          <w:lang w:val="fr-FR"/>
        </w:rPr>
        <w:t xml:space="preserve"> chez l’enfant sont cohérents avec le profil de </w:t>
      </w:r>
      <w:r w:rsidR="00644669" w:rsidRPr="00961E0F">
        <w:rPr>
          <w:color w:val="000000"/>
          <w:szCs w:val="22"/>
          <w:lang w:val="fr-FR"/>
        </w:rPr>
        <w:t>tolérance observé</w:t>
      </w:r>
      <w:r w:rsidR="007E6051" w:rsidRPr="00961E0F">
        <w:rPr>
          <w:color w:val="000000"/>
          <w:szCs w:val="22"/>
          <w:lang w:val="fr-FR"/>
        </w:rPr>
        <w:t xml:space="preserve"> chez l’adulte </w:t>
      </w:r>
      <w:r w:rsidR="00C977C3" w:rsidRPr="00961E0F">
        <w:rPr>
          <w:color w:val="000000"/>
          <w:szCs w:val="22"/>
          <w:lang w:val="fr-FR"/>
        </w:rPr>
        <w:t>atteint de</w:t>
      </w:r>
      <w:r w:rsidR="007E6051" w:rsidRPr="00961E0F">
        <w:rPr>
          <w:color w:val="000000"/>
          <w:szCs w:val="22"/>
          <w:lang w:val="fr-FR"/>
        </w:rPr>
        <w:t xml:space="preserve"> LAL Ph+. </w:t>
      </w:r>
      <w:r w:rsidR="00883C70" w:rsidRPr="00961E0F">
        <w:rPr>
          <w:color w:val="000000"/>
          <w:szCs w:val="22"/>
          <w:lang w:val="fr-FR"/>
        </w:rPr>
        <w:t xml:space="preserve">Les données de tolérance chez l’enfant atteint de LAL Ph+ sont très limitées </w:t>
      </w:r>
      <w:r w:rsidR="00C5388A" w:rsidRPr="00961E0F">
        <w:rPr>
          <w:color w:val="000000"/>
          <w:szCs w:val="22"/>
          <w:lang w:val="fr-FR"/>
        </w:rPr>
        <w:t>bien qu’</w:t>
      </w:r>
      <w:r w:rsidR="00883C70" w:rsidRPr="00961E0F">
        <w:rPr>
          <w:color w:val="000000"/>
          <w:szCs w:val="22"/>
          <w:lang w:val="fr-FR"/>
        </w:rPr>
        <w:t>aucun nouveau problème de sécurité n’a</w:t>
      </w:r>
      <w:r w:rsidR="00C5388A" w:rsidRPr="00961E0F">
        <w:rPr>
          <w:color w:val="000000"/>
          <w:szCs w:val="22"/>
          <w:lang w:val="fr-FR"/>
        </w:rPr>
        <w:t>it</w:t>
      </w:r>
      <w:r w:rsidR="00883C70" w:rsidRPr="00961E0F">
        <w:rPr>
          <w:color w:val="000000"/>
          <w:szCs w:val="22"/>
          <w:lang w:val="fr-FR"/>
        </w:rPr>
        <w:t xml:space="preserve"> été identifié.</w:t>
      </w:r>
    </w:p>
    <w:p w14:paraId="6C6A3EB1" w14:textId="77777777" w:rsidR="007D642D" w:rsidRPr="00961E0F" w:rsidRDefault="007D642D">
      <w:pPr>
        <w:widowControl w:val="0"/>
        <w:rPr>
          <w:rFonts w:ascii="Times New Roman" w:hAnsi="Times New Roman"/>
          <w:color w:val="000000"/>
          <w:szCs w:val="22"/>
        </w:rPr>
      </w:pPr>
    </w:p>
    <w:p w14:paraId="42F3FF8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Divers effets indésirables tels qu’épanchement pleural, ascite, œdème pulmonaire, prise de poids rapide avec ou sans œdème superficiel ont été décrits dans le cadre de rétention hydrique. Ces effets peuvent habituellement être contrôlés par l’interruption temporaire du Glivec et par l’utilisation de diurétiques et d’autres traitements symptomatiques appropriés. Cependant, certains de ces effets peuvent être graves voire mettre en jeu le pronostic vital : plusieurs patients en crise blastique sont décédés, avec un tableau clinique complexe associant un épanchement pleural, une insuffisance cardiaque congestive et une insuffisance rénale. Les études cliniques menées chez l’enfant n’ont pas révélé de données de tolérance particulière à cette population.</w:t>
      </w:r>
    </w:p>
    <w:p w14:paraId="259F390F" w14:textId="77777777" w:rsidR="007D642D" w:rsidRPr="00961E0F" w:rsidRDefault="007D642D">
      <w:pPr>
        <w:widowControl w:val="0"/>
        <w:rPr>
          <w:rFonts w:ascii="Times New Roman" w:hAnsi="Times New Roman"/>
          <w:color w:val="000000"/>
          <w:szCs w:val="22"/>
        </w:rPr>
      </w:pPr>
    </w:p>
    <w:p w14:paraId="685CCBD0" w14:textId="77777777" w:rsidR="007D642D" w:rsidRPr="00961E0F" w:rsidRDefault="007D642D" w:rsidP="00B15424">
      <w:pPr>
        <w:pStyle w:val="paragraphSIF"/>
        <w:keepNext/>
        <w:widowControl w:val="0"/>
        <w:tabs>
          <w:tab w:val="clear" w:pos="-720"/>
        </w:tabs>
        <w:jc w:val="left"/>
        <w:rPr>
          <w:b/>
          <w:color w:val="000000"/>
          <w:szCs w:val="22"/>
          <w:lang w:val="fr-FR"/>
        </w:rPr>
      </w:pPr>
      <w:r w:rsidRPr="00961E0F">
        <w:rPr>
          <w:b/>
          <w:color w:val="000000"/>
          <w:szCs w:val="22"/>
          <w:lang w:val="fr-FR"/>
        </w:rPr>
        <w:t>Les effets indésirables</w:t>
      </w:r>
    </w:p>
    <w:p w14:paraId="4B03E2D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Les effets indésirables, en dehors des cas isolés, sont repris ci-dessous par organe et par ordre de fréquence</w:t>
      </w:r>
      <w:r w:rsidRPr="00961E0F">
        <w:rPr>
          <w:color w:val="000000"/>
          <w:szCs w:val="22"/>
        </w:rPr>
        <w:t xml:space="preserve"> </w:t>
      </w:r>
      <w:r w:rsidRPr="00961E0F">
        <w:rPr>
          <w:rFonts w:ascii="Times New Roman" w:hAnsi="Times New Roman"/>
          <w:color w:val="000000"/>
          <w:szCs w:val="22"/>
        </w:rPr>
        <w:t>Les catégories de fréquence</w:t>
      </w:r>
      <w:r w:rsidRPr="00961E0F">
        <w:rPr>
          <w:color w:val="000000"/>
          <w:szCs w:val="22"/>
        </w:rPr>
        <w:t xml:space="preserve"> </w:t>
      </w:r>
      <w:r w:rsidRPr="00961E0F">
        <w:rPr>
          <w:rFonts w:ascii="Times New Roman" w:hAnsi="Times New Roman"/>
          <w:color w:val="000000"/>
          <w:szCs w:val="22"/>
        </w:rPr>
        <w:t xml:space="preserve">sont définies selon la convention suivante : très fréquent (≥1/10), fréquent (≥1/100, &lt;1/10), peu fréquent (≥1/1 000, </w:t>
      </w:r>
      <w:r w:rsidRPr="00961E0F">
        <w:rPr>
          <w:rFonts w:ascii="Times New Roman" w:hAnsi="Times New Roman"/>
          <w:b/>
          <w:noProof/>
          <w:color w:val="000000"/>
          <w:lang w:val="fi-FI"/>
        </w:rPr>
        <w:t>&lt;</w:t>
      </w:r>
      <w:r w:rsidRPr="00961E0F">
        <w:rPr>
          <w:rFonts w:ascii="Times New Roman" w:hAnsi="Times New Roman"/>
          <w:color w:val="000000"/>
          <w:szCs w:val="22"/>
        </w:rPr>
        <w:t>1/100), rare (</w:t>
      </w:r>
      <w:r w:rsidRPr="00961E0F">
        <w:rPr>
          <w:rFonts w:ascii="Times New Roman" w:hAnsi="Times New Roman"/>
          <w:noProof/>
          <w:color w:val="000000"/>
        </w:rPr>
        <w:sym w:font="Symbol" w:char="F0B3"/>
      </w:r>
      <w:r w:rsidRPr="00961E0F">
        <w:rPr>
          <w:rFonts w:ascii="Times New Roman" w:hAnsi="Times New Roman"/>
          <w:noProof/>
          <w:color w:val="000000"/>
        </w:rPr>
        <w:t>1/10 000, &lt;</w:t>
      </w:r>
      <w:r w:rsidRPr="00961E0F">
        <w:rPr>
          <w:rFonts w:ascii="Times New Roman" w:hAnsi="Times New Roman"/>
          <w:color w:val="000000"/>
          <w:szCs w:val="22"/>
        </w:rPr>
        <w:t>1/1 000),</w:t>
      </w:r>
      <w:r w:rsidRPr="00961E0F">
        <w:rPr>
          <w:rFonts w:ascii="Times New Roman" w:hAnsi="Times New Roman"/>
          <w:bCs/>
          <w:color w:val="000000"/>
          <w:szCs w:val="22"/>
        </w:rPr>
        <w:t xml:space="preserve"> </w:t>
      </w:r>
      <w:r w:rsidRPr="00961E0F">
        <w:rPr>
          <w:rFonts w:ascii="Times New Roman" w:hAnsi="Times New Roman"/>
          <w:bCs/>
          <w:noProof/>
          <w:color w:val="000000"/>
          <w:szCs w:val="22"/>
        </w:rPr>
        <w:t xml:space="preserve">très rare (&lt;1/10 000), </w:t>
      </w:r>
      <w:r w:rsidRPr="00961E0F">
        <w:rPr>
          <w:rFonts w:ascii="Times New Roman" w:hAnsi="Times New Roman"/>
          <w:noProof/>
          <w:color w:val="000000"/>
          <w:szCs w:val="22"/>
        </w:rPr>
        <w:t>fréquence indéterminée (ne peut être estimée sur la base des données disponibles)</w:t>
      </w:r>
      <w:r w:rsidRPr="00961E0F">
        <w:rPr>
          <w:rFonts w:ascii="Times New Roman" w:hAnsi="Times New Roman"/>
          <w:color w:val="000000"/>
          <w:szCs w:val="22"/>
        </w:rPr>
        <w:t>.</w:t>
      </w:r>
    </w:p>
    <w:p w14:paraId="6F218095" w14:textId="77777777" w:rsidR="007D642D" w:rsidRPr="00961E0F" w:rsidRDefault="007D642D">
      <w:pPr>
        <w:widowControl w:val="0"/>
        <w:rPr>
          <w:rFonts w:ascii="Times New Roman" w:hAnsi="Times New Roman"/>
          <w:color w:val="000000"/>
          <w:szCs w:val="22"/>
        </w:rPr>
      </w:pPr>
    </w:p>
    <w:p w14:paraId="734EBC5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Au sein de chaque groupe de fréquence, les effets indésirables doivent être présentés suivant un ordre de fréquence, le plus fréquent en premier.</w:t>
      </w:r>
    </w:p>
    <w:p w14:paraId="2E9CBC03" w14:textId="77777777" w:rsidR="007D642D" w:rsidRPr="00961E0F" w:rsidRDefault="007D642D">
      <w:pPr>
        <w:widowControl w:val="0"/>
        <w:rPr>
          <w:rFonts w:ascii="Times New Roman" w:hAnsi="Times New Roman"/>
          <w:color w:val="000000"/>
          <w:szCs w:val="22"/>
        </w:rPr>
      </w:pPr>
    </w:p>
    <w:p w14:paraId="4DE5878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Les effets indésirables et leurs fréquences</w:t>
      </w:r>
      <w:r w:rsidR="00110025" w:rsidRPr="00961E0F">
        <w:rPr>
          <w:rFonts w:ascii="Times New Roman" w:hAnsi="Times New Roman"/>
          <w:color w:val="000000"/>
          <w:szCs w:val="22"/>
        </w:rPr>
        <w:t xml:space="preserve"> sont</w:t>
      </w:r>
      <w:r w:rsidRPr="00961E0F">
        <w:rPr>
          <w:rFonts w:ascii="Times New Roman" w:hAnsi="Times New Roman"/>
          <w:color w:val="000000"/>
          <w:szCs w:val="22"/>
        </w:rPr>
        <w:t xml:space="preserve"> présentés dans le Tableau 1</w:t>
      </w:r>
      <w:r w:rsidR="00BD12F4" w:rsidRPr="00961E0F">
        <w:rPr>
          <w:rFonts w:ascii="Times New Roman" w:hAnsi="Times New Roman"/>
          <w:color w:val="000000"/>
          <w:szCs w:val="22"/>
        </w:rPr>
        <w:t>.</w:t>
      </w:r>
    </w:p>
    <w:p w14:paraId="798DD222" w14:textId="77777777" w:rsidR="007D642D" w:rsidRPr="00961E0F" w:rsidRDefault="007D642D">
      <w:pPr>
        <w:widowControl w:val="0"/>
        <w:rPr>
          <w:rFonts w:ascii="Times New Roman" w:hAnsi="Times New Roman"/>
          <w:color w:val="000000"/>
          <w:szCs w:val="22"/>
        </w:rPr>
      </w:pPr>
    </w:p>
    <w:p w14:paraId="50C35F1B" w14:textId="77777777" w:rsidR="007D642D" w:rsidRPr="00961E0F" w:rsidRDefault="007D642D" w:rsidP="00B15424">
      <w:pPr>
        <w:keepNext/>
        <w:widowControl w:val="0"/>
        <w:tabs>
          <w:tab w:val="left" w:pos="1134"/>
        </w:tabs>
        <w:rPr>
          <w:rFonts w:ascii="Times New Roman" w:hAnsi="Times New Roman"/>
          <w:b/>
          <w:color w:val="000000"/>
          <w:szCs w:val="22"/>
        </w:rPr>
      </w:pPr>
      <w:r w:rsidRPr="00961E0F">
        <w:rPr>
          <w:rFonts w:ascii="Times New Roman" w:hAnsi="Times New Roman"/>
          <w:b/>
          <w:color w:val="000000"/>
          <w:szCs w:val="22"/>
        </w:rPr>
        <w:t>Tableau 1</w:t>
      </w:r>
      <w:r w:rsidRPr="00961E0F">
        <w:rPr>
          <w:rFonts w:ascii="Times New Roman" w:hAnsi="Times New Roman"/>
          <w:b/>
          <w:color w:val="000000"/>
          <w:szCs w:val="22"/>
        </w:rPr>
        <w:tab/>
      </w:r>
      <w:r w:rsidR="008E0C2C" w:rsidRPr="00961E0F">
        <w:rPr>
          <w:rFonts w:ascii="Times New Roman" w:hAnsi="Times New Roman"/>
          <w:b/>
          <w:color w:val="000000"/>
          <w:szCs w:val="22"/>
        </w:rPr>
        <w:t>T</w:t>
      </w:r>
      <w:r w:rsidR="00110025" w:rsidRPr="00961E0F">
        <w:rPr>
          <w:rFonts w:ascii="Times New Roman" w:hAnsi="Times New Roman"/>
          <w:b/>
          <w:color w:val="000000"/>
          <w:szCs w:val="22"/>
        </w:rPr>
        <w:t xml:space="preserve">ableau de synthèse des </w:t>
      </w:r>
      <w:r w:rsidR="00BD12F4" w:rsidRPr="00961E0F">
        <w:rPr>
          <w:rFonts w:ascii="Times New Roman" w:hAnsi="Times New Roman"/>
          <w:b/>
          <w:color w:val="000000"/>
          <w:szCs w:val="22"/>
        </w:rPr>
        <w:t>e</w:t>
      </w:r>
      <w:r w:rsidRPr="00961E0F">
        <w:rPr>
          <w:rFonts w:ascii="Times New Roman" w:hAnsi="Times New Roman"/>
          <w:b/>
          <w:color w:val="000000"/>
          <w:szCs w:val="22"/>
        </w:rPr>
        <w:t>ffets indésirables</w:t>
      </w:r>
    </w:p>
    <w:p w14:paraId="72247947" w14:textId="77777777" w:rsidR="007D642D" w:rsidRPr="00961E0F" w:rsidRDefault="007D642D" w:rsidP="00B15424">
      <w:pPr>
        <w:keepNext/>
        <w:widowControl w:val="0"/>
        <w:rPr>
          <w:rFonts w:ascii="Times New Roman" w:hAnsi="Times New Roman"/>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7D642D" w:rsidRPr="00961E0F" w14:paraId="489718F0" w14:textId="77777777" w:rsidTr="00B15424">
        <w:trPr>
          <w:cantSplit/>
        </w:trPr>
        <w:tc>
          <w:tcPr>
            <w:tcW w:w="9322" w:type="dxa"/>
            <w:gridSpan w:val="2"/>
          </w:tcPr>
          <w:p w14:paraId="7C4D9D43" w14:textId="77777777" w:rsidR="007D642D" w:rsidRPr="00961E0F" w:rsidRDefault="007D642D" w:rsidP="00B15424">
            <w:pPr>
              <w:keepNext/>
              <w:tabs>
                <w:tab w:val="left" w:pos="567"/>
              </w:tabs>
              <w:spacing w:line="260" w:lineRule="exact"/>
              <w:rPr>
                <w:rFonts w:ascii="Times New Roman" w:hAnsi="Times New Roman"/>
                <w:color w:val="000000"/>
                <w:szCs w:val="22"/>
                <w:lang w:val="pt-PT"/>
              </w:rPr>
            </w:pPr>
            <w:r w:rsidRPr="00961E0F">
              <w:rPr>
                <w:rFonts w:ascii="Times New Roman" w:hAnsi="Times New Roman"/>
                <w:b/>
                <w:color w:val="000000"/>
                <w:szCs w:val="22"/>
              </w:rPr>
              <w:t>Infections et infestations</w:t>
            </w:r>
          </w:p>
        </w:tc>
      </w:tr>
      <w:tr w:rsidR="007D642D" w:rsidRPr="00961E0F" w14:paraId="43B32DCE" w14:textId="77777777" w:rsidTr="00B15424">
        <w:trPr>
          <w:cantSplit/>
        </w:trPr>
        <w:tc>
          <w:tcPr>
            <w:tcW w:w="2235" w:type="dxa"/>
          </w:tcPr>
          <w:p w14:paraId="67A483EE" w14:textId="77777777" w:rsidR="007D642D" w:rsidRPr="00961E0F" w:rsidRDefault="007D642D"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2D662C03" w14:textId="77777777" w:rsidR="007D642D" w:rsidRPr="00961E0F" w:rsidRDefault="007D642D"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Zona, herpès simplex, inflammation nasopharyngée, pneumonie</w:t>
            </w:r>
            <w:r w:rsidRPr="00961E0F">
              <w:rPr>
                <w:rFonts w:ascii="Times New Roman" w:hAnsi="Times New Roman"/>
                <w:color w:val="000000"/>
                <w:szCs w:val="22"/>
                <w:vertAlign w:val="superscript"/>
              </w:rPr>
              <w:t>1</w:t>
            </w:r>
            <w:r w:rsidRPr="00961E0F">
              <w:rPr>
                <w:rFonts w:ascii="Times New Roman" w:hAnsi="Times New Roman"/>
                <w:color w:val="000000"/>
                <w:szCs w:val="22"/>
              </w:rPr>
              <w:t>, sinusite, cellulites, infection des voies respiratoires hautes, grippe, infection des voies urinaires, gastroenterite, septicémie</w:t>
            </w:r>
          </w:p>
        </w:tc>
      </w:tr>
      <w:tr w:rsidR="007D642D" w:rsidRPr="00961E0F" w14:paraId="53E82ED9" w14:textId="77777777" w:rsidTr="00B15424">
        <w:trPr>
          <w:cantSplit/>
        </w:trPr>
        <w:tc>
          <w:tcPr>
            <w:tcW w:w="2235" w:type="dxa"/>
          </w:tcPr>
          <w:p w14:paraId="4BF112F3" w14:textId="77777777" w:rsidR="007D642D" w:rsidRPr="00961E0F" w:rsidRDefault="007D642D"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7A70C951" w14:textId="77777777" w:rsidR="007D642D" w:rsidRPr="00961E0F" w:rsidRDefault="007D642D"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Infection fongique</w:t>
            </w:r>
          </w:p>
        </w:tc>
      </w:tr>
      <w:tr w:rsidR="00934C2B" w:rsidRPr="00961E0F" w14:paraId="5071A35B" w14:textId="77777777" w:rsidTr="00B15424">
        <w:trPr>
          <w:cantSplit/>
        </w:trPr>
        <w:tc>
          <w:tcPr>
            <w:tcW w:w="2235" w:type="dxa"/>
          </w:tcPr>
          <w:p w14:paraId="0D5A0F94" w14:textId="77777777" w:rsidR="00934C2B" w:rsidRPr="00961E0F" w:rsidRDefault="00934C2B">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531464F3" w14:textId="77777777" w:rsidR="00934C2B" w:rsidRPr="00961E0F" w:rsidRDefault="00934C2B">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Réactivation de l’hépatite B*</w:t>
            </w:r>
          </w:p>
        </w:tc>
      </w:tr>
      <w:tr w:rsidR="000038BE" w:rsidRPr="00961E0F" w14:paraId="0DF72E08" w14:textId="77777777" w:rsidTr="00B15424">
        <w:trPr>
          <w:cantSplit/>
        </w:trPr>
        <w:tc>
          <w:tcPr>
            <w:tcW w:w="9322" w:type="dxa"/>
            <w:gridSpan w:val="2"/>
          </w:tcPr>
          <w:p w14:paraId="3294B52C" w14:textId="77777777" w:rsidR="000038BE" w:rsidRPr="00961E0F" w:rsidRDefault="000038BE"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Tumeurs bénignes, malignes et non précisées (incluant kystes et polypes)</w:t>
            </w:r>
          </w:p>
        </w:tc>
      </w:tr>
      <w:tr w:rsidR="007D642D" w:rsidRPr="00961E0F" w14:paraId="308B04BF" w14:textId="77777777" w:rsidTr="00B15424">
        <w:trPr>
          <w:cantSplit/>
        </w:trPr>
        <w:tc>
          <w:tcPr>
            <w:tcW w:w="2235" w:type="dxa"/>
          </w:tcPr>
          <w:p w14:paraId="5EADA299" w14:textId="77777777" w:rsidR="007D642D" w:rsidRPr="00961E0F" w:rsidRDefault="007D642D"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4643C28A" w14:textId="77777777" w:rsidR="007D642D" w:rsidRPr="00961E0F" w:rsidRDefault="007D642D"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Syndrome de lyse tumorale</w:t>
            </w:r>
          </w:p>
        </w:tc>
      </w:tr>
      <w:tr w:rsidR="00C0508D" w:rsidRPr="00961E0F" w14:paraId="28B164F8" w14:textId="77777777" w:rsidTr="00B15424">
        <w:trPr>
          <w:cantSplit/>
        </w:trPr>
        <w:tc>
          <w:tcPr>
            <w:tcW w:w="2235" w:type="dxa"/>
          </w:tcPr>
          <w:p w14:paraId="6041DA58" w14:textId="77777777" w:rsidR="00C0508D" w:rsidRPr="00961E0F" w:rsidRDefault="00266AC2" w:rsidP="00FB67B5">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C0508D" w:rsidRPr="00961E0F">
              <w:rPr>
                <w:rFonts w:ascii="Times New Roman" w:hAnsi="Times New Roman"/>
                <w:i/>
                <w:color w:val="000000"/>
                <w:szCs w:val="22"/>
              </w:rPr>
              <w:t>ndéterminée :</w:t>
            </w:r>
          </w:p>
        </w:tc>
        <w:tc>
          <w:tcPr>
            <w:tcW w:w="7087" w:type="dxa"/>
          </w:tcPr>
          <w:p w14:paraId="59623C55" w14:textId="77777777" w:rsidR="00C0508D" w:rsidRPr="00961E0F" w:rsidRDefault="00C0508D" w:rsidP="00FB67B5">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Hémorragie tumorale/nécrose tumorale*</w:t>
            </w:r>
          </w:p>
        </w:tc>
      </w:tr>
      <w:tr w:rsidR="00982318" w:rsidRPr="00961E0F" w14:paraId="6A85500F" w14:textId="77777777" w:rsidTr="00B15424">
        <w:trPr>
          <w:cantSplit/>
        </w:trPr>
        <w:tc>
          <w:tcPr>
            <w:tcW w:w="9322" w:type="dxa"/>
            <w:gridSpan w:val="2"/>
          </w:tcPr>
          <w:p w14:paraId="387B3AA3"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w:t>
            </w:r>
            <w:r w:rsidR="00356F31" w:rsidRPr="00961E0F">
              <w:rPr>
                <w:rFonts w:ascii="Times New Roman" w:hAnsi="Times New Roman"/>
                <w:b/>
                <w:color w:val="000000"/>
                <w:szCs w:val="22"/>
              </w:rPr>
              <w:t>s</w:t>
            </w:r>
            <w:r w:rsidRPr="00961E0F">
              <w:rPr>
                <w:rFonts w:ascii="Times New Roman" w:hAnsi="Times New Roman"/>
                <w:b/>
                <w:color w:val="000000"/>
                <w:szCs w:val="22"/>
              </w:rPr>
              <w:t xml:space="preserve"> du système immunitaire</w:t>
            </w:r>
          </w:p>
        </w:tc>
      </w:tr>
      <w:tr w:rsidR="00982318" w:rsidRPr="00961E0F" w14:paraId="1B1F508B" w14:textId="77777777" w:rsidTr="00B15424">
        <w:trPr>
          <w:cantSplit/>
        </w:trPr>
        <w:tc>
          <w:tcPr>
            <w:tcW w:w="2235" w:type="dxa"/>
          </w:tcPr>
          <w:p w14:paraId="175D4F48" w14:textId="77777777" w:rsidR="00982318" w:rsidRPr="00961E0F" w:rsidRDefault="00245BEB">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982318" w:rsidRPr="00961E0F">
              <w:rPr>
                <w:rFonts w:ascii="Times New Roman" w:hAnsi="Times New Roman"/>
                <w:i/>
                <w:color w:val="000000"/>
                <w:szCs w:val="22"/>
              </w:rPr>
              <w:t>ndéterminée :</w:t>
            </w:r>
          </w:p>
        </w:tc>
        <w:tc>
          <w:tcPr>
            <w:tcW w:w="7087" w:type="dxa"/>
          </w:tcPr>
          <w:p w14:paraId="71B72BFC" w14:textId="77777777" w:rsidR="00982318" w:rsidRPr="00961E0F" w:rsidRDefault="0098231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Choc anaphylactique*</w:t>
            </w:r>
          </w:p>
        </w:tc>
      </w:tr>
      <w:tr w:rsidR="00982318" w:rsidRPr="00961E0F" w14:paraId="0DCA5232" w14:textId="77777777" w:rsidTr="00B15424">
        <w:trPr>
          <w:cantSplit/>
        </w:trPr>
        <w:tc>
          <w:tcPr>
            <w:tcW w:w="9322" w:type="dxa"/>
            <w:gridSpan w:val="2"/>
          </w:tcPr>
          <w:p w14:paraId="1B61B0DA"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hématologiques et du système lymphatique</w:t>
            </w:r>
          </w:p>
        </w:tc>
      </w:tr>
      <w:tr w:rsidR="00982318" w:rsidRPr="00961E0F" w14:paraId="2B5DDE7E" w14:textId="77777777" w:rsidTr="00B15424">
        <w:trPr>
          <w:cantSplit/>
        </w:trPr>
        <w:tc>
          <w:tcPr>
            <w:tcW w:w="2235" w:type="dxa"/>
          </w:tcPr>
          <w:p w14:paraId="25C00814"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5302BEC8"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Neutropénie, thrombopénie, anémie</w:t>
            </w:r>
          </w:p>
        </w:tc>
      </w:tr>
      <w:tr w:rsidR="00982318" w:rsidRPr="00961E0F" w14:paraId="6CABBE4D" w14:textId="77777777" w:rsidTr="00B15424">
        <w:trPr>
          <w:cantSplit/>
        </w:trPr>
        <w:tc>
          <w:tcPr>
            <w:tcW w:w="2235" w:type="dxa"/>
          </w:tcPr>
          <w:p w14:paraId="4B2D4776"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231B62D8"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Pancytopénie, neutropénie fébrile</w:t>
            </w:r>
          </w:p>
        </w:tc>
      </w:tr>
      <w:tr w:rsidR="00982318" w:rsidRPr="00961E0F" w14:paraId="4C5E48E0" w14:textId="77777777" w:rsidTr="00B15424">
        <w:trPr>
          <w:cantSplit/>
        </w:trPr>
        <w:tc>
          <w:tcPr>
            <w:tcW w:w="2235" w:type="dxa"/>
          </w:tcPr>
          <w:p w14:paraId="13B074E7"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73818F2B"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Thrombocythémie, lymphopénie, aplasie médullaire, eosinophilie, lymphadénopathie</w:t>
            </w:r>
          </w:p>
        </w:tc>
      </w:tr>
      <w:tr w:rsidR="00982318" w:rsidRPr="00961E0F" w14:paraId="1F0F03DF" w14:textId="77777777" w:rsidTr="00B15424">
        <w:trPr>
          <w:cantSplit/>
        </w:trPr>
        <w:tc>
          <w:tcPr>
            <w:tcW w:w="2235" w:type="dxa"/>
          </w:tcPr>
          <w:p w14:paraId="581E94B6" w14:textId="77777777" w:rsidR="00982318" w:rsidRPr="00961E0F" w:rsidRDefault="00982318">
            <w:pPr>
              <w:tabs>
                <w:tab w:val="left" w:pos="567"/>
              </w:tabs>
              <w:spacing w:line="260" w:lineRule="exact"/>
              <w:rPr>
                <w:rFonts w:ascii="Times New Roman" w:hAnsi="Times New Roman"/>
                <w:i/>
                <w:color w:val="000000"/>
              </w:rPr>
            </w:pPr>
            <w:r w:rsidRPr="00961E0F">
              <w:rPr>
                <w:rFonts w:ascii="Times New Roman" w:hAnsi="Times New Roman"/>
                <w:i/>
                <w:color w:val="000000"/>
              </w:rPr>
              <w:t>Rare :</w:t>
            </w:r>
          </w:p>
        </w:tc>
        <w:tc>
          <w:tcPr>
            <w:tcW w:w="7087" w:type="dxa"/>
          </w:tcPr>
          <w:p w14:paraId="283BF411" w14:textId="77777777" w:rsidR="00982318" w:rsidRPr="00961E0F" w:rsidRDefault="00982318">
            <w:pPr>
              <w:tabs>
                <w:tab w:val="left" w:pos="567"/>
              </w:tabs>
              <w:spacing w:line="260" w:lineRule="exact"/>
              <w:rPr>
                <w:rFonts w:ascii="Times New Roman" w:hAnsi="Times New Roman"/>
                <w:color w:val="000000"/>
              </w:rPr>
            </w:pPr>
            <w:r w:rsidRPr="00961E0F">
              <w:rPr>
                <w:rFonts w:ascii="Times New Roman" w:hAnsi="Times New Roman"/>
                <w:color w:val="000000"/>
              </w:rPr>
              <w:t>Anémie hémolytique</w:t>
            </w:r>
            <w:r w:rsidR="00F279C2" w:rsidRPr="00961E0F">
              <w:rPr>
                <w:rFonts w:ascii="Times New Roman" w:hAnsi="Times New Roman"/>
                <w:color w:val="000000"/>
              </w:rPr>
              <w:t>, microangiopathie thrombotique</w:t>
            </w:r>
          </w:p>
        </w:tc>
      </w:tr>
      <w:tr w:rsidR="00982318" w:rsidRPr="00961E0F" w14:paraId="0D7672FC" w14:textId="77777777" w:rsidTr="00B15424">
        <w:trPr>
          <w:cantSplit/>
        </w:trPr>
        <w:tc>
          <w:tcPr>
            <w:tcW w:w="9322" w:type="dxa"/>
            <w:gridSpan w:val="2"/>
          </w:tcPr>
          <w:p w14:paraId="1E1457BB"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Troubles du métabolisme et de la nutrition</w:t>
            </w:r>
          </w:p>
        </w:tc>
      </w:tr>
      <w:tr w:rsidR="00982318" w:rsidRPr="00961E0F" w14:paraId="4B99BC61" w14:textId="77777777" w:rsidTr="00B15424">
        <w:trPr>
          <w:cantSplit/>
        </w:trPr>
        <w:tc>
          <w:tcPr>
            <w:tcW w:w="2235" w:type="dxa"/>
          </w:tcPr>
          <w:p w14:paraId="1425DD0E" w14:textId="77777777" w:rsidR="00982318" w:rsidRPr="00961E0F" w:rsidRDefault="00982318"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0B9E1BB6"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Anorexie</w:t>
            </w:r>
          </w:p>
        </w:tc>
      </w:tr>
      <w:tr w:rsidR="00982318" w:rsidRPr="00961E0F" w14:paraId="5095D584" w14:textId="77777777" w:rsidTr="00B15424">
        <w:trPr>
          <w:cantSplit/>
        </w:trPr>
        <w:tc>
          <w:tcPr>
            <w:tcW w:w="2235" w:type="dxa"/>
          </w:tcPr>
          <w:p w14:paraId="63DCB5F8" w14:textId="77777777" w:rsidR="00982318" w:rsidRPr="00961E0F" w:rsidRDefault="00982318"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253DD80B"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Hypokaliémie, augmentation de l’appétit, hypophosphatémie, diminution de l’appétit, déshydratation, goutte, hyperuricémie, hypercalcémie, hyperglycémie, hyponatrémie</w:t>
            </w:r>
          </w:p>
        </w:tc>
      </w:tr>
      <w:tr w:rsidR="00982318" w:rsidRPr="00961E0F" w14:paraId="7994C5E9" w14:textId="77777777" w:rsidTr="00B15424">
        <w:trPr>
          <w:cantSplit/>
        </w:trPr>
        <w:tc>
          <w:tcPr>
            <w:tcW w:w="2235" w:type="dxa"/>
          </w:tcPr>
          <w:p w14:paraId="1F2D19A6" w14:textId="77777777" w:rsidR="00982318" w:rsidRPr="00961E0F" w:rsidRDefault="0098231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203DAFFA" w14:textId="77777777" w:rsidR="00982318" w:rsidRPr="00961E0F" w:rsidRDefault="00982318">
            <w:pPr>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Hyperkaliémie, hypomagnésémie</w:t>
            </w:r>
          </w:p>
        </w:tc>
      </w:tr>
      <w:tr w:rsidR="00982318" w:rsidRPr="00961E0F" w14:paraId="5CB3DB0C" w14:textId="77777777" w:rsidTr="00B15424">
        <w:trPr>
          <w:cantSplit/>
        </w:trPr>
        <w:tc>
          <w:tcPr>
            <w:tcW w:w="9322" w:type="dxa"/>
            <w:gridSpan w:val="2"/>
          </w:tcPr>
          <w:p w14:paraId="5B796F68"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psychiatriques</w:t>
            </w:r>
          </w:p>
        </w:tc>
      </w:tr>
      <w:tr w:rsidR="00982318" w:rsidRPr="00961E0F" w14:paraId="25F762E2" w14:textId="77777777" w:rsidTr="00B15424">
        <w:trPr>
          <w:cantSplit/>
        </w:trPr>
        <w:tc>
          <w:tcPr>
            <w:tcW w:w="2235" w:type="dxa"/>
          </w:tcPr>
          <w:p w14:paraId="7AE73545" w14:textId="77777777" w:rsidR="00982318" w:rsidRPr="00961E0F" w:rsidRDefault="00982318"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12F39713"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Insomnie</w:t>
            </w:r>
          </w:p>
        </w:tc>
      </w:tr>
      <w:tr w:rsidR="00982318" w:rsidRPr="00961E0F" w14:paraId="57D63C54" w14:textId="77777777" w:rsidTr="00B15424">
        <w:trPr>
          <w:cantSplit/>
        </w:trPr>
        <w:tc>
          <w:tcPr>
            <w:tcW w:w="2235" w:type="dxa"/>
          </w:tcPr>
          <w:p w14:paraId="1E994DAC" w14:textId="77777777" w:rsidR="00982318" w:rsidRPr="00961E0F" w:rsidRDefault="00982318"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7A458397"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Dépression, diminution de libido, anxiété</w:t>
            </w:r>
          </w:p>
        </w:tc>
      </w:tr>
      <w:tr w:rsidR="00982318" w:rsidRPr="00961E0F" w14:paraId="0D82E774" w14:textId="77777777" w:rsidTr="00B15424">
        <w:trPr>
          <w:cantSplit/>
        </w:trPr>
        <w:tc>
          <w:tcPr>
            <w:tcW w:w="2235" w:type="dxa"/>
          </w:tcPr>
          <w:p w14:paraId="50D541C0" w14:textId="77777777" w:rsidR="00982318" w:rsidRPr="00961E0F" w:rsidRDefault="0098231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2048376C" w14:textId="77777777" w:rsidR="00982318" w:rsidRPr="00961E0F" w:rsidRDefault="0098231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Confusion</w:t>
            </w:r>
          </w:p>
        </w:tc>
      </w:tr>
      <w:tr w:rsidR="00982318" w:rsidRPr="00961E0F" w14:paraId="07CFC490" w14:textId="77777777" w:rsidTr="00B15424">
        <w:trPr>
          <w:cantSplit/>
        </w:trPr>
        <w:tc>
          <w:tcPr>
            <w:tcW w:w="9322" w:type="dxa"/>
            <w:gridSpan w:val="2"/>
          </w:tcPr>
          <w:p w14:paraId="71F60FF9"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du système nerveux</w:t>
            </w:r>
          </w:p>
        </w:tc>
      </w:tr>
      <w:tr w:rsidR="00982318" w:rsidRPr="00961E0F" w14:paraId="143D423A" w14:textId="77777777" w:rsidTr="00B15424">
        <w:trPr>
          <w:cantSplit/>
        </w:trPr>
        <w:tc>
          <w:tcPr>
            <w:tcW w:w="2235" w:type="dxa"/>
          </w:tcPr>
          <w:p w14:paraId="48B47A97"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4ECFC820"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Céphalées</w:t>
            </w:r>
            <w:r w:rsidRPr="00961E0F">
              <w:rPr>
                <w:rFonts w:ascii="Times New Roman" w:hAnsi="Times New Roman"/>
                <w:color w:val="000000"/>
                <w:szCs w:val="22"/>
                <w:vertAlign w:val="superscript"/>
              </w:rPr>
              <w:t>2</w:t>
            </w:r>
          </w:p>
        </w:tc>
      </w:tr>
      <w:tr w:rsidR="00982318" w:rsidRPr="00961E0F" w14:paraId="1E42B883" w14:textId="77777777" w:rsidTr="00B15424">
        <w:trPr>
          <w:cantSplit/>
        </w:trPr>
        <w:tc>
          <w:tcPr>
            <w:tcW w:w="2235" w:type="dxa"/>
          </w:tcPr>
          <w:p w14:paraId="0D22734E"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7DAE2EB4"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Sensations vertigineuses, paresthésies, troubles du goût, hypoesthésie</w:t>
            </w:r>
          </w:p>
        </w:tc>
      </w:tr>
      <w:tr w:rsidR="00982318" w:rsidRPr="00961E0F" w14:paraId="45F7857B" w14:textId="77777777" w:rsidTr="00B15424">
        <w:trPr>
          <w:cantSplit/>
        </w:trPr>
        <w:tc>
          <w:tcPr>
            <w:tcW w:w="2235" w:type="dxa"/>
          </w:tcPr>
          <w:p w14:paraId="00AD3CA8"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10FC9BF3"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Migraine, somnolence, syncope, neuropathie périphérique, troubles de la mémoire, sciatique, syndrome des jambes sans repos, tremblement, hémorragie cérébrale</w:t>
            </w:r>
          </w:p>
        </w:tc>
      </w:tr>
      <w:tr w:rsidR="00982318" w:rsidRPr="00961E0F" w14:paraId="0FA29491" w14:textId="77777777" w:rsidTr="00B15424">
        <w:trPr>
          <w:cantSplit/>
        </w:trPr>
        <w:tc>
          <w:tcPr>
            <w:tcW w:w="2235" w:type="dxa"/>
          </w:tcPr>
          <w:p w14:paraId="43C89A9C"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01E02971"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Hypertension intracrânienne, convulsions, névrite optique</w:t>
            </w:r>
          </w:p>
        </w:tc>
      </w:tr>
      <w:tr w:rsidR="00982318" w:rsidRPr="00961E0F" w14:paraId="67D154F7" w14:textId="77777777" w:rsidTr="00B15424">
        <w:trPr>
          <w:cantSplit/>
        </w:trPr>
        <w:tc>
          <w:tcPr>
            <w:tcW w:w="2235" w:type="dxa"/>
          </w:tcPr>
          <w:p w14:paraId="6B2A4136" w14:textId="77777777" w:rsidR="00982318"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982318" w:rsidRPr="00961E0F">
              <w:rPr>
                <w:rFonts w:ascii="Times New Roman" w:hAnsi="Times New Roman"/>
                <w:i/>
                <w:color w:val="000000"/>
                <w:szCs w:val="22"/>
              </w:rPr>
              <w:t>ndéterminée :</w:t>
            </w:r>
          </w:p>
        </w:tc>
        <w:tc>
          <w:tcPr>
            <w:tcW w:w="7087" w:type="dxa"/>
          </w:tcPr>
          <w:p w14:paraId="4F14B0D9" w14:textId="77777777" w:rsidR="00982318" w:rsidRPr="00961E0F" w:rsidRDefault="0098231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Oedème cérébral*</w:t>
            </w:r>
          </w:p>
        </w:tc>
      </w:tr>
      <w:tr w:rsidR="00982318" w:rsidRPr="00961E0F" w14:paraId="1DAF0CBD" w14:textId="77777777" w:rsidTr="00B15424">
        <w:trPr>
          <w:cantSplit/>
        </w:trPr>
        <w:tc>
          <w:tcPr>
            <w:tcW w:w="9322" w:type="dxa"/>
            <w:gridSpan w:val="2"/>
          </w:tcPr>
          <w:p w14:paraId="64B5634A"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lastRenderedPageBreak/>
              <w:t>Affections oculaires</w:t>
            </w:r>
          </w:p>
        </w:tc>
      </w:tr>
      <w:tr w:rsidR="00982318" w:rsidRPr="00961E0F" w14:paraId="165E0E62" w14:textId="77777777" w:rsidTr="00B15424">
        <w:trPr>
          <w:cantSplit/>
        </w:trPr>
        <w:tc>
          <w:tcPr>
            <w:tcW w:w="2235" w:type="dxa"/>
          </w:tcPr>
          <w:p w14:paraId="5F8875FE"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1123681E"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Oedème des paupières, secretions lacrymales augmentées, hémorrhagie conjonctivale, conjonctivite, yeux secs, vision trouble</w:t>
            </w:r>
          </w:p>
        </w:tc>
      </w:tr>
      <w:tr w:rsidR="00982318" w:rsidRPr="00961E0F" w14:paraId="7F55C59C" w14:textId="77777777" w:rsidTr="00B15424">
        <w:trPr>
          <w:cantSplit/>
        </w:trPr>
        <w:tc>
          <w:tcPr>
            <w:tcW w:w="2235" w:type="dxa"/>
          </w:tcPr>
          <w:p w14:paraId="315A8405"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7887730E"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Irritation oculaire, douleur oculaire, œdème orbitaire, hémorrhagie sclérale, hémorrhagie rétinienne, blépharite, œdème maculaire</w:t>
            </w:r>
          </w:p>
        </w:tc>
      </w:tr>
      <w:tr w:rsidR="00982318" w:rsidRPr="00961E0F" w14:paraId="173C2EA0" w14:textId="77777777" w:rsidTr="00B15424">
        <w:trPr>
          <w:cantSplit/>
        </w:trPr>
        <w:tc>
          <w:tcPr>
            <w:tcW w:w="2235" w:type="dxa"/>
          </w:tcPr>
          <w:p w14:paraId="188AF6AC"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2625E7D9"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Cataracte, glaucome, œdème papillaire</w:t>
            </w:r>
          </w:p>
        </w:tc>
      </w:tr>
      <w:tr w:rsidR="00533303" w:rsidRPr="00961E0F" w14:paraId="060FF2C4" w14:textId="77777777" w:rsidTr="00B15424">
        <w:trPr>
          <w:cantSplit/>
        </w:trPr>
        <w:tc>
          <w:tcPr>
            <w:tcW w:w="2235" w:type="dxa"/>
          </w:tcPr>
          <w:p w14:paraId="7AD56BD7"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68970E64"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Hémorragie du corps vitré*</w:t>
            </w:r>
          </w:p>
        </w:tc>
      </w:tr>
      <w:tr w:rsidR="00982318" w:rsidRPr="00961E0F" w14:paraId="4CFA2003" w14:textId="77777777" w:rsidTr="00B15424">
        <w:trPr>
          <w:cantSplit/>
        </w:trPr>
        <w:tc>
          <w:tcPr>
            <w:tcW w:w="9322" w:type="dxa"/>
            <w:gridSpan w:val="2"/>
          </w:tcPr>
          <w:p w14:paraId="2CE0F3EA"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de l’oreille et du labyrinthe</w:t>
            </w:r>
          </w:p>
        </w:tc>
      </w:tr>
      <w:tr w:rsidR="00982318" w:rsidRPr="00961E0F" w14:paraId="7EEA2C94" w14:textId="77777777" w:rsidTr="00B15424">
        <w:trPr>
          <w:cantSplit/>
        </w:trPr>
        <w:tc>
          <w:tcPr>
            <w:tcW w:w="2235" w:type="dxa"/>
          </w:tcPr>
          <w:p w14:paraId="32AB0249" w14:textId="77777777" w:rsidR="00982318" w:rsidRPr="00961E0F" w:rsidRDefault="00982318">
            <w:pPr>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65837346" w14:textId="77777777" w:rsidR="00982318" w:rsidRPr="00961E0F" w:rsidRDefault="00982318">
            <w:pPr>
              <w:tabs>
                <w:tab w:val="left" w:pos="567"/>
              </w:tabs>
              <w:spacing w:line="260" w:lineRule="exact"/>
              <w:rPr>
                <w:rFonts w:ascii="Times New Roman" w:hAnsi="Times New Roman"/>
                <w:color w:val="000000"/>
              </w:rPr>
            </w:pPr>
            <w:r w:rsidRPr="00961E0F">
              <w:rPr>
                <w:rFonts w:ascii="Times New Roman" w:hAnsi="Times New Roman"/>
                <w:color w:val="000000"/>
                <w:szCs w:val="22"/>
                <w:lang w:val="it-IT"/>
              </w:rPr>
              <w:t>Vertiges, acouphènes, perte auditive</w:t>
            </w:r>
          </w:p>
        </w:tc>
      </w:tr>
      <w:tr w:rsidR="00982318" w:rsidRPr="00961E0F" w14:paraId="0903433F" w14:textId="77777777" w:rsidTr="00B15424">
        <w:trPr>
          <w:cantSplit/>
        </w:trPr>
        <w:tc>
          <w:tcPr>
            <w:tcW w:w="9322" w:type="dxa"/>
            <w:gridSpan w:val="2"/>
          </w:tcPr>
          <w:p w14:paraId="78BD1609"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lang w:val="it-IT"/>
              </w:rPr>
              <w:t>Affections cardiaques</w:t>
            </w:r>
          </w:p>
        </w:tc>
      </w:tr>
      <w:tr w:rsidR="00982318" w:rsidRPr="00961E0F" w14:paraId="58194C1B" w14:textId="77777777" w:rsidTr="00B15424">
        <w:trPr>
          <w:cantSplit/>
        </w:trPr>
        <w:tc>
          <w:tcPr>
            <w:tcW w:w="2235" w:type="dxa"/>
          </w:tcPr>
          <w:p w14:paraId="5D37719F"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330EC145"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Palpitations, tachycardie, insuffisance cardiaque congestive</w:t>
            </w:r>
            <w:r w:rsidRPr="00961E0F">
              <w:rPr>
                <w:rFonts w:ascii="Times New Roman" w:hAnsi="Times New Roman"/>
                <w:color w:val="000000"/>
                <w:szCs w:val="22"/>
                <w:vertAlign w:val="superscript"/>
              </w:rPr>
              <w:t>3</w:t>
            </w:r>
            <w:r w:rsidRPr="00961E0F">
              <w:rPr>
                <w:rFonts w:ascii="Times New Roman" w:hAnsi="Times New Roman"/>
                <w:color w:val="000000"/>
                <w:szCs w:val="22"/>
              </w:rPr>
              <w:t>, oedème pulmonaire</w:t>
            </w:r>
          </w:p>
        </w:tc>
      </w:tr>
      <w:tr w:rsidR="00982318" w:rsidRPr="00961E0F" w14:paraId="1A997C45" w14:textId="77777777" w:rsidTr="00B15424">
        <w:trPr>
          <w:cantSplit/>
        </w:trPr>
        <w:tc>
          <w:tcPr>
            <w:tcW w:w="2235" w:type="dxa"/>
          </w:tcPr>
          <w:p w14:paraId="5D89920E"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01B512A9"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Arythmie, fibrillation auriculaire, arrêt cardiaque, infarctus du myocarde, angine de poitrine, épanchement péricardique</w:t>
            </w:r>
          </w:p>
        </w:tc>
      </w:tr>
      <w:tr w:rsidR="00533303" w:rsidRPr="00961E0F" w14:paraId="28A0987E" w14:textId="77777777" w:rsidTr="00B15424">
        <w:trPr>
          <w:cantSplit/>
        </w:trPr>
        <w:tc>
          <w:tcPr>
            <w:tcW w:w="2235" w:type="dxa"/>
          </w:tcPr>
          <w:p w14:paraId="0D411041"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1419460A"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Péricardite*, tamponnade*</w:t>
            </w:r>
          </w:p>
        </w:tc>
      </w:tr>
      <w:tr w:rsidR="00982318" w:rsidRPr="00961E0F" w14:paraId="09272670" w14:textId="77777777" w:rsidTr="00B15424">
        <w:trPr>
          <w:cantSplit/>
        </w:trPr>
        <w:tc>
          <w:tcPr>
            <w:tcW w:w="9322" w:type="dxa"/>
            <w:gridSpan w:val="2"/>
          </w:tcPr>
          <w:p w14:paraId="3406EFB8"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vasculaires</w:t>
            </w:r>
            <w:r w:rsidRPr="00961E0F">
              <w:rPr>
                <w:rFonts w:ascii="Times New Roman" w:hAnsi="Times New Roman"/>
                <w:color w:val="000000"/>
                <w:szCs w:val="22"/>
                <w:vertAlign w:val="superscript"/>
              </w:rPr>
              <w:t>4</w:t>
            </w:r>
          </w:p>
        </w:tc>
      </w:tr>
      <w:tr w:rsidR="00982318" w:rsidRPr="00961E0F" w14:paraId="07799DB1" w14:textId="77777777" w:rsidTr="00B15424">
        <w:trPr>
          <w:cantSplit/>
        </w:trPr>
        <w:tc>
          <w:tcPr>
            <w:tcW w:w="2235" w:type="dxa"/>
          </w:tcPr>
          <w:p w14:paraId="3DFA39D4" w14:textId="77777777" w:rsidR="00982318" w:rsidRPr="00961E0F" w:rsidRDefault="00982318"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43895B1F"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Bouffées vasomotrices, hémorragie</w:t>
            </w:r>
          </w:p>
        </w:tc>
      </w:tr>
      <w:tr w:rsidR="00982318" w:rsidRPr="00961E0F" w14:paraId="78007C48" w14:textId="77777777" w:rsidTr="00B15424">
        <w:trPr>
          <w:cantSplit/>
        </w:trPr>
        <w:tc>
          <w:tcPr>
            <w:tcW w:w="2235" w:type="dxa"/>
          </w:tcPr>
          <w:p w14:paraId="5FA33237" w14:textId="77777777" w:rsidR="00982318" w:rsidRPr="00961E0F" w:rsidRDefault="00982318" w:rsidP="00B15424">
            <w:pPr>
              <w:keepNext/>
              <w:tabs>
                <w:tab w:val="left" w:pos="567"/>
              </w:tabs>
              <w:spacing w:line="260" w:lineRule="exact"/>
              <w:rPr>
                <w:rFonts w:ascii="Times New Roman" w:hAnsi="Times New Roman"/>
                <w:i/>
                <w:color w:val="000000"/>
                <w:szCs w:val="22"/>
                <w:u w:val="single"/>
              </w:rPr>
            </w:pPr>
            <w:r w:rsidRPr="00961E0F">
              <w:rPr>
                <w:rFonts w:ascii="Times New Roman" w:hAnsi="Times New Roman"/>
                <w:i/>
                <w:color w:val="000000"/>
                <w:szCs w:val="22"/>
              </w:rPr>
              <w:t>Peu fréquent :</w:t>
            </w:r>
          </w:p>
        </w:tc>
        <w:tc>
          <w:tcPr>
            <w:tcW w:w="7087" w:type="dxa"/>
          </w:tcPr>
          <w:p w14:paraId="12CA5A8D"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Hypertension, hématome, hématome sous-dural, extrémités froides, hypotension, syndrome de Raynaud</w:t>
            </w:r>
          </w:p>
        </w:tc>
      </w:tr>
      <w:tr w:rsidR="00533303" w:rsidRPr="00961E0F" w14:paraId="368808C9" w14:textId="77777777" w:rsidTr="00B15424">
        <w:trPr>
          <w:cantSplit/>
        </w:trPr>
        <w:tc>
          <w:tcPr>
            <w:tcW w:w="2235" w:type="dxa"/>
          </w:tcPr>
          <w:p w14:paraId="45ACC4AD"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1001F7B1" w14:textId="77777777" w:rsidR="00533303" w:rsidRPr="00961E0F" w:rsidRDefault="00533303" w:rsidP="00356F31">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Thrombose/embolie*</w:t>
            </w:r>
          </w:p>
        </w:tc>
      </w:tr>
      <w:tr w:rsidR="00982318" w:rsidRPr="00961E0F" w14:paraId="0D3418EE" w14:textId="77777777" w:rsidTr="00B15424">
        <w:trPr>
          <w:cantSplit/>
        </w:trPr>
        <w:tc>
          <w:tcPr>
            <w:tcW w:w="9322" w:type="dxa"/>
            <w:gridSpan w:val="2"/>
          </w:tcPr>
          <w:p w14:paraId="1BC5C570" w14:textId="77777777" w:rsidR="00982318" w:rsidRPr="00961E0F" w:rsidRDefault="00982318"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respiratoires, thoraciques et médisatinales</w:t>
            </w:r>
          </w:p>
        </w:tc>
      </w:tr>
      <w:tr w:rsidR="00982318" w:rsidRPr="00961E0F" w14:paraId="19E57D42" w14:textId="77777777" w:rsidTr="00B15424">
        <w:trPr>
          <w:cantSplit/>
        </w:trPr>
        <w:tc>
          <w:tcPr>
            <w:tcW w:w="2235" w:type="dxa"/>
          </w:tcPr>
          <w:p w14:paraId="22AD21A1"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66EFD5AF"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Dyspnée, epistaxis, toux</w:t>
            </w:r>
          </w:p>
        </w:tc>
      </w:tr>
      <w:tr w:rsidR="00982318" w:rsidRPr="00961E0F" w14:paraId="0B26499A" w14:textId="77777777" w:rsidTr="00B15424">
        <w:trPr>
          <w:cantSplit/>
        </w:trPr>
        <w:tc>
          <w:tcPr>
            <w:tcW w:w="2235" w:type="dxa"/>
          </w:tcPr>
          <w:p w14:paraId="140308EC"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537A0533"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Epanchement pleural</w:t>
            </w:r>
            <w:r w:rsidRPr="00961E0F">
              <w:rPr>
                <w:rFonts w:ascii="Times New Roman" w:hAnsi="Times New Roman"/>
                <w:color w:val="000000"/>
                <w:szCs w:val="22"/>
                <w:vertAlign w:val="superscript"/>
              </w:rPr>
              <w:t>5</w:t>
            </w:r>
            <w:r w:rsidRPr="00961E0F">
              <w:rPr>
                <w:rFonts w:ascii="Times New Roman" w:hAnsi="Times New Roman"/>
                <w:color w:val="000000"/>
                <w:szCs w:val="22"/>
              </w:rPr>
              <w:t>, douleur pharyngolaryngée, pharyngite</w:t>
            </w:r>
          </w:p>
        </w:tc>
      </w:tr>
      <w:tr w:rsidR="00982318" w:rsidRPr="00961E0F" w14:paraId="507418D3" w14:textId="77777777" w:rsidTr="00B15424">
        <w:trPr>
          <w:cantSplit/>
        </w:trPr>
        <w:tc>
          <w:tcPr>
            <w:tcW w:w="2235" w:type="dxa"/>
          </w:tcPr>
          <w:p w14:paraId="56E244C7"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41756A19" w14:textId="77777777" w:rsidR="00982318" w:rsidRPr="00961E0F" w:rsidRDefault="00982318"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Douleur pleurale, fibrose pulmonaire, hypertension pulmonaire, hémorrhagie pulmonaire</w:t>
            </w:r>
          </w:p>
        </w:tc>
      </w:tr>
      <w:tr w:rsidR="00533303" w:rsidRPr="00961E0F" w14:paraId="01A55C89" w14:textId="77777777" w:rsidTr="00B15424">
        <w:trPr>
          <w:cantSplit/>
        </w:trPr>
        <w:tc>
          <w:tcPr>
            <w:tcW w:w="2235" w:type="dxa"/>
          </w:tcPr>
          <w:p w14:paraId="10E92508"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5B3E573B" w14:textId="77777777" w:rsidR="00533303" w:rsidRPr="00961E0F" w:rsidRDefault="00533303" w:rsidP="000D306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 xml:space="preserve">Insuffisance respiratoire </w:t>
            </w:r>
            <w:r w:rsidR="000D3063" w:rsidRPr="00961E0F">
              <w:rPr>
                <w:rFonts w:ascii="Times New Roman" w:hAnsi="Times New Roman"/>
                <w:color w:val="000000"/>
                <w:szCs w:val="22"/>
              </w:rPr>
              <w:t>aiguë</w:t>
            </w:r>
            <w:r w:rsidR="000D3063" w:rsidRPr="00961E0F">
              <w:rPr>
                <w:rFonts w:ascii="Times New Roman" w:hAnsi="Times New Roman"/>
                <w:color w:val="000000"/>
                <w:szCs w:val="22"/>
                <w:vertAlign w:val="superscript"/>
              </w:rPr>
              <w:t>11</w:t>
            </w:r>
            <w:r w:rsidRPr="00961E0F">
              <w:rPr>
                <w:rFonts w:ascii="Times New Roman" w:hAnsi="Times New Roman"/>
                <w:color w:val="000000"/>
                <w:szCs w:val="22"/>
              </w:rPr>
              <w:t xml:space="preserve">*, </w:t>
            </w:r>
            <w:r w:rsidR="00266AC2" w:rsidRPr="00961E0F">
              <w:rPr>
                <w:rFonts w:ascii="Times New Roman" w:hAnsi="Times New Roman"/>
                <w:color w:val="000000"/>
                <w:szCs w:val="22"/>
              </w:rPr>
              <w:t>pneumopathie</w:t>
            </w:r>
            <w:r w:rsidRPr="00961E0F">
              <w:rPr>
                <w:rFonts w:ascii="Times New Roman" w:hAnsi="Times New Roman"/>
                <w:color w:val="000000"/>
                <w:szCs w:val="22"/>
              </w:rPr>
              <w:t xml:space="preserve"> interstitielle*</w:t>
            </w:r>
          </w:p>
        </w:tc>
      </w:tr>
      <w:tr w:rsidR="00533303" w:rsidRPr="00961E0F" w14:paraId="69D6E01C" w14:textId="77777777" w:rsidTr="00B15424">
        <w:trPr>
          <w:cantSplit/>
        </w:trPr>
        <w:tc>
          <w:tcPr>
            <w:tcW w:w="9322" w:type="dxa"/>
            <w:gridSpan w:val="2"/>
          </w:tcPr>
          <w:p w14:paraId="3FDBAF0A"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gastro-intestinales</w:t>
            </w:r>
          </w:p>
        </w:tc>
      </w:tr>
      <w:tr w:rsidR="00533303" w:rsidRPr="00961E0F" w14:paraId="2BBEF9DB" w14:textId="77777777" w:rsidTr="00B15424">
        <w:trPr>
          <w:cantSplit/>
        </w:trPr>
        <w:tc>
          <w:tcPr>
            <w:tcW w:w="2235" w:type="dxa"/>
          </w:tcPr>
          <w:p w14:paraId="7360706E"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55C61921"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Nausées, diarrhée, vomissements, dyspepsie, douleur abdominale</w:t>
            </w:r>
            <w:r w:rsidRPr="00961E0F">
              <w:rPr>
                <w:rFonts w:ascii="Times New Roman" w:hAnsi="Times New Roman"/>
                <w:color w:val="000000"/>
                <w:szCs w:val="22"/>
                <w:vertAlign w:val="superscript"/>
              </w:rPr>
              <w:t>6</w:t>
            </w:r>
          </w:p>
        </w:tc>
      </w:tr>
      <w:tr w:rsidR="00533303" w:rsidRPr="00961E0F" w14:paraId="5CD9E377" w14:textId="77777777" w:rsidTr="00B15424">
        <w:trPr>
          <w:cantSplit/>
        </w:trPr>
        <w:tc>
          <w:tcPr>
            <w:tcW w:w="2235" w:type="dxa"/>
          </w:tcPr>
          <w:p w14:paraId="58840B7E"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5CB9BECF"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Flatulence, ballonnements, reflux gastro-oesophagien, constipation, sécheresse de la bouche, gastrite</w:t>
            </w:r>
          </w:p>
        </w:tc>
      </w:tr>
      <w:tr w:rsidR="00533303" w:rsidRPr="00961E0F" w14:paraId="5B59F089" w14:textId="77777777" w:rsidTr="00B15424">
        <w:trPr>
          <w:cantSplit/>
        </w:trPr>
        <w:tc>
          <w:tcPr>
            <w:tcW w:w="2235" w:type="dxa"/>
          </w:tcPr>
          <w:p w14:paraId="2DF82506"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23B11406"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Stomatite, mucite, hémorrhagie gastro-intestinale</w:t>
            </w:r>
            <w:r w:rsidRPr="00961E0F">
              <w:rPr>
                <w:rFonts w:ascii="Times New Roman" w:hAnsi="Times New Roman"/>
                <w:color w:val="000000"/>
                <w:szCs w:val="22"/>
                <w:vertAlign w:val="superscript"/>
              </w:rPr>
              <w:t>7</w:t>
            </w:r>
            <w:r w:rsidRPr="00961E0F">
              <w:rPr>
                <w:rFonts w:ascii="Times New Roman" w:hAnsi="Times New Roman"/>
                <w:color w:val="000000"/>
                <w:szCs w:val="22"/>
              </w:rPr>
              <w:t>, eructation, méléna, oesophagite, ascite, ulcère gastrique, hématémèse, chéilite, dysphagie, pancréatite</w:t>
            </w:r>
          </w:p>
        </w:tc>
      </w:tr>
      <w:tr w:rsidR="00533303" w:rsidRPr="00961E0F" w14:paraId="24B0C2FB" w14:textId="77777777" w:rsidTr="00B15424">
        <w:trPr>
          <w:cantSplit/>
        </w:trPr>
        <w:tc>
          <w:tcPr>
            <w:tcW w:w="2235" w:type="dxa"/>
          </w:tcPr>
          <w:p w14:paraId="246DA71D"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1DB0DA3B" w14:textId="77777777" w:rsidR="00533303" w:rsidRPr="00961E0F" w:rsidRDefault="00533303" w:rsidP="00B15424">
            <w:pPr>
              <w:keepNext/>
              <w:tabs>
                <w:tab w:val="left" w:pos="567"/>
              </w:tabs>
              <w:spacing w:line="260" w:lineRule="exact"/>
              <w:rPr>
                <w:rFonts w:ascii="Times New Roman" w:hAnsi="Times New Roman"/>
                <w:snapToGrid w:val="0"/>
                <w:color w:val="000000"/>
                <w:szCs w:val="22"/>
              </w:rPr>
            </w:pPr>
            <w:r w:rsidRPr="00961E0F">
              <w:rPr>
                <w:rFonts w:ascii="Times New Roman" w:hAnsi="Times New Roman"/>
                <w:color w:val="000000"/>
                <w:szCs w:val="22"/>
              </w:rPr>
              <w:t xml:space="preserve">Colite, </w:t>
            </w:r>
            <w:r w:rsidRPr="00961E0F">
              <w:rPr>
                <w:rFonts w:ascii="Times New Roman" w:hAnsi="Times New Roman"/>
                <w:snapToGrid w:val="0"/>
                <w:color w:val="000000"/>
                <w:szCs w:val="22"/>
              </w:rPr>
              <w:t>ileus, affection abdominale inflammatoire</w:t>
            </w:r>
          </w:p>
        </w:tc>
      </w:tr>
      <w:tr w:rsidR="00533303" w:rsidRPr="00961E0F" w14:paraId="4C675493" w14:textId="77777777" w:rsidTr="00B15424">
        <w:trPr>
          <w:cantSplit/>
        </w:trPr>
        <w:tc>
          <w:tcPr>
            <w:tcW w:w="2235" w:type="dxa"/>
          </w:tcPr>
          <w:p w14:paraId="2C34DDD8"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032F65F7" w14:textId="77777777" w:rsidR="00533303" w:rsidRPr="00961E0F" w:rsidRDefault="00533303" w:rsidP="00667F4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Ileus/o</w:t>
            </w:r>
            <w:r w:rsidR="00BA50AD" w:rsidRPr="00961E0F">
              <w:rPr>
                <w:rFonts w:ascii="Times New Roman" w:hAnsi="Times New Roman"/>
                <w:color w:val="000000"/>
                <w:szCs w:val="22"/>
              </w:rPr>
              <w:t xml:space="preserve">cclusion </w:t>
            </w:r>
            <w:r w:rsidRPr="00961E0F">
              <w:rPr>
                <w:rFonts w:ascii="Times New Roman" w:hAnsi="Times New Roman"/>
                <w:color w:val="000000"/>
                <w:szCs w:val="22"/>
              </w:rPr>
              <w:t>intestinale</w:t>
            </w:r>
            <w:r w:rsidR="00C0508D" w:rsidRPr="00961E0F">
              <w:rPr>
                <w:rFonts w:ascii="Times New Roman" w:hAnsi="Times New Roman"/>
                <w:color w:val="000000"/>
                <w:szCs w:val="22"/>
              </w:rPr>
              <w:t>*</w:t>
            </w:r>
            <w:r w:rsidRPr="00961E0F">
              <w:rPr>
                <w:rFonts w:ascii="Times New Roman" w:hAnsi="Times New Roman"/>
                <w:color w:val="000000"/>
                <w:szCs w:val="22"/>
              </w:rPr>
              <w:t>, perforation gastro-intestinale*, diverticulite*, ectasie vasculaire de l’antre gastrique (EVAG)*</w:t>
            </w:r>
          </w:p>
        </w:tc>
      </w:tr>
      <w:tr w:rsidR="00533303" w:rsidRPr="00961E0F" w14:paraId="176F3724" w14:textId="77777777" w:rsidTr="00B15424">
        <w:trPr>
          <w:cantSplit/>
        </w:trPr>
        <w:tc>
          <w:tcPr>
            <w:tcW w:w="9322" w:type="dxa"/>
            <w:gridSpan w:val="2"/>
          </w:tcPr>
          <w:p w14:paraId="33246CD0" w14:textId="77777777" w:rsidR="00533303" w:rsidRPr="00961E0F" w:rsidRDefault="00533303" w:rsidP="00B15424">
            <w:pPr>
              <w:keepNext/>
              <w:tabs>
                <w:tab w:val="left" w:pos="567"/>
              </w:tabs>
              <w:spacing w:line="260" w:lineRule="exact"/>
              <w:rPr>
                <w:rFonts w:ascii="Times New Roman" w:hAnsi="Times New Roman"/>
                <w:snapToGrid w:val="0"/>
                <w:color w:val="000000"/>
                <w:szCs w:val="22"/>
              </w:rPr>
            </w:pPr>
            <w:r w:rsidRPr="00961E0F">
              <w:rPr>
                <w:rFonts w:ascii="Times New Roman" w:hAnsi="Times New Roman"/>
                <w:b/>
                <w:color w:val="000000"/>
                <w:szCs w:val="22"/>
              </w:rPr>
              <w:t>Affections hépatobiliaires</w:t>
            </w:r>
          </w:p>
        </w:tc>
      </w:tr>
      <w:tr w:rsidR="00533303" w:rsidRPr="00961E0F" w14:paraId="2E800ED6" w14:textId="77777777" w:rsidTr="00B15424">
        <w:trPr>
          <w:cantSplit/>
        </w:trPr>
        <w:tc>
          <w:tcPr>
            <w:tcW w:w="2235" w:type="dxa"/>
          </w:tcPr>
          <w:p w14:paraId="20A30FCF"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2AA246BA"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Elévation des enzymes hépatiques</w:t>
            </w:r>
          </w:p>
        </w:tc>
      </w:tr>
      <w:tr w:rsidR="00533303" w:rsidRPr="00961E0F" w14:paraId="0B3C4626" w14:textId="77777777" w:rsidTr="00B15424">
        <w:trPr>
          <w:cantSplit/>
        </w:trPr>
        <w:tc>
          <w:tcPr>
            <w:tcW w:w="2235" w:type="dxa"/>
          </w:tcPr>
          <w:p w14:paraId="01C5E33D"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1FAB572E"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Hyperbilirubinémie, hépatite, ictère</w:t>
            </w:r>
          </w:p>
        </w:tc>
      </w:tr>
      <w:tr w:rsidR="00533303" w:rsidRPr="00961E0F" w14:paraId="07C3FB46" w14:textId="77777777" w:rsidTr="00B15424">
        <w:trPr>
          <w:cantSplit/>
        </w:trPr>
        <w:tc>
          <w:tcPr>
            <w:tcW w:w="2235" w:type="dxa"/>
          </w:tcPr>
          <w:p w14:paraId="225BE065" w14:textId="77777777" w:rsidR="00533303" w:rsidRPr="00961E0F" w:rsidRDefault="00533303">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39BC4C32"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Insuffisance hépatique</w:t>
            </w:r>
            <w:r w:rsidRPr="00961E0F">
              <w:rPr>
                <w:rFonts w:ascii="Times New Roman" w:hAnsi="Times New Roman"/>
                <w:color w:val="000000"/>
                <w:szCs w:val="22"/>
                <w:vertAlign w:val="superscript"/>
              </w:rPr>
              <w:t>8</w:t>
            </w:r>
            <w:r w:rsidRPr="00961E0F">
              <w:rPr>
                <w:rFonts w:ascii="Times New Roman" w:hAnsi="Times New Roman"/>
                <w:color w:val="000000"/>
                <w:szCs w:val="22"/>
              </w:rPr>
              <w:t>, nécrose hépatique</w:t>
            </w:r>
          </w:p>
        </w:tc>
      </w:tr>
      <w:tr w:rsidR="00533303" w:rsidRPr="00961E0F" w14:paraId="7440FE0D" w14:textId="77777777" w:rsidTr="00B15424">
        <w:trPr>
          <w:cantSplit/>
        </w:trPr>
        <w:tc>
          <w:tcPr>
            <w:tcW w:w="9322" w:type="dxa"/>
            <w:gridSpan w:val="2"/>
          </w:tcPr>
          <w:p w14:paraId="048B6F7F"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lastRenderedPageBreak/>
              <w:t>Affections de la peau et du tissu sous-cutané</w:t>
            </w:r>
          </w:p>
        </w:tc>
      </w:tr>
      <w:tr w:rsidR="00533303" w:rsidRPr="00961E0F" w14:paraId="7D65CFCC" w14:textId="77777777" w:rsidTr="00B15424">
        <w:trPr>
          <w:cantSplit/>
        </w:trPr>
        <w:tc>
          <w:tcPr>
            <w:tcW w:w="2235" w:type="dxa"/>
          </w:tcPr>
          <w:p w14:paraId="7C5F2B49"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6A0C8561"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Oedème périorbitaire, dermatite/eczéma/rash</w:t>
            </w:r>
          </w:p>
        </w:tc>
      </w:tr>
      <w:tr w:rsidR="00533303" w:rsidRPr="00961E0F" w14:paraId="5EA14B03" w14:textId="77777777" w:rsidTr="00B15424">
        <w:trPr>
          <w:cantSplit/>
        </w:trPr>
        <w:tc>
          <w:tcPr>
            <w:tcW w:w="2235" w:type="dxa"/>
          </w:tcPr>
          <w:p w14:paraId="45E1C516"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0152C020"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Prurit, oedème de la face, peau sèche, erythème, alopécie, sueurs nocturnes, réaction de photosensibilité</w:t>
            </w:r>
          </w:p>
        </w:tc>
      </w:tr>
      <w:tr w:rsidR="00533303" w:rsidRPr="00961E0F" w14:paraId="712B63A2" w14:textId="77777777" w:rsidTr="00B15424">
        <w:trPr>
          <w:cantSplit/>
        </w:trPr>
        <w:tc>
          <w:tcPr>
            <w:tcW w:w="2235" w:type="dxa"/>
          </w:tcPr>
          <w:p w14:paraId="6CC7A58E"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42271A5E"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Rash pustuleux, contusion, hypersudation, urticaire, ecchymose, tendance augmentée aux ecchymoses, hypotrichose, hypopigmentation cutanée, dermatite exfoliative, ongles cassants, folliculite, pétéchies, psoriasis, purpura, hyperpigmentation cutanée, eruption bulleuse</w:t>
            </w:r>
          </w:p>
        </w:tc>
      </w:tr>
      <w:tr w:rsidR="00533303" w:rsidRPr="00961E0F" w14:paraId="58A9B200" w14:textId="77777777" w:rsidTr="00B15424">
        <w:trPr>
          <w:cantSplit/>
        </w:trPr>
        <w:tc>
          <w:tcPr>
            <w:tcW w:w="2235" w:type="dxa"/>
          </w:tcPr>
          <w:p w14:paraId="289A35BD"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3F0C5F1D"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Dermatose aiguë fébrile neutrophilique (syndrome de Sweet), décoloration des ongles, œdème de Quincke, rash vésiculaire, érythème polymorphe, vascularite leucocyclasique, syndrome de Stevens-Johnson, pustulose exanthèmateuse aiguë généralisée</w:t>
            </w:r>
          </w:p>
        </w:tc>
      </w:tr>
      <w:tr w:rsidR="00533303" w:rsidRPr="00961E0F" w14:paraId="10E6AD5B" w14:textId="77777777" w:rsidTr="00B15424">
        <w:trPr>
          <w:cantSplit/>
        </w:trPr>
        <w:tc>
          <w:tcPr>
            <w:tcW w:w="2235" w:type="dxa"/>
          </w:tcPr>
          <w:p w14:paraId="011E9B5F"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0E3B382C"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bCs/>
                <w:color w:val="000000"/>
                <w:szCs w:val="22"/>
              </w:rPr>
              <w:t>Erythrodysesthésie palmo-plantaire*, kératose lichenoïde*, lichen plan*, nécrolyse épidermique toxique*, syndrome d’hypersensibilité médicamenteuse avec éosinophilie et symptômes systémiques (syndrome DRESS)*</w:t>
            </w:r>
            <w:r w:rsidR="005861BE" w:rsidRPr="00961E0F">
              <w:rPr>
                <w:rFonts w:ascii="Times New Roman" w:hAnsi="Times New Roman"/>
                <w:bCs/>
                <w:color w:val="000000"/>
                <w:szCs w:val="22"/>
              </w:rPr>
              <w:t>, pseudoporphyrie</w:t>
            </w:r>
            <w:r w:rsidR="00662F10" w:rsidRPr="00961E0F">
              <w:rPr>
                <w:rFonts w:ascii="Times New Roman" w:hAnsi="Times New Roman"/>
                <w:bCs/>
                <w:color w:val="000000"/>
                <w:szCs w:val="22"/>
              </w:rPr>
              <w:t>*</w:t>
            </w:r>
          </w:p>
        </w:tc>
      </w:tr>
      <w:tr w:rsidR="00533303" w:rsidRPr="00961E0F" w14:paraId="02AAD83E" w14:textId="77777777" w:rsidTr="00B15424">
        <w:trPr>
          <w:cantSplit/>
        </w:trPr>
        <w:tc>
          <w:tcPr>
            <w:tcW w:w="9322" w:type="dxa"/>
            <w:gridSpan w:val="2"/>
          </w:tcPr>
          <w:p w14:paraId="7C9531F7"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musculo-sqelettiques et systémiques</w:t>
            </w:r>
          </w:p>
        </w:tc>
      </w:tr>
      <w:tr w:rsidR="00533303" w:rsidRPr="00961E0F" w14:paraId="66B549F3" w14:textId="77777777" w:rsidTr="00B15424">
        <w:trPr>
          <w:cantSplit/>
        </w:trPr>
        <w:tc>
          <w:tcPr>
            <w:tcW w:w="2235" w:type="dxa"/>
          </w:tcPr>
          <w:p w14:paraId="6F3675FF"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Très fréquent :</w:t>
            </w:r>
          </w:p>
        </w:tc>
        <w:tc>
          <w:tcPr>
            <w:tcW w:w="7087" w:type="dxa"/>
          </w:tcPr>
          <w:p w14:paraId="1759AFAD"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Crampes et spasmes musculaires, douleurs musculosquelettiques incluant les myalgies</w:t>
            </w:r>
            <w:r w:rsidR="00A931F9" w:rsidRPr="00961E0F">
              <w:rPr>
                <w:rFonts w:ascii="Times New Roman" w:hAnsi="Times New Roman"/>
                <w:color w:val="000000"/>
                <w:szCs w:val="22"/>
                <w:vertAlign w:val="superscript"/>
              </w:rPr>
              <w:t>9</w:t>
            </w:r>
            <w:r w:rsidRPr="00961E0F">
              <w:rPr>
                <w:rFonts w:ascii="Times New Roman" w:hAnsi="Times New Roman"/>
                <w:color w:val="000000"/>
                <w:szCs w:val="22"/>
              </w:rPr>
              <w:t>, arthralgies, douleurs osseuses</w:t>
            </w:r>
            <w:r w:rsidR="00A931F9" w:rsidRPr="00961E0F">
              <w:rPr>
                <w:rFonts w:ascii="Times New Roman" w:hAnsi="Times New Roman"/>
                <w:color w:val="000000"/>
                <w:szCs w:val="22"/>
                <w:vertAlign w:val="superscript"/>
              </w:rPr>
              <w:t>10</w:t>
            </w:r>
          </w:p>
        </w:tc>
      </w:tr>
      <w:tr w:rsidR="00533303" w:rsidRPr="00961E0F" w14:paraId="7D3FB174" w14:textId="77777777" w:rsidTr="00B15424">
        <w:trPr>
          <w:cantSplit/>
        </w:trPr>
        <w:tc>
          <w:tcPr>
            <w:tcW w:w="2235" w:type="dxa"/>
          </w:tcPr>
          <w:p w14:paraId="53E2E1C4"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41FC0B06" w14:textId="77777777" w:rsidR="00533303" w:rsidRPr="00961E0F" w:rsidRDefault="00533303" w:rsidP="00B15424">
            <w:pPr>
              <w:keepNext/>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Gonflement des articulations</w:t>
            </w:r>
          </w:p>
        </w:tc>
      </w:tr>
      <w:tr w:rsidR="00533303" w:rsidRPr="00961E0F" w14:paraId="6DD509DE" w14:textId="77777777" w:rsidTr="00B15424">
        <w:trPr>
          <w:cantSplit/>
        </w:trPr>
        <w:tc>
          <w:tcPr>
            <w:tcW w:w="2235" w:type="dxa"/>
          </w:tcPr>
          <w:p w14:paraId="0F87ABE6" w14:textId="5FE2D8AD" w:rsidR="00533303" w:rsidRPr="00961E0F" w:rsidRDefault="00A56477" w:rsidP="00A56477">
            <w:pPr>
              <w:keepNext/>
              <w:tabs>
                <w:tab w:val="left" w:pos="567"/>
              </w:tabs>
              <w:spacing w:line="260" w:lineRule="exact"/>
              <w:rPr>
                <w:rFonts w:ascii="Times New Roman" w:hAnsi="Times New Roman"/>
                <w:i/>
                <w:color w:val="000000"/>
                <w:szCs w:val="22"/>
              </w:rPr>
            </w:pPr>
            <w:r>
              <w:rPr>
                <w:rFonts w:ascii="Times New Roman" w:hAnsi="Times New Roman"/>
                <w:i/>
                <w:color w:val="000000"/>
                <w:szCs w:val="22"/>
              </w:rPr>
              <w:t>Peu f</w:t>
            </w:r>
            <w:r w:rsidR="00533303" w:rsidRPr="00961E0F">
              <w:rPr>
                <w:rFonts w:ascii="Times New Roman" w:hAnsi="Times New Roman"/>
                <w:i/>
                <w:color w:val="000000"/>
                <w:szCs w:val="22"/>
              </w:rPr>
              <w:t>réquent :</w:t>
            </w:r>
          </w:p>
        </w:tc>
        <w:tc>
          <w:tcPr>
            <w:tcW w:w="7087" w:type="dxa"/>
          </w:tcPr>
          <w:p w14:paraId="62DA5AAA" w14:textId="77777777" w:rsidR="00533303" w:rsidRPr="00961E0F" w:rsidRDefault="00533303" w:rsidP="00B15424">
            <w:pPr>
              <w:keepNext/>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Raideur articulaire et musculaire</w:t>
            </w:r>
          </w:p>
        </w:tc>
      </w:tr>
      <w:tr w:rsidR="00533303" w:rsidRPr="00961E0F" w14:paraId="6CD19B04" w14:textId="77777777" w:rsidTr="00B15424">
        <w:trPr>
          <w:cantSplit/>
        </w:trPr>
        <w:tc>
          <w:tcPr>
            <w:tcW w:w="2235" w:type="dxa"/>
          </w:tcPr>
          <w:p w14:paraId="20E868E2"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0F0C7AD9"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bCs/>
                <w:color w:val="000000"/>
                <w:szCs w:val="22"/>
              </w:rPr>
              <w:t>Faiblesse musculaire, arthrite, rhabdomyolyse/myopathie</w:t>
            </w:r>
          </w:p>
        </w:tc>
      </w:tr>
      <w:tr w:rsidR="00533303" w:rsidRPr="00961E0F" w14:paraId="3CEC643B" w14:textId="77777777" w:rsidTr="00B15424">
        <w:trPr>
          <w:cantSplit/>
        </w:trPr>
        <w:tc>
          <w:tcPr>
            <w:tcW w:w="2235" w:type="dxa"/>
          </w:tcPr>
          <w:p w14:paraId="4034CD88" w14:textId="77777777" w:rsidR="00533303" w:rsidRPr="00961E0F" w:rsidRDefault="00266AC2">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w:t>
            </w:r>
            <w:r w:rsidR="00533303" w:rsidRPr="00961E0F">
              <w:rPr>
                <w:rFonts w:ascii="Times New Roman" w:hAnsi="Times New Roman"/>
                <w:i/>
                <w:color w:val="000000"/>
                <w:szCs w:val="22"/>
              </w:rPr>
              <w:t>ndéterminée :</w:t>
            </w:r>
          </w:p>
        </w:tc>
        <w:tc>
          <w:tcPr>
            <w:tcW w:w="7087" w:type="dxa"/>
          </w:tcPr>
          <w:p w14:paraId="44BDB598" w14:textId="77777777" w:rsidR="00533303" w:rsidRPr="00961E0F" w:rsidRDefault="00533303" w:rsidP="00667F43">
            <w:pPr>
              <w:tabs>
                <w:tab w:val="left" w:pos="567"/>
              </w:tabs>
              <w:spacing w:line="260" w:lineRule="exact"/>
              <w:rPr>
                <w:rFonts w:ascii="Times New Roman" w:hAnsi="Times New Roman"/>
                <w:bCs/>
                <w:color w:val="000000"/>
                <w:szCs w:val="22"/>
              </w:rPr>
            </w:pPr>
            <w:r w:rsidRPr="00961E0F">
              <w:rPr>
                <w:rFonts w:ascii="Times New Roman" w:hAnsi="Times New Roman"/>
                <w:color w:val="000000"/>
                <w:szCs w:val="22"/>
              </w:rPr>
              <w:t>Nécrose avasculaire/nécrose de la hanche*, retard de croissance chez l’enfant*</w:t>
            </w:r>
          </w:p>
        </w:tc>
      </w:tr>
      <w:tr w:rsidR="00533303" w:rsidRPr="00961E0F" w14:paraId="21FD9C7C" w14:textId="77777777" w:rsidTr="00B15424">
        <w:trPr>
          <w:cantSplit/>
        </w:trPr>
        <w:tc>
          <w:tcPr>
            <w:tcW w:w="9322" w:type="dxa"/>
            <w:gridSpan w:val="2"/>
          </w:tcPr>
          <w:p w14:paraId="53CE075F" w14:textId="77777777" w:rsidR="00533303" w:rsidRPr="00961E0F" w:rsidRDefault="00533303" w:rsidP="00B15424">
            <w:pPr>
              <w:keepNext/>
              <w:tabs>
                <w:tab w:val="left" w:pos="567"/>
              </w:tabs>
              <w:spacing w:line="260" w:lineRule="exact"/>
              <w:rPr>
                <w:rFonts w:ascii="Times New Roman" w:hAnsi="Times New Roman"/>
                <w:b/>
                <w:color w:val="000000"/>
                <w:szCs w:val="22"/>
              </w:rPr>
            </w:pPr>
            <w:r w:rsidRPr="00961E0F">
              <w:rPr>
                <w:rFonts w:ascii="Times New Roman" w:hAnsi="Times New Roman"/>
                <w:b/>
                <w:color w:val="000000"/>
                <w:szCs w:val="22"/>
              </w:rPr>
              <w:t>Affections du rein et des voies urinaires</w:t>
            </w:r>
          </w:p>
        </w:tc>
      </w:tr>
      <w:tr w:rsidR="00533303" w:rsidRPr="00961E0F" w14:paraId="04FD552F" w14:textId="77777777" w:rsidTr="00B15424">
        <w:trPr>
          <w:cantSplit/>
        </w:trPr>
        <w:tc>
          <w:tcPr>
            <w:tcW w:w="2235" w:type="dxa"/>
          </w:tcPr>
          <w:p w14:paraId="1968F3C7"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6A5CCBA4"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Douleur rénale, hématurie, insuffisance rénale aiguë, pollakiurie</w:t>
            </w:r>
          </w:p>
        </w:tc>
      </w:tr>
      <w:tr w:rsidR="001240E6" w:rsidRPr="00961E0F" w14:paraId="5C2E1FFE" w14:textId="77777777" w:rsidTr="00B15424">
        <w:trPr>
          <w:cantSplit/>
        </w:trPr>
        <w:tc>
          <w:tcPr>
            <w:tcW w:w="2235" w:type="dxa"/>
          </w:tcPr>
          <w:p w14:paraId="05B99032" w14:textId="77777777" w:rsidR="001240E6" w:rsidRPr="00961E0F" w:rsidRDefault="001240E6">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3ADD7068" w14:textId="77777777" w:rsidR="001240E6" w:rsidRPr="00961E0F" w:rsidRDefault="001240E6">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Insuffisance rénale chronique</w:t>
            </w:r>
          </w:p>
        </w:tc>
      </w:tr>
      <w:tr w:rsidR="00533303" w:rsidRPr="00961E0F" w14:paraId="1D64D52B" w14:textId="77777777" w:rsidTr="00B15424">
        <w:trPr>
          <w:cantSplit/>
        </w:trPr>
        <w:tc>
          <w:tcPr>
            <w:tcW w:w="9322" w:type="dxa"/>
            <w:gridSpan w:val="2"/>
          </w:tcPr>
          <w:p w14:paraId="708E47C9"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des organes de reproduction et du sein</w:t>
            </w:r>
          </w:p>
        </w:tc>
      </w:tr>
      <w:tr w:rsidR="00533303" w:rsidRPr="00961E0F" w14:paraId="36E62185" w14:textId="77777777" w:rsidTr="00B15424">
        <w:trPr>
          <w:cantSplit/>
        </w:trPr>
        <w:tc>
          <w:tcPr>
            <w:tcW w:w="2235" w:type="dxa"/>
          </w:tcPr>
          <w:p w14:paraId="4052A2DF"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3D3F0D18"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Gynécomastie, dysfonctionnement érectile, ménorragie, menstruation irrégulière, troubles sexuels, douleur des mammelons, gonflement des seins, œdème du scrotum</w:t>
            </w:r>
          </w:p>
        </w:tc>
      </w:tr>
      <w:tr w:rsidR="00533303" w:rsidRPr="00961E0F" w14:paraId="1B9ED23A" w14:textId="77777777" w:rsidTr="00B15424">
        <w:trPr>
          <w:cantSplit/>
        </w:trPr>
        <w:tc>
          <w:tcPr>
            <w:tcW w:w="2235" w:type="dxa"/>
          </w:tcPr>
          <w:p w14:paraId="35A0AFF4" w14:textId="77777777" w:rsidR="00533303" w:rsidRPr="00961E0F" w:rsidRDefault="00533303">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708AE5CD"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Corps jaune hémorragique, kyste ovarien hémorragique</w:t>
            </w:r>
          </w:p>
        </w:tc>
      </w:tr>
      <w:tr w:rsidR="00533303" w:rsidRPr="00961E0F" w14:paraId="3D2006AC" w14:textId="77777777" w:rsidTr="00B15424">
        <w:trPr>
          <w:cantSplit/>
        </w:trPr>
        <w:tc>
          <w:tcPr>
            <w:tcW w:w="9322" w:type="dxa"/>
            <w:gridSpan w:val="2"/>
          </w:tcPr>
          <w:p w14:paraId="36F3AC26"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Troubles généraux et anomalies au site d’administration</w:t>
            </w:r>
          </w:p>
        </w:tc>
      </w:tr>
      <w:tr w:rsidR="00533303" w:rsidRPr="00961E0F" w14:paraId="6BE5372F" w14:textId="77777777" w:rsidTr="00B15424">
        <w:trPr>
          <w:cantSplit/>
        </w:trPr>
        <w:tc>
          <w:tcPr>
            <w:tcW w:w="2235" w:type="dxa"/>
          </w:tcPr>
          <w:p w14:paraId="10ACB84C"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Très fréquent :</w:t>
            </w:r>
          </w:p>
        </w:tc>
        <w:tc>
          <w:tcPr>
            <w:tcW w:w="7087" w:type="dxa"/>
          </w:tcPr>
          <w:p w14:paraId="4D26FDD8"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Rétention hydrique et oedème, fatigue</w:t>
            </w:r>
          </w:p>
        </w:tc>
      </w:tr>
      <w:tr w:rsidR="00533303" w:rsidRPr="00961E0F" w14:paraId="5EDAD517" w14:textId="77777777" w:rsidTr="00B15424">
        <w:trPr>
          <w:cantSplit/>
        </w:trPr>
        <w:tc>
          <w:tcPr>
            <w:tcW w:w="2235" w:type="dxa"/>
          </w:tcPr>
          <w:p w14:paraId="5382FF9B"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6394CF1F"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Faiblesse, pyrexie, anasarque, frissons, rigidité</w:t>
            </w:r>
          </w:p>
        </w:tc>
      </w:tr>
      <w:tr w:rsidR="00533303" w:rsidRPr="00961E0F" w14:paraId="133B54CE" w14:textId="77777777" w:rsidTr="00B15424">
        <w:trPr>
          <w:cantSplit/>
        </w:trPr>
        <w:tc>
          <w:tcPr>
            <w:tcW w:w="2235" w:type="dxa"/>
          </w:tcPr>
          <w:p w14:paraId="0C2DC4BA" w14:textId="77777777" w:rsidR="00533303" w:rsidRPr="00961E0F" w:rsidRDefault="00533303">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52E0C03A" w14:textId="77777777" w:rsidR="00533303" w:rsidRPr="00961E0F" w:rsidRDefault="00533303">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Douleur thoracique, malaise</w:t>
            </w:r>
          </w:p>
        </w:tc>
      </w:tr>
      <w:tr w:rsidR="00533303" w:rsidRPr="00961E0F" w14:paraId="02D5FC63" w14:textId="77777777" w:rsidTr="00B15424">
        <w:trPr>
          <w:cantSplit/>
        </w:trPr>
        <w:tc>
          <w:tcPr>
            <w:tcW w:w="9322" w:type="dxa"/>
            <w:gridSpan w:val="2"/>
          </w:tcPr>
          <w:p w14:paraId="66310D3E"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lastRenderedPageBreak/>
              <w:t>Investigations</w:t>
            </w:r>
          </w:p>
        </w:tc>
      </w:tr>
      <w:tr w:rsidR="00533303" w:rsidRPr="00961E0F" w14:paraId="1E5C015E" w14:textId="77777777" w:rsidTr="00B15424">
        <w:trPr>
          <w:cantSplit/>
        </w:trPr>
        <w:tc>
          <w:tcPr>
            <w:tcW w:w="2235" w:type="dxa"/>
          </w:tcPr>
          <w:p w14:paraId="664014EA"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436F42A1"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Prise de poids</w:t>
            </w:r>
          </w:p>
        </w:tc>
      </w:tr>
      <w:tr w:rsidR="00533303" w:rsidRPr="00961E0F" w14:paraId="53F52485" w14:textId="77777777" w:rsidTr="00B15424">
        <w:trPr>
          <w:cantSplit/>
        </w:trPr>
        <w:tc>
          <w:tcPr>
            <w:tcW w:w="2235" w:type="dxa"/>
          </w:tcPr>
          <w:p w14:paraId="4AAD35AF"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r w:rsidRPr="00961E0F">
              <w:rPr>
                <w:rFonts w:ascii="Times New Roman" w:hAnsi="Times New Roman"/>
                <w:color w:val="000000"/>
                <w:szCs w:val="22"/>
              </w:rPr>
              <w:t>:</w:t>
            </w:r>
          </w:p>
        </w:tc>
        <w:tc>
          <w:tcPr>
            <w:tcW w:w="7087" w:type="dxa"/>
          </w:tcPr>
          <w:p w14:paraId="71F15FCD"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Perte de poids</w:t>
            </w:r>
          </w:p>
        </w:tc>
      </w:tr>
      <w:tr w:rsidR="00533303" w:rsidRPr="00961E0F" w14:paraId="3D9D9342" w14:textId="77777777" w:rsidTr="00B15424">
        <w:trPr>
          <w:cantSplit/>
        </w:trPr>
        <w:tc>
          <w:tcPr>
            <w:tcW w:w="2235" w:type="dxa"/>
          </w:tcPr>
          <w:p w14:paraId="7E86F5A1"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r w:rsidRPr="00961E0F">
              <w:rPr>
                <w:rFonts w:ascii="Times New Roman" w:hAnsi="Times New Roman"/>
                <w:color w:val="000000"/>
                <w:szCs w:val="22"/>
              </w:rPr>
              <w:t>:</w:t>
            </w:r>
          </w:p>
        </w:tc>
        <w:tc>
          <w:tcPr>
            <w:tcW w:w="7087" w:type="dxa"/>
          </w:tcPr>
          <w:p w14:paraId="1A8A103C" w14:textId="77777777" w:rsidR="00533303" w:rsidRPr="00961E0F" w:rsidRDefault="00533303" w:rsidP="00B15424">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Augmentation de la créatininémie, augmentation de la créatine phosphokinase, augmentation de la lacticodeshydrogénase, augmentation des phosphatases alcalines</w:t>
            </w:r>
          </w:p>
        </w:tc>
      </w:tr>
      <w:tr w:rsidR="00533303" w:rsidRPr="00961E0F" w14:paraId="037CA2A3" w14:textId="77777777" w:rsidTr="00B15424">
        <w:trPr>
          <w:cantSplit/>
        </w:trPr>
        <w:tc>
          <w:tcPr>
            <w:tcW w:w="2235" w:type="dxa"/>
          </w:tcPr>
          <w:p w14:paraId="61270D10" w14:textId="77777777" w:rsidR="00533303" w:rsidRPr="00961E0F" w:rsidRDefault="00533303" w:rsidP="00B15424">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322D0098" w14:textId="77777777" w:rsidR="00533303" w:rsidRPr="00961E0F" w:rsidRDefault="00533303" w:rsidP="00B15424">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Augmentation de l’amylasémie</w:t>
            </w:r>
          </w:p>
        </w:tc>
      </w:tr>
    </w:tbl>
    <w:p w14:paraId="5F77EB67" w14:textId="77777777" w:rsidR="0045753D" w:rsidRPr="00961E0F" w:rsidRDefault="0045753D" w:rsidP="00B15424">
      <w:pPr>
        <w:pStyle w:val="Text"/>
        <w:keepNext/>
        <w:keepLines/>
        <w:spacing w:before="0"/>
        <w:jc w:val="left"/>
        <w:rPr>
          <w:color w:val="000000"/>
          <w:sz w:val="22"/>
          <w:szCs w:val="22"/>
        </w:rPr>
      </w:pPr>
    </w:p>
    <w:p w14:paraId="168EC45C" w14:textId="77777777" w:rsidR="009B158D" w:rsidRPr="00961E0F" w:rsidRDefault="00110025" w:rsidP="00B15424">
      <w:pPr>
        <w:pStyle w:val="Text"/>
        <w:keepNext/>
        <w:keepLines/>
        <w:spacing w:before="0"/>
        <w:ind w:left="567" w:hanging="567"/>
        <w:jc w:val="left"/>
        <w:rPr>
          <w:color w:val="000000"/>
          <w:szCs w:val="22"/>
          <w:lang w:val="fr-FR"/>
        </w:rPr>
      </w:pPr>
      <w:r w:rsidRPr="00961E0F">
        <w:rPr>
          <w:color w:val="000000"/>
          <w:sz w:val="22"/>
          <w:szCs w:val="22"/>
          <w:lang w:val="fr-FR"/>
        </w:rPr>
        <w:t>*</w:t>
      </w:r>
      <w:r w:rsidR="00533303" w:rsidRPr="00961E0F">
        <w:rPr>
          <w:color w:val="000000"/>
          <w:szCs w:val="22"/>
          <w:lang w:val="fr-FR"/>
        </w:rPr>
        <w:tab/>
      </w:r>
      <w:r w:rsidRPr="00961E0F">
        <w:rPr>
          <w:color w:val="000000"/>
          <w:sz w:val="22"/>
          <w:szCs w:val="22"/>
          <w:lang w:val="fr-FR" w:eastAsia="ja-JP"/>
        </w:rPr>
        <w:t xml:space="preserve">Ces effets indésirables ont été </w:t>
      </w:r>
      <w:r w:rsidR="00AF1E72" w:rsidRPr="00961E0F">
        <w:rPr>
          <w:color w:val="000000"/>
          <w:sz w:val="22"/>
          <w:szCs w:val="22"/>
          <w:lang w:val="fr-FR" w:eastAsia="ja-JP"/>
        </w:rPr>
        <w:t xml:space="preserve">principalement rapportés après la mise sur le marché de Glivec. </w:t>
      </w:r>
      <w:r w:rsidR="001F374A" w:rsidRPr="00961E0F">
        <w:rPr>
          <w:color w:val="000000"/>
          <w:sz w:val="22"/>
          <w:szCs w:val="22"/>
          <w:lang w:val="fr-FR" w:eastAsia="ja-JP"/>
        </w:rPr>
        <w:t>Ceci inclut les cas issus de la notification spontanée a</w:t>
      </w:r>
      <w:r w:rsidR="009B158D" w:rsidRPr="00961E0F">
        <w:rPr>
          <w:color w:val="000000"/>
          <w:sz w:val="22"/>
          <w:szCs w:val="22"/>
          <w:lang w:val="fr-FR" w:eastAsia="ja-JP"/>
        </w:rPr>
        <w:t xml:space="preserve">insi que les </w:t>
      </w:r>
      <w:r w:rsidR="00266AC2" w:rsidRPr="00961E0F">
        <w:rPr>
          <w:color w:val="000000"/>
          <w:sz w:val="22"/>
          <w:szCs w:val="22"/>
          <w:lang w:val="fr-FR" w:eastAsia="ja-JP"/>
        </w:rPr>
        <w:t>événements</w:t>
      </w:r>
      <w:r w:rsidR="009B158D" w:rsidRPr="00961E0F">
        <w:rPr>
          <w:color w:val="000000"/>
          <w:sz w:val="22"/>
          <w:szCs w:val="22"/>
          <w:lang w:val="fr-FR" w:eastAsia="ja-JP"/>
        </w:rPr>
        <w:t xml:space="preserve"> indésirables graves des études cliniques en cours, des programmes d’accès élargi</w:t>
      </w:r>
      <w:r w:rsidR="0045753D" w:rsidRPr="00961E0F">
        <w:rPr>
          <w:color w:val="000000"/>
          <w:sz w:val="22"/>
          <w:szCs w:val="22"/>
          <w:lang w:val="fr-FR" w:eastAsia="ja-JP"/>
        </w:rPr>
        <w:t>,</w:t>
      </w:r>
      <w:r w:rsidR="009B158D" w:rsidRPr="00961E0F">
        <w:rPr>
          <w:color w:val="000000"/>
          <w:sz w:val="22"/>
          <w:szCs w:val="22"/>
          <w:lang w:val="fr-FR" w:eastAsia="ja-JP"/>
        </w:rPr>
        <w:t xml:space="preserve"> des études de pharmacologie clinique et des études exploratoires menées dans le cadre d’indications thérapeutiques non </w:t>
      </w:r>
      <w:r w:rsidR="00870F94" w:rsidRPr="00961E0F">
        <w:rPr>
          <w:color w:val="000000"/>
          <w:sz w:val="22"/>
          <w:szCs w:val="22"/>
          <w:lang w:val="fr-FR" w:eastAsia="ja-JP"/>
        </w:rPr>
        <w:t>approuvées</w:t>
      </w:r>
      <w:r w:rsidR="009B158D" w:rsidRPr="00961E0F">
        <w:rPr>
          <w:color w:val="000000"/>
          <w:sz w:val="22"/>
          <w:szCs w:val="22"/>
          <w:lang w:val="fr-FR" w:eastAsia="ja-JP"/>
        </w:rPr>
        <w:t>.</w:t>
      </w:r>
      <w:r w:rsidR="0065141B" w:rsidRPr="00961E0F">
        <w:rPr>
          <w:color w:val="000000"/>
          <w:sz w:val="22"/>
          <w:szCs w:val="22"/>
          <w:lang w:val="fr-FR" w:eastAsia="ja-JP"/>
        </w:rPr>
        <w:t xml:space="preserve"> Etant donné que</w:t>
      </w:r>
      <w:r w:rsidR="009B158D" w:rsidRPr="00961E0F">
        <w:rPr>
          <w:color w:val="000000"/>
          <w:sz w:val="22"/>
          <w:szCs w:val="22"/>
          <w:lang w:val="fr-FR" w:eastAsia="ja-JP"/>
        </w:rPr>
        <w:t xml:space="preserve"> ces </w:t>
      </w:r>
      <w:r w:rsidR="008D4C96" w:rsidRPr="00961E0F">
        <w:rPr>
          <w:color w:val="000000"/>
          <w:sz w:val="22"/>
          <w:szCs w:val="22"/>
          <w:lang w:val="fr-FR" w:eastAsia="ja-JP"/>
        </w:rPr>
        <w:t>évenements</w:t>
      </w:r>
      <w:r w:rsidR="009B158D" w:rsidRPr="00961E0F">
        <w:rPr>
          <w:color w:val="000000"/>
          <w:sz w:val="22"/>
          <w:szCs w:val="22"/>
          <w:lang w:val="fr-FR" w:eastAsia="ja-JP"/>
        </w:rPr>
        <w:t xml:space="preserve"> sont issus d’une population dont la taille n’est pas déterminée, il n’est pas toujours possible d’estimer de manière fiable leur fréquence ou d’établir la relation de causalité avec l’exposition à l’imatinib.</w:t>
      </w:r>
    </w:p>
    <w:p w14:paraId="7E0FAD26"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1</w:t>
      </w:r>
      <w:r w:rsidRPr="00961E0F">
        <w:rPr>
          <w:rFonts w:ascii="Times New Roman" w:hAnsi="Times New Roman"/>
          <w:color w:val="000000"/>
          <w:szCs w:val="22"/>
        </w:rPr>
        <w:tab/>
        <w:t>La pneumonie a été le plus fréquemment observée chez les patients atteints de LMC en transformation et les patients atteints de GIST.</w:t>
      </w:r>
    </w:p>
    <w:p w14:paraId="3A727FB2"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2</w:t>
      </w:r>
      <w:r w:rsidRPr="00961E0F">
        <w:rPr>
          <w:rFonts w:ascii="Times New Roman" w:hAnsi="Times New Roman"/>
          <w:color w:val="000000"/>
          <w:szCs w:val="22"/>
        </w:rPr>
        <w:tab/>
        <w:t>Les céphalées ont été le plus fréquemment observées chez les patients atteints de GIST.</w:t>
      </w:r>
    </w:p>
    <w:p w14:paraId="559990ED"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3</w:t>
      </w:r>
      <w:r w:rsidRPr="00961E0F">
        <w:rPr>
          <w:rFonts w:ascii="Times New Roman" w:hAnsi="Times New Roman"/>
          <w:color w:val="000000"/>
          <w:szCs w:val="22"/>
        </w:rPr>
        <w:tab/>
        <w:t>Selon l’unité de mesure « patient-année », les effets cardiaques incluant l’insuffisance cardiaque congestive ont été plus fréquemment observés chez les patients ayant une LMC en transformation que chez ceux ayant une LMC en phase chronique.</w:t>
      </w:r>
    </w:p>
    <w:p w14:paraId="7F59B5F3"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4</w:t>
      </w:r>
      <w:r w:rsidRPr="00961E0F">
        <w:rPr>
          <w:rFonts w:ascii="Times New Roman" w:hAnsi="Times New Roman"/>
          <w:color w:val="000000"/>
          <w:szCs w:val="22"/>
        </w:rPr>
        <w:tab/>
        <w:t>Les bouffées vasomotrices ont été le plus fréquemment observées chez les patients atteints de GIST et les saignements (hématomes et hémorragies) ont été le plus fréquemment observés chez les patients atteints de GIST et les pateinst atteints de LMC en transformation (LMC en phase accélérée et LMC en crise blastique).</w:t>
      </w:r>
    </w:p>
    <w:p w14:paraId="2FA63406"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5</w:t>
      </w:r>
      <w:r w:rsidRPr="00961E0F">
        <w:rPr>
          <w:rFonts w:ascii="Times New Roman" w:hAnsi="Times New Roman"/>
          <w:color w:val="000000"/>
          <w:szCs w:val="22"/>
        </w:rPr>
        <w:tab/>
        <w:t>L’épanchement pleural a été rapporté plus fréquemment chez les patients atteints de GIST et les patients ayant une LMC en transformation (LMC en phase accélérée et LMC en crise blastique) que chez les patients en phase chronique.</w:t>
      </w:r>
    </w:p>
    <w:p w14:paraId="162690B1"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6+7</w:t>
      </w:r>
      <w:r w:rsidRPr="00961E0F">
        <w:rPr>
          <w:rFonts w:ascii="Times New Roman" w:hAnsi="Times New Roman"/>
          <w:color w:val="000000"/>
          <w:szCs w:val="22"/>
        </w:rPr>
        <w:tab/>
        <w:t>Les douleurs abdominales et les hémorragies gastro-intestinales ont été le plus fréquement observées chez les patients atteints de GIST.</w:t>
      </w:r>
    </w:p>
    <w:p w14:paraId="608986DA" w14:textId="77777777" w:rsidR="007D642D" w:rsidRPr="00961E0F" w:rsidRDefault="007D642D"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8</w:t>
      </w:r>
      <w:r w:rsidRPr="00961E0F">
        <w:rPr>
          <w:rFonts w:ascii="Times New Roman" w:hAnsi="Times New Roman"/>
          <w:color w:val="000000"/>
          <w:szCs w:val="22"/>
        </w:rPr>
        <w:tab/>
        <w:t>Des cas mortels d’insuffisance hépatique et de nécrose hépatique ont été rapportés.</w:t>
      </w:r>
    </w:p>
    <w:p w14:paraId="17074E03" w14:textId="77777777" w:rsidR="00A931F9" w:rsidRPr="00961E0F" w:rsidRDefault="00A931F9"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9</w:t>
      </w:r>
      <w:r w:rsidRPr="00961E0F">
        <w:rPr>
          <w:rFonts w:ascii="Times New Roman" w:hAnsi="Times New Roman"/>
          <w:color w:val="000000"/>
          <w:szCs w:val="22"/>
        </w:rPr>
        <w:tab/>
        <w:t xml:space="preserve">Des douleurs musculosquelettiques pendant le traitement par imatinib ou après arrêt </w:t>
      </w:r>
      <w:r w:rsidR="000D3063" w:rsidRPr="00961E0F">
        <w:rPr>
          <w:rFonts w:ascii="Times New Roman" w:hAnsi="Times New Roman"/>
          <w:color w:val="000000"/>
          <w:szCs w:val="22"/>
        </w:rPr>
        <w:t xml:space="preserve">du traitement </w:t>
      </w:r>
      <w:r w:rsidRPr="00961E0F">
        <w:rPr>
          <w:rFonts w:ascii="Times New Roman" w:hAnsi="Times New Roman"/>
          <w:color w:val="000000"/>
          <w:szCs w:val="22"/>
        </w:rPr>
        <w:t xml:space="preserve">ont </w:t>
      </w:r>
      <w:r w:rsidR="00C42500" w:rsidRPr="00961E0F">
        <w:rPr>
          <w:rFonts w:ascii="Times New Roman" w:hAnsi="Times New Roman"/>
          <w:color w:val="000000"/>
          <w:szCs w:val="22"/>
        </w:rPr>
        <w:t>é</w:t>
      </w:r>
      <w:r w:rsidRPr="00961E0F">
        <w:rPr>
          <w:rFonts w:ascii="Times New Roman" w:hAnsi="Times New Roman"/>
          <w:color w:val="000000"/>
          <w:szCs w:val="22"/>
        </w:rPr>
        <w:t>té observées après</w:t>
      </w:r>
      <w:r w:rsidR="000D3063" w:rsidRPr="00961E0F">
        <w:rPr>
          <w:rFonts w:ascii="Times New Roman" w:hAnsi="Times New Roman"/>
          <w:color w:val="000000"/>
          <w:szCs w:val="22"/>
        </w:rPr>
        <w:t xml:space="preserve"> la</w:t>
      </w:r>
      <w:r w:rsidRPr="00961E0F">
        <w:rPr>
          <w:rFonts w:ascii="Times New Roman" w:hAnsi="Times New Roman"/>
          <w:color w:val="000000"/>
          <w:szCs w:val="22"/>
        </w:rPr>
        <w:t xml:space="preserve"> commercialisation</w:t>
      </w:r>
      <w:r w:rsidR="002372FC" w:rsidRPr="00961E0F">
        <w:rPr>
          <w:rFonts w:ascii="Times New Roman" w:hAnsi="Times New Roman"/>
          <w:color w:val="000000"/>
          <w:szCs w:val="22"/>
        </w:rPr>
        <w:t>.</w:t>
      </w:r>
    </w:p>
    <w:p w14:paraId="0E488363" w14:textId="77777777" w:rsidR="007D642D" w:rsidRPr="00961E0F" w:rsidRDefault="00A931F9" w:rsidP="00B15424">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10</w:t>
      </w:r>
      <w:r w:rsidR="007D642D" w:rsidRPr="00961E0F">
        <w:rPr>
          <w:rFonts w:ascii="Times New Roman" w:hAnsi="Times New Roman"/>
          <w:color w:val="000000"/>
          <w:szCs w:val="22"/>
        </w:rPr>
        <w:tab/>
        <w:t>Les douleurs musculosquelettiques et les effets reliés à ces douleurs ont été plus fréquemment observés chez les patients atteints de LMC que chez les patients atteints de GIST.</w:t>
      </w:r>
    </w:p>
    <w:p w14:paraId="0EE52C95" w14:textId="77777777" w:rsidR="0045753D" w:rsidRPr="00961E0F" w:rsidRDefault="00533303" w:rsidP="00B15424">
      <w:pPr>
        <w:keepLines/>
        <w:widowControl w:val="0"/>
        <w:ind w:left="567" w:hanging="567"/>
        <w:rPr>
          <w:rFonts w:ascii="Times New Roman" w:hAnsi="Times New Roman"/>
          <w:color w:val="000000"/>
          <w:szCs w:val="22"/>
        </w:rPr>
      </w:pPr>
      <w:r w:rsidRPr="00961E0F">
        <w:rPr>
          <w:rFonts w:ascii="Times New Roman" w:hAnsi="Times New Roman"/>
          <w:color w:val="000000"/>
          <w:szCs w:val="22"/>
        </w:rPr>
        <w:t>1</w:t>
      </w:r>
      <w:r w:rsidR="00A931F9" w:rsidRPr="00961E0F">
        <w:rPr>
          <w:rFonts w:ascii="Times New Roman" w:hAnsi="Times New Roman"/>
          <w:color w:val="000000"/>
          <w:szCs w:val="22"/>
        </w:rPr>
        <w:t>1</w:t>
      </w:r>
      <w:r w:rsidRPr="00961E0F">
        <w:rPr>
          <w:rFonts w:ascii="Times New Roman" w:hAnsi="Times New Roman"/>
          <w:color w:val="000000"/>
          <w:szCs w:val="22"/>
        </w:rPr>
        <w:tab/>
        <w:t xml:space="preserve">Des cas </w:t>
      </w:r>
      <w:r w:rsidR="006A1C53" w:rsidRPr="00961E0F">
        <w:rPr>
          <w:rFonts w:ascii="Times New Roman" w:hAnsi="Times New Roman"/>
          <w:color w:val="000000"/>
          <w:szCs w:val="22"/>
        </w:rPr>
        <w:t xml:space="preserve">d’évolution fatale </w:t>
      </w:r>
      <w:r w:rsidRPr="00961E0F">
        <w:rPr>
          <w:rFonts w:ascii="Times New Roman" w:hAnsi="Times New Roman"/>
          <w:color w:val="000000"/>
          <w:szCs w:val="22"/>
        </w:rPr>
        <w:t>ont été rapportés chez des patients à un stade avancé de la maladie, présentant des infections sévères, des neutropénies sévères et d’autres troubles cliniques concomitants sévères.</w:t>
      </w:r>
    </w:p>
    <w:p w14:paraId="08EC0BC7" w14:textId="77777777" w:rsidR="007D642D" w:rsidRPr="00961E0F" w:rsidRDefault="007D642D">
      <w:pPr>
        <w:widowControl w:val="0"/>
        <w:ind w:left="567" w:hanging="567"/>
        <w:rPr>
          <w:rFonts w:ascii="Times New Roman" w:hAnsi="Times New Roman"/>
          <w:color w:val="000000"/>
          <w:szCs w:val="22"/>
          <w:u w:val="single"/>
        </w:rPr>
      </w:pPr>
    </w:p>
    <w:p w14:paraId="628C74E2" w14:textId="77777777" w:rsidR="007D642D" w:rsidRPr="00961E0F" w:rsidRDefault="007D642D">
      <w:pPr>
        <w:widowControl w:val="0"/>
        <w:rPr>
          <w:rFonts w:ascii="Times New Roman" w:hAnsi="Times New Roman"/>
          <w:color w:val="000000"/>
          <w:szCs w:val="22"/>
          <w:u w:val="single"/>
        </w:rPr>
      </w:pPr>
      <w:r w:rsidRPr="00961E0F">
        <w:rPr>
          <w:rFonts w:ascii="Times New Roman" w:hAnsi="Times New Roman"/>
          <w:color w:val="000000"/>
          <w:szCs w:val="22"/>
          <w:u w:val="single"/>
        </w:rPr>
        <w:t>Anomalies biologiques :</w:t>
      </w:r>
    </w:p>
    <w:p w14:paraId="416CE6A8" w14:textId="77777777" w:rsidR="007D642D" w:rsidRPr="00961E0F" w:rsidRDefault="007D642D">
      <w:pPr>
        <w:widowControl w:val="0"/>
        <w:rPr>
          <w:rFonts w:ascii="Times New Roman" w:hAnsi="Times New Roman"/>
          <w:i/>
          <w:color w:val="000000"/>
          <w:szCs w:val="22"/>
        </w:rPr>
      </w:pPr>
      <w:r w:rsidRPr="00961E0F">
        <w:rPr>
          <w:rFonts w:ascii="Times New Roman" w:hAnsi="Times New Roman"/>
          <w:i/>
          <w:color w:val="000000"/>
          <w:szCs w:val="22"/>
        </w:rPr>
        <w:t>Paramètres hématologiques</w:t>
      </w:r>
    </w:p>
    <w:p w14:paraId="09D98BB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Dans les LMC, des cytopénies, en particulier des neutropénies et des thrombopénies, ont été régulièrement rapportées dans toutes les études cliniques avec une fréquence plus élevée aux fortes doses </w:t>
      </w:r>
      <w:r w:rsidRPr="00961E0F">
        <w:rPr>
          <w:rFonts w:ascii="Times New Roman" w:hAnsi="Times New Roman"/>
          <w:color w:val="000000"/>
          <w:szCs w:val="22"/>
        </w:rPr>
        <w:sym w:font="Symbol" w:char="F0B3"/>
      </w:r>
      <w:r w:rsidRPr="00961E0F">
        <w:rPr>
          <w:rFonts w:ascii="Times New Roman" w:hAnsi="Times New Roman"/>
          <w:color w:val="000000"/>
          <w:szCs w:val="22"/>
        </w:rPr>
        <w:t> 750 mg (étude de phase I). Cependant, la survenue des cytopénies dépendait aussi nettement du stade de la maladie : la fréquence des neutropénies et des thrombopénies de grade 3 ou 4 (PN &lt; 1,0 x 10</w:t>
      </w:r>
      <w:r w:rsidRPr="00961E0F">
        <w:rPr>
          <w:rFonts w:ascii="Times New Roman" w:hAnsi="Times New Roman"/>
          <w:color w:val="000000"/>
          <w:szCs w:val="22"/>
          <w:vertAlign w:val="superscript"/>
        </w:rPr>
        <w:t>9</w:t>
      </w:r>
      <w:r w:rsidRPr="00961E0F">
        <w:rPr>
          <w:rFonts w:ascii="Times New Roman" w:hAnsi="Times New Roman"/>
          <w:color w:val="000000"/>
          <w:szCs w:val="22"/>
        </w:rPr>
        <w:t>/l ; taux de plaquettes &lt; 50 x 10</w:t>
      </w:r>
      <w:r w:rsidRPr="00961E0F">
        <w:rPr>
          <w:rFonts w:ascii="Times New Roman" w:hAnsi="Times New Roman"/>
          <w:color w:val="000000"/>
          <w:szCs w:val="22"/>
          <w:vertAlign w:val="superscript"/>
        </w:rPr>
        <w:t>9</w:t>
      </w:r>
      <w:r w:rsidRPr="00961E0F">
        <w:rPr>
          <w:rFonts w:ascii="Times New Roman" w:hAnsi="Times New Roman"/>
          <w:color w:val="000000"/>
          <w:szCs w:val="22"/>
        </w:rPr>
        <w:t>/l) étant 4 à 6 fois plus élevée dans les LMC en crise blastique ou en phase accélérée (respectivement 59–64% pour les neutropénies et 44–63% pour les thrombopénies) que dans les LMC en phase chronique nouvellement diagnostiquées (16,7% de neutropénie et 8,9% de thrombopénie). Dans les LMC en phase chronique nouvellement diagnostiquées, les neutropénies et les thrombopénies de grade 4 (PN&lt; 0,5 x 10</w:t>
      </w:r>
      <w:r w:rsidRPr="00961E0F">
        <w:rPr>
          <w:rFonts w:ascii="Times New Roman" w:hAnsi="Times New Roman"/>
          <w:color w:val="000000"/>
          <w:szCs w:val="22"/>
          <w:vertAlign w:val="superscript"/>
        </w:rPr>
        <w:t>9</w:t>
      </w:r>
      <w:r w:rsidRPr="00961E0F">
        <w:rPr>
          <w:rFonts w:ascii="Times New Roman" w:hAnsi="Times New Roman"/>
          <w:color w:val="000000"/>
          <w:szCs w:val="22"/>
        </w:rPr>
        <w:t>/l ; plaquettes &lt; 10 x 10</w:t>
      </w:r>
      <w:r w:rsidRPr="00961E0F">
        <w:rPr>
          <w:rFonts w:ascii="Times New Roman" w:hAnsi="Times New Roman"/>
          <w:color w:val="000000"/>
          <w:szCs w:val="22"/>
          <w:vertAlign w:val="superscript"/>
        </w:rPr>
        <w:t>9</w:t>
      </w:r>
      <w:r w:rsidRPr="00961E0F">
        <w:rPr>
          <w:rFonts w:ascii="Times New Roman" w:hAnsi="Times New Roman"/>
          <w:color w:val="000000"/>
          <w:szCs w:val="22"/>
        </w:rPr>
        <w:t xml:space="preserve">/l) ont été observées chez 3,6% et &lt; 1% des patients respectivement. La durée médiane des épisodes de neutropénie est habituellement de l’ordre de 2 à 3 semaines, et de 3 à 4 semaines pour les épisodes de thrombopénie. Ces événements peuvent être habituellement contrôlés soit par une réduction de la dose soit par une interruption du traitement par Glivec, mais peuvent dans de rares cas conduire à une interruption définitive du traitement. En pédiatrie, chez les enfants atteints de LMC, les toxicités les plus fréquemment observées étaient des cytopénies de grade 3 ou 4 incluant des neutropénies, des thrombocytopénies et des anémies. Elles surviennent principalement dans les </w:t>
      </w:r>
      <w:r w:rsidRPr="00961E0F">
        <w:rPr>
          <w:rFonts w:ascii="Times New Roman" w:hAnsi="Times New Roman"/>
          <w:color w:val="000000"/>
          <w:szCs w:val="22"/>
        </w:rPr>
        <w:lastRenderedPageBreak/>
        <w:t>premiers mois de traitement.</w:t>
      </w:r>
    </w:p>
    <w:p w14:paraId="79D25075" w14:textId="77777777" w:rsidR="007D642D" w:rsidRPr="00961E0F" w:rsidRDefault="007D642D">
      <w:pPr>
        <w:widowControl w:val="0"/>
        <w:rPr>
          <w:rFonts w:ascii="Times New Roman" w:hAnsi="Times New Roman"/>
          <w:color w:val="000000"/>
          <w:szCs w:val="22"/>
        </w:rPr>
      </w:pPr>
    </w:p>
    <w:p w14:paraId="14659C4E" w14:textId="77777777" w:rsidR="007D642D" w:rsidRPr="00961E0F" w:rsidRDefault="007D642D">
      <w:pPr>
        <w:pStyle w:val="paragraphSIF"/>
        <w:widowControl w:val="0"/>
        <w:tabs>
          <w:tab w:val="clear" w:pos="-720"/>
        </w:tabs>
        <w:jc w:val="left"/>
        <w:rPr>
          <w:color w:val="000000"/>
          <w:szCs w:val="22"/>
          <w:lang w:val="fr-FR"/>
        </w:rPr>
      </w:pPr>
      <w:r w:rsidRPr="00961E0F">
        <w:rPr>
          <w:color w:val="000000"/>
          <w:szCs w:val="22"/>
          <w:lang w:val="fr-FR"/>
        </w:rPr>
        <w:t xml:space="preserve">Dans l’étude menée chez des patients atteints de GIST non resécables et/ou métastatiques, une anémie de grade 3 ou </w:t>
      </w:r>
      <w:smartTag w:uri="urn:schemas-microsoft-com:office:smarttags" w:element="metricconverter">
        <w:smartTagPr>
          <w:attr w:name="ProductID" w:val="4 a"/>
        </w:smartTagPr>
        <w:r w:rsidRPr="00961E0F">
          <w:rPr>
            <w:color w:val="000000"/>
            <w:szCs w:val="22"/>
            <w:lang w:val="fr-FR"/>
          </w:rPr>
          <w:t>4 a</w:t>
        </w:r>
      </w:smartTag>
      <w:r w:rsidRPr="00961E0F">
        <w:rPr>
          <w:color w:val="000000"/>
          <w:szCs w:val="22"/>
          <w:lang w:val="fr-FR"/>
        </w:rPr>
        <w:t xml:space="preserve"> été rapportée respectivement chez 5,4% et 0,7% des patients. Ces cas d'anémies pouvaient être liés à un saignement gastro-intestinal ou intra-tumoral, au moins chez certains de ces patients. Des neutropénies de grade 3 ou 4 ont été rapportées respectivement 7,5% et 2,7% chez des patients et une thrombopénie de grade 3 chez 0,7% des patients. Aucun patient n'a développé de thrombopénie de grade 4. Des diminutions du nombre de leucocytes et de neutrophiles ont principalement été observées au cours des six premières semaines du traitement, les valeurs demeurant relativement stables par la suite.</w:t>
      </w:r>
    </w:p>
    <w:p w14:paraId="192A234C" w14:textId="77777777" w:rsidR="007D642D" w:rsidRPr="00961E0F" w:rsidRDefault="007D642D">
      <w:pPr>
        <w:widowControl w:val="0"/>
        <w:rPr>
          <w:rFonts w:ascii="Times New Roman" w:hAnsi="Times New Roman"/>
          <w:color w:val="000000"/>
          <w:szCs w:val="22"/>
        </w:rPr>
      </w:pPr>
    </w:p>
    <w:p w14:paraId="0098CE9D" w14:textId="77777777" w:rsidR="007D642D" w:rsidRPr="00961E0F" w:rsidRDefault="007D642D" w:rsidP="00B15424">
      <w:pPr>
        <w:keepNext/>
        <w:widowControl w:val="0"/>
        <w:rPr>
          <w:rFonts w:ascii="Times New Roman" w:hAnsi="Times New Roman"/>
          <w:i/>
          <w:color w:val="000000"/>
          <w:szCs w:val="22"/>
        </w:rPr>
      </w:pPr>
      <w:r w:rsidRPr="00961E0F">
        <w:rPr>
          <w:rFonts w:ascii="Times New Roman" w:hAnsi="Times New Roman"/>
          <w:i/>
          <w:color w:val="000000"/>
          <w:szCs w:val="22"/>
        </w:rPr>
        <w:t>Paramètres biochimiques</w:t>
      </w:r>
    </w:p>
    <w:p w14:paraId="013B12C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Des augmentations importantes des transaminases (&lt; 5%) ou de la bilirubine (&lt; 1%) ont été observées chez des patients atteints de LMC et ont été habituellement contrôlées par une réduction de la dose ou une interruption du traitement (la durée médiane de ces épisodes était d’environ une semaine). Le traitement a été interrompu définitivement en raison d’anomalies biologiques hépatiques chez moins de 1% des patients atteints de LMC. Chez les patients atteints de GIST (étude B2222), on a observé 6,8% d’augmentations de grade 3 à 4 des ALAT (alanine aminotransférase) et 4,8% d’augmentations de grade 3 à 4 des ASAT (aspartate aminotransférase). L’augmentation de la bilirubine était inférieure à 3%.</w:t>
      </w:r>
    </w:p>
    <w:p w14:paraId="524B7F62" w14:textId="77777777" w:rsidR="007D642D" w:rsidRPr="00961E0F" w:rsidRDefault="007D642D">
      <w:pPr>
        <w:widowControl w:val="0"/>
        <w:rPr>
          <w:rFonts w:ascii="Times New Roman" w:hAnsi="Times New Roman"/>
          <w:color w:val="000000"/>
          <w:szCs w:val="22"/>
        </w:rPr>
      </w:pPr>
    </w:p>
    <w:p w14:paraId="3562AEF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Il y a eu des cas d’hépatite cytolytique et cholestatique et de défaillance hépatique. Dans certains cas l’issue fut fatale, notamment pour un patient sous dose élevée de paracétamol.</w:t>
      </w:r>
    </w:p>
    <w:p w14:paraId="25DE716D" w14:textId="77777777" w:rsidR="00E8481F" w:rsidRPr="00961E0F" w:rsidRDefault="00E8481F">
      <w:pPr>
        <w:widowControl w:val="0"/>
        <w:rPr>
          <w:rFonts w:ascii="Times New Roman" w:hAnsi="Times New Roman"/>
          <w:color w:val="000000"/>
          <w:szCs w:val="22"/>
        </w:rPr>
      </w:pPr>
    </w:p>
    <w:p w14:paraId="61B23192" w14:textId="77777777" w:rsidR="009F094A" w:rsidRPr="00961E0F" w:rsidRDefault="009F094A" w:rsidP="006D349F">
      <w:pPr>
        <w:keepNext/>
        <w:rPr>
          <w:rFonts w:ascii="Times New Roman" w:hAnsi="Times New Roman"/>
          <w:u w:val="single"/>
        </w:rPr>
      </w:pPr>
      <w:r w:rsidRPr="00961E0F">
        <w:rPr>
          <w:rFonts w:ascii="Times New Roman" w:hAnsi="Times New Roman"/>
          <w:u w:val="single"/>
        </w:rPr>
        <w:t>Description de certains effets indésirables</w:t>
      </w:r>
    </w:p>
    <w:p w14:paraId="0C24991D" w14:textId="77777777" w:rsidR="009F094A" w:rsidRPr="00961E0F" w:rsidRDefault="009F094A" w:rsidP="006D349F">
      <w:pPr>
        <w:keepNext/>
        <w:rPr>
          <w:rFonts w:ascii="Times New Roman" w:hAnsi="Times New Roman"/>
          <w:i/>
          <w:u w:val="single"/>
        </w:rPr>
      </w:pPr>
      <w:r w:rsidRPr="00961E0F">
        <w:rPr>
          <w:rFonts w:ascii="Times New Roman" w:hAnsi="Times New Roman"/>
          <w:i/>
          <w:u w:val="single"/>
        </w:rPr>
        <w:t>Réactivation de l'hépatite B</w:t>
      </w:r>
    </w:p>
    <w:p w14:paraId="7312B6AA" w14:textId="77777777" w:rsidR="009F094A" w:rsidRPr="00961E0F" w:rsidRDefault="009F094A" w:rsidP="009F094A">
      <w:pPr>
        <w:rPr>
          <w:rFonts w:ascii="Times New Roman" w:hAnsi="Times New Roman"/>
          <w:szCs w:val="22"/>
        </w:rPr>
      </w:pPr>
      <w:r w:rsidRPr="00961E0F">
        <w:rPr>
          <w:rFonts w:ascii="Times New Roman" w:hAnsi="Times New Roman"/>
        </w:rPr>
        <w:t>Des cas de réactivation du virus de l’hépatite B ont été rapportés chez des patients traités par des inhibiteurs de la tyrosine kinase BCR-ABL. Certains de ces cas ont évolué vers une insuffisance hépatique aiguë ou une hépatite fulminante requérant une transplantation hépatique ou dont l’issue a été fatale (voir rubrique</w:t>
      </w:r>
      <w:r w:rsidR="005964B1" w:rsidRPr="00961E0F">
        <w:rPr>
          <w:rFonts w:ascii="Times New Roman" w:hAnsi="Times New Roman"/>
        </w:rPr>
        <w:t> </w:t>
      </w:r>
      <w:r w:rsidRPr="00961E0F">
        <w:rPr>
          <w:rFonts w:ascii="Times New Roman" w:hAnsi="Times New Roman"/>
        </w:rPr>
        <w:t>4.4).</w:t>
      </w:r>
    </w:p>
    <w:p w14:paraId="2FF67C63" w14:textId="77777777" w:rsidR="009F094A" w:rsidRPr="00961E0F" w:rsidRDefault="009F094A">
      <w:pPr>
        <w:widowControl w:val="0"/>
        <w:rPr>
          <w:rFonts w:ascii="Times New Roman" w:hAnsi="Times New Roman"/>
          <w:color w:val="000000"/>
          <w:szCs w:val="22"/>
        </w:rPr>
      </w:pPr>
    </w:p>
    <w:p w14:paraId="1E0EB9B5" w14:textId="77777777" w:rsidR="00E8481F" w:rsidRPr="00961E0F" w:rsidRDefault="00E8481F" w:rsidP="00B15424">
      <w:pPr>
        <w:keepNext/>
        <w:autoSpaceDE w:val="0"/>
        <w:autoSpaceDN w:val="0"/>
        <w:adjustRightInd w:val="0"/>
        <w:jc w:val="both"/>
        <w:rPr>
          <w:rFonts w:ascii="Times New Roman" w:hAnsi="Times New Roman"/>
          <w:szCs w:val="22"/>
          <w:u w:val="single"/>
          <w:lang w:val="fr-BE"/>
        </w:rPr>
      </w:pPr>
      <w:r w:rsidRPr="00961E0F">
        <w:rPr>
          <w:rFonts w:ascii="Times New Roman" w:hAnsi="Times New Roman"/>
          <w:szCs w:val="22"/>
          <w:u w:val="single"/>
          <w:lang w:val="fr-BE"/>
        </w:rPr>
        <w:t>Déclaration des effets indésirables suspectés</w:t>
      </w:r>
    </w:p>
    <w:p w14:paraId="35F72321" w14:textId="77777777" w:rsidR="00E8481F" w:rsidRPr="00961E0F" w:rsidRDefault="00E8481F" w:rsidP="00E8481F">
      <w:pPr>
        <w:widowControl w:val="0"/>
        <w:rPr>
          <w:rFonts w:ascii="Times New Roman" w:hAnsi="Times New Roman"/>
          <w:color w:val="000000"/>
          <w:szCs w:val="22"/>
        </w:rPr>
      </w:pPr>
      <w:r w:rsidRPr="00961E0F">
        <w:rPr>
          <w:rFonts w:ascii="Times New Roman" w:hAnsi="Times New Roman"/>
          <w:szCs w:val="22"/>
          <w:lang w:val="fr-BE"/>
        </w:rPr>
        <w:t xml:space="preserve">La déclaration des effets indésirables suspectés après autorisation du médicament est importante. Elle permet une surveillance continue du rapport bénéfice/risque du médicament. </w:t>
      </w:r>
      <w:r w:rsidRPr="00961E0F">
        <w:rPr>
          <w:rFonts w:ascii="Times New Roman" w:hAnsi="Times New Roman"/>
          <w:szCs w:val="22"/>
        </w:rPr>
        <w:t xml:space="preserve">Les professionnels de santé déclarent tout effet indésirable suspecté </w:t>
      </w:r>
      <w:r w:rsidRPr="00961E0F">
        <w:rPr>
          <w:rFonts w:ascii="Times New Roman" w:hAnsi="Times New Roman"/>
          <w:szCs w:val="22"/>
          <w:shd w:val="pct15" w:color="auto" w:fill="auto"/>
        </w:rPr>
        <w:t xml:space="preserve">via le système national de déclaration – voir </w:t>
      </w:r>
      <w:hyperlink r:id="rId12" w:history="1">
        <w:r w:rsidRPr="00961E0F">
          <w:rPr>
            <w:rStyle w:val="Hyperlink"/>
            <w:rFonts w:ascii="Times New Roman" w:hAnsi="Times New Roman"/>
            <w:szCs w:val="22"/>
            <w:shd w:val="pct15" w:color="auto" w:fill="auto"/>
          </w:rPr>
          <w:t>Annexe V</w:t>
        </w:r>
      </w:hyperlink>
      <w:r w:rsidR="007969B9" w:rsidRPr="00961E0F">
        <w:rPr>
          <w:rFonts w:ascii="Times New Roman" w:hAnsi="Times New Roman"/>
          <w:szCs w:val="22"/>
          <w:shd w:val="pct15" w:color="auto" w:fill="auto"/>
        </w:rPr>
        <w:t>.</w:t>
      </w:r>
    </w:p>
    <w:p w14:paraId="650B82AD" w14:textId="77777777" w:rsidR="007D642D" w:rsidRPr="00961E0F" w:rsidRDefault="007D642D">
      <w:pPr>
        <w:widowControl w:val="0"/>
        <w:ind w:left="567" w:hanging="567"/>
        <w:rPr>
          <w:rFonts w:ascii="Times New Roman" w:hAnsi="Times New Roman"/>
          <w:color w:val="000000"/>
          <w:szCs w:val="22"/>
        </w:rPr>
      </w:pPr>
    </w:p>
    <w:p w14:paraId="05A110F3"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4.9</w:t>
      </w:r>
      <w:r w:rsidRPr="00961E0F">
        <w:rPr>
          <w:rFonts w:ascii="Times New Roman" w:hAnsi="Times New Roman"/>
          <w:b/>
          <w:color w:val="000000"/>
          <w:szCs w:val="22"/>
        </w:rPr>
        <w:tab/>
        <w:t>Surdosage</w:t>
      </w:r>
    </w:p>
    <w:p w14:paraId="0F13F58D" w14:textId="77777777" w:rsidR="007D642D" w:rsidRPr="00961E0F" w:rsidRDefault="007D642D" w:rsidP="00B15424">
      <w:pPr>
        <w:keepNext/>
        <w:widowControl w:val="0"/>
        <w:rPr>
          <w:rFonts w:ascii="Times New Roman" w:hAnsi="Times New Roman"/>
          <w:color w:val="000000"/>
          <w:szCs w:val="22"/>
        </w:rPr>
      </w:pPr>
    </w:p>
    <w:p w14:paraId="0BBFC95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L’expérience avec des doses supérieures aux doses thérapeutiques recommandées est limitée. Des cas spontanés de surdosage avec Glivec ont été rapportés et publiés dans la littérature. En cas de surdosage, le patient doit être surveillé et un traitement symptomatique approprié doit lui être administré. L’évolution rapportée de ces cas était une « amélioration » ou un « rétablissement ».Les événements qui ont été rapportés à des doses différentes sont les suivants :</w:t>
      </w:r>
    </w:p>
    <w:p w14:paraId="579BBB09" w14:textId="77777777" w:rsidR="007D642D" w:rsidRPr="00961E0F" w:rsidRDefault="007D642D">
      <w:pPr>
        <w:pStyle w:val="EndnoteText"/>
        <w:widowControl w:val="0"/>
        <w:tabs>
          <w:tab w:val="clear" w:pos="567"/>
        </w:tabs>
        <w:rPr>
          <w:color w:val="000000"/>
          <w:szCs w:val="22"/>
          <w:lang w:val="fr-FR"/>
        </w:rPr>
      </w:pPr>
    </w:p>
    <w:p w14:paraId="0C633D76" w14:textId="77777777" w:rsidR="007D642D" w:rsidRPr="00961E0F" w:rsidRDefault="007D642D" w:rsidP="00B15424">
      <w:pPr>
        <w:pStyle w:val="EndnoteText"/>
        <w:keepNext/>
        <w:widowControl w:val="0"/>
        <w:tabs>
          <w:tab w:val="clear" w:pos="567"/>
        </w:tabs>
        <w:rPr>
          <w:i/>
          <w:iCs/>
          <w:color w:val="000000"/>
          <w:szCs w:val="22"/>
          <w:lang w:val="fr-FR"/>
        </w:rPr>
      </w:pPr>
      <w:r w:rsidRPr="00961E0F">
        <w:rPr>
          <w:i/>
          <w:iCs/>
          <w:color w:val="000000"/>
          <w:szCs w:val="22"/>
          <w:lang w:val="fr-FR"/>
        </w:rPr>
        <w:t>Population adulte</w:t>
      </w:r>
    </w:p>
    <w:p w14:paraId="56398EA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1200 à 1600 mg (sur une durée allant de 1 à 10 jours) : nausée, vomissements, diarrhées, rash, érythème, œdème, gonflement, fatigue, crampes musculaires, thrombopénie, pancytopénie, douleurs abdominales, céphalées, diminution de l’appétit.</w:t>
      </w:r>
    </w:p>
    <w:p w14:paraId="7921FAF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1800 à 3200 mg (jusqu’à 3200 mg par jour pendant 6 jours) : faiblesse, myalgie, taux de créatine-phosphokinase augmenté, taux de bilirubine augmenté, douleur gastro-intestinale.</w:t>
      </w:r>
    </w:p>
    <w:p w14:paraId="27A5202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6400 mg (dose unique) : un cas rapporté dans la littérature d’un patient qui a présenté : nausées, vomissements, douleurs abdominales, fièvre, œdème du visage, diminution du taux de neutrophiles, augmentation des transaminases.</w:t>
      </w:r>
    </w:p>
    <w:p w14:paraId="04CF7D5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8 à </w:t>
      </w:r>
      <w:smartTag w:uri="urn:schemas-microsoft-com:office:smarttags" w:element="metricconverter">
        <w:smartTagPr>
          <w:attr w:name="ProductID" w:val="10ﾠg"/>
        </w:smartTagPr>
        <w:r w:rsidRPr="00961E0F">
          <w:rPr>
            <w:color w:val="000000"/>
            <w:szCs w:val="22"/>
            <w:lang w:val="fr-FR"/>
          </w:rPr>
          <w:t>10 g</w:t>
        </w:r>
      </w:smartTag>
      <w:r w:rsidRPr="00961E0F">
        <w:rPr>
          <w:color w:val="000000"/>
          <w:szCs w:val="22"/>
          <w:lang w:val="fr-FR"/>
        </w:rPr>
        <w:t xml:space="preserve"> (dose unique) : vomissements et douleurs gastro-intestinales ont été rapportés.</w:t>
      </w:r>
    </w:p>
    <w:p w14:paraId="27075DA6" w14:textId="77777777" w:rsidR="007D642D" w:rsidRPr="00961E0F" w:rsidRDefault="007D642D">
      <w:pPr>
        <w:pStyle w:val="EndnoteText"/>
        <w:widowControl w:val="0"/>
        <w:tabs>
          <w:tab w:val="clear" w:pos="567"/>
        </w:tabs>
        <w:rPr>
          <w:color w:val="000000"/>
          <w:szCs w:val="22"/>
          <w:lang w:val="fr-FR"/>
        </w:rPr>
      </w:pPr>
    </w:p>
    <w:p w14:paraId="60A07F3F" w14:textId="77777777" w:rsidR="007D642D" w:rsidRPr="00961E0F" w:rsidRDefault="007D642D" w:rsidP="00B15424">
      <w:pPr>
        <w:pStyle w:val="EndnoteText"/>
        <w:keepNext/>
        <w:widowControl w:val="0"/>
        <w:tabs>
          <w:tab w:val="clear" w:pos="567"/>
        </w:tabs>
        <w:rPr>
          <w:i/>
          <w:iCs/>
          <w:color w:val="000000"/>
          <w:szCs w:val="22"/>
          <w:lang w:val="fr-FR"/>
        </w:rPr>
      </w:pPr>
      <w:r w:rsidRPr="00961E0F">
        <w:rPr>
          <w:i/>
          <w:iCs/>
          <w:color w:val="000000"/>
          <w:szCs w:val="22"/>
          <w:lang w:val="fr-FR"/>
        </w:rPr>
        <w:t>Population pédiatrique</w:t>
      </w:r>
    </w:p>
    <w:p w14:paraId="083E7AD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Un garçon âgé de 3 ans ayant pris une dose unique de 400 mg a présenté des vomissements, une </w:t>
      </w:r>
      <w:r w:rsidRPr="00961E0F">
        <w:rPr>
          <w:color w:val="000000"/>
          <w:szCs w:val="22"/>
          <w:lang w:val="fr-FR"/>
        </w:rPr>
        <w:lastRenderedPageBreak/>
        <w:t>diarrhée et une anorexie et un autre garçon âgé de 3 ans ayant pris une dose unique de 980 mg a présenté une diminution du taux de globules blancs et une diarrhée.</w:t>
      </w:r>
    </w:p>
    <w:p w14:paraId="5FFB539C" w14:textId="77777777" w:rsidR="007D642D" w:rsidRPr="00961E0F" w:rsidRDefault="007D642D">
      <w:pPr>
        <w:pStyle w:val="EndnoteText"/>
        <w:widowControl w:val="0"/>
        <w:tabs>
          <w:tab w:val="clear" w:pos="567"/>
        </w:tabs>
        <w:rPr>
          <w:color w:val="000000"/>
          <w:szCs w:val="22"/>
          <w:lang w:val="fr-FR"/>
        </w:rPr>
      </w:pPr>
    </w:p>
    <w:p w14:paraId="47C368C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cas de surdosage, le patient devra être placé sous surveillance et recevoir un traitement symptomatique approprié.</w:t>
      </w:r>
    </w:p>
    <w:p w14:paraId="2E9783B8" w14:textId="77777777" w:rsidR="007D642D" w:rsidRPr="00961E0F" w:rsidRDefault="007D642D">
      <w:pPr>
        <w:widowControl w:val="0"/>
        <w:rPr>
          <w:rFonts w:ascii="Times New Roman" w:hAnsi="Times New Roman"/>
          <w:color w:val="000000"/>
          <w:szCs w:val="22"/>
        </w:rPr>
      </w:pPr>
    </w:p>
    <w:p w14:paraId="05A4F321" w14:textId="77777777" w:rsidR="007D642D" w:rsidRPr="00961E0F" w:rsidRDefault="007D642D">
      <w:pPr>
        <w:widowControl w:val="0"/>
        <w:rPr>
          <w:rFonts w:ascii="Times New Roman" w:hAnsi="Times New Roman"/>
          <w:color w:val="000000"/>
          <w:szCs w:val="22"/>
        </w:rPr>
      </w:pPr>
    </w:p>
    <w:p w14:paraId="240FDED4"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PROPRI</w:t>
      </w:r>
      <w:r w:rsidR="00E8481F" w:rsidRPr="00961E0F">
        <w:rPr>
          <w:rFonts w:ascii="Times New Roman" w:hAnsi="Times New Roman"/>
          <w:b/>
          <w:color w:val="000000"/>
          <w:szCs w:val="22"/>
        </w:rPr>
        <w:t>É</w:t>
      </w:r>
      <w:r w:rsidRPr="00961E0F">
        <w:rPr>
          <w:rFonts w:ascii="Times New Roman" w:hAnsi="Times New Roman"/>
          <w:b/>
          <w:color w:val="000000"/>
          <w:szCs w:val="22"/>
        </w:rPr>
        <w:t>T</w:t>
      </w:r>
      <w:r w:rsidR="00E8481F" w:rsidRPr="00961E0F">
        <w:rPr>
          <w:rFonts w:ascii="Times New Roman" w:hAnsi="Times New Roman"/>
          <w:b/>
          <w:color w:val="000000"/>
          <w:szCs w:val="22"/>
        </w:rPr>
        <w:t>É</w:t>
      </w:r>
      <w:r w:rsidRPr="00961E0F">
        <w:rPr>
          <w:rFonts w:ascii="Times New Roman" w:hAnsi="Times New Roman"/>
          <w:b/>
          <w:color w:val="000000"/>
          <w:szCs w:val="22"/>
        </w:rPr>
        <w:t>S PHARMACOLOGIQUES</w:t>
      </w:r>
    </w:p>
    <w:p w14:paraId="0FE43A71" w14:textId="77777777" w:rsidR="007D642D" w:rsidRPr="00961E0F" w:rsidRDefault="007D642D" w:rsidP="00B15424">
      <w:pPr>
        <w:keepNext/>
        <w:widowControl w:val="0"/>
        <w:rPr>
          <w:rFonts w:ascii="Times New Roman" w:hAnsi="Times New Roman"/>
          <w:color w:val="000000"/>
          <w:szCs w:val="22"/>
        </w:rPr>
      </w:pPr>
    </w:p>
    <w:p w14:paraId="41A2C935" w14:textId="77777777" w:rsidR="007D642D" w:rsidRPr="00961E0F" w:rsidRDefault="007D642D" w:rsidP="00B15424">
      <w:pPr>
        <w:keepNext/>
        <w:widowControl w:val="0"/>
        <w:ind w:left="567" w:hanging="567"/>
        <w:rPr>
          <w:rFonts w:ascii="Times New Roman" w:hAnsi="Times New Roman"/>
          <w:color w:val="000000"/>
          <w:szCs w:val="22"/>
        </w:rPr>
      </w:pPr>
      <w:r w:rsidRPr="00961E0F">
        <w:rPr>
          <w:rFonts w:ascii="Times New Roman" w:hAnsi="Times New Roman"/>
          <w:b/>
          <w:color w:val="000000"/>
          <w:szCs w:val="22"/>
        </w:rPr>
        <w:t>5.1</w:t>
      </w:r>
      <w:r w:rsidRPr="00961E0F">
        <w:rPr>
          <w:rFonts w:ascii="Times New Roman" w:hAnsi="Times New Roman"/>
          <w:b/>
          <w:color w:val="000000"/>
          <w:szCs w:val="22"/>
        </w:rPr>
        <w:tab/>
        <w:t>Propriétés pharmacodynamiques</w:t>
      </w:r>
    </w:p>
    <w:p w14:paraId="1D0DCD06" w14:textId="77777777" w:rsidR="007D642D" w:rsidRPr="00961E0F" w:rsidRDefault="007D642D" w:rsidP="00B15424">
      <w:pPr>
        <w:pStyle w:val="EndnoteText"/>
        <w:keepNext/>
        <w:widowControl w:val="0"/>
        <w:tabs>
          <w:tab w:val="clear" w:pos="567"/>
        </w:tabs>
        <w:rPr>
          <w:color w:val="000000"/>
          <w:szCs w:val="22"/>
          <w:lang w:val="fr-FR"/>
        </w:rPr>
      </w:pPr>
    </w:p>
    <w:p w14:paraId="357F1FB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Classe pharmacothérapeutique : inhibiteur de protéine-tyrosine kinase, </w:t>
      </w:r>
      <w:r w:rsidR="00D92E15" w:rsidRPr="00961E0F">
        <w:rPr>
          <w:rFonts w:ascii="Times New Roman" w:hAnsi="Times New Roman"/>
          <w:color w:val="000000"/>
          <w:szCs w:val="22"/>
        </w:rPr>
        <w:t>C</w:t>
      </w:r>
      <w:r w:rsidRPr="00961E0F">
        <w:rPr>
          <w:rFonts w:ascii="Times New Roman" w:hAnsi="Times New Roman"/>
          <w:color w:val="000000"/>
          <w:szCs w:val="22"/>
        </w:rPr>
        <w:t>ode ATC : L01XE01</w:t>
      </w:r>
    </w:p>
    <w:p w14:paraId="68EFB233" w14:textId="77777777" w:rsidR="007D642D" w:rsidRPr="00961E0F" w:rsidRDefault="007D642D">
      <w:pPr>
        <w:pStyle w:val="EndnoteText"/>
        <w:widowControl w:val="0"/>
        <w:tabs>
          <w:tab w:val="clear" w:pos="567"/>
        </w:tabs>
        <w:rPr>
          <w:color w:val="000000"/>
          <w:szCs w:val="22"/>
          <w:lang w:val="fr-FR"/>
        </w:rPr>
      </w:pPr>
    </w:p>
    <w:p w14:paraId="4E9433C1"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Mécanisme d'action</w:t>
      </w:r>
    </w:p>
    <w:p w14:paraId="26925C2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est une petite molécule chimique inhibitrice de protéine tyrosine kinase qui inhibe puissamment l'activité de la tyrosine kinase (TK) Bcr-Abl ainsi que plusieurs récepteurs TK : Kit, le récepteur du SCF (stem cell factor) codé par le proto-oncogène c-Kit, les récepteurs du domaine discoidine (DDR1 et DDR2), le CSF-1R (récepteur du colony stimulating factor) et les récepteurs alpha et bêta du PDGF (platelet-derived growth factor) (PDGFR-alpha et PDGFR-bêta). L'imatinib peut également inhiber les processus cellulaires médiés par l'activation des kinases de ces récepteurs.</w:t>
      </w:r>
    </w:p>
    <w:p w14:paraId="57E6840F" w14:textId="77777777" w:rsidR="007D642D" w:rsidRPr="00961E0F" w:rsidRDefault="007D642D">
      <w:pPr>
        <w:pStyle w:val="EndnoteText"/>
        <w:widowControl w:val="0"/>
        <w:tabs>
          <w:tab w:val="clear" w:pos="567"/>
        </w:tabs>
        <w:rPr>
          <w:color w:val="000000"/>
          <w:szCs w:val="22"/>
          <w:lang w:val="fr-FR"/>
        </w:rPr>
      </w:pPr>
    </w:p>
    <w:p w14:paraId="41651442"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Effets pharmacodynamiques</w:t>
      </w:r>
    </w:p>
    <w:p w14:paraId="5DC6F58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est un inhibiteur de protéine tyrosine kinase qui inhibe puissamment la tyrosine kinase Bcr-Abl au niveau cellulaire</w:t>
      </w:r>
      <w:r w:rsidRPr="00961E0F">
        <w:rPr>
          <w:i/>
          <w:color w:val="000000"/>
          <w:szCs w:val="22"/>
          <w:lang w:val="fr-FR"/>
        </w:rPr>
        <w:t xml:space="preserve"> in vitro</w:t>
      </w:r>
      <w:r w:rsidRPr="00961E0F">
        <w:rPr>
          <w:color w:val="000000"/>
          <w:szCs w:val="22"/>
          <w:lang w:val="fr-FR"/>
        </w:rPr>
        <w:t xml:space="preserve"> et </w:t>
      </w:r>
      <w:r w:rsidRPr="00961E0F">
        <w:rPr>
          <w:i/>
          <w:color w:val="000000"/>
          <w:szCs w:val="22"/>
          <w:lang w:val="fr-FR"/>
        </w:rPr>
        <w:t>in vivo</w:t>
      </w:r>
      <w:r w:rsidRPr="00961E0F">
        <w:rPr>
          <w:color w:val="000000"/>
          <w:szCs w:val="22"/>
          <w:lang w:val="fr-FR"/>
        </w:rPr>
        <w:t>. Le produit inhibe sélectivement la prolifération et induit une apoptose dans les lignées cellulaires Bcr-Abl positives ainsi que dans les cellules leucémiques fraîches provenant de patients atteints de LMC ou de leucémie aiguë lymphoblastique (LAL) chromosome Philadelphie positives.</w:t>
      </w:r>
    </w:p>
    <w:p w14:paraId="34C615CF" w14:textId="77777777" w:rsidR="007D642D" w:rsidRPr="00961E0F" w:rsidRDefault="007D642D">
      <w:pPr>
        <w:pStyle w:val="EndnoteText"/>
        <w:widowControl w:val="0"/>
        <w:tabs>
          <w:tab w:val="clear" w:pos="567"/>
        </w:tabs>
        <w:rPr>
          <w:color w:val="000000"/>
          <w:szCs w:val="22"/>
          <w:lang w:val="fr-FR"/>
        </w:rPr>
      </w:pPr>
    </w:p>
    <w:p w14:paraId="2E3F70E7"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 vivo</w:t>
      </w:r>
      <w:r w:rsidRPr="00961E0F">
        <w:rPr>
          <w:color w:val="000000"/>
          <w:szCs w:val="22"/>
          <w:lang w:val="fr-FR"/>
        </w:rPr>
        <w:t>, le produit présente une activité anti-tumorale lorsqu'il est administré en monothérapie chez l'animal porteur de cellules tumorales Bcr-Abl positives.</w:t>
      </w:r>
    </w:p>
    <w:p w14:paraId="52DB2B6D" w14:textId="77777777" w:rsidR="007D642D" w:rsidRPr="00961E0F" w:rsidRDefault="007D642D">
      <w:pPr>
        <w:pStyle w:val="EndnoteText"/>
        <w:widowControl w:val="0"/>
        <w:tabs>
          <w:tab w:val="clear" w:pos="567"/>
        </w:tabs>
        <w:rPr>
          <w:color w:val="000000"/>
          <w:szCs w:val="22"/>
          <w:lang w:val="fr-FR"/>
        </w:rPr>
      </w:pPr>
    </w:p>
    <w:p w14:paraId="3D1DE8D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L’imatinib est également un inhibiteur des tyrosine kinases du récepteur du PDGF (platelet-derived growth factor), PDGF-R et du SCF (stem cell factor) c-Kit et il inhibe les processus cellulaires médiés par le PDGF et le SCF. </w:t>
      </w:r>
      <w:r w:rsidRPr="00961E0F">
        <w:rPr>
          <w:i/>
          <w:color w:val="000000"/>
          <w:szCs w:val="22"/>
          <w:lang w:val="fr-FR"/>
        </w:rPr>
        <w:t>In vitro</w:t>
      </w:r>
      <w:r w:rsidRPr="00961E0F">
        <w:rPr>
          <w:color w:val="000000"/>
          <w:szCs w:val="22"/>
          <w:lang w:val="fr-FR"/>
        </w:rPr>
        <w:t xml:space="preserve">, l'imatinib inhibe la prolifération et induit une apoptose des cellules de tumeur stromale gastro-intestinale (GIST), qui expriment une mutation activatrice du </w:t>
      </w:r>
      <w:r w:rsidRPr="00961E0F">
        <w:rPr>
          <w:i/>
          <w:color w:val="000000"/>
          <w:szCs w:val="22"/>
          <w:lang w:val="fr-FR"/>
        </w:rPr>
        <w:t>kit</w:t>
      </w:r>
      <w:r w:rsidRPr="00961E0F">
        <w:rPr>
          <w:color w:val="000000"/>
          <w:szCs w:val="22"/>
          <w:lang w:val="fr-FR"/>
        </w:rPr>
        <w:t xml:space="preserve">. L’activation constitutive du récepteur du PDGF ou des tyrosine kinases Abl, résultant de la fusion à différentes protéines partenaires ou de la production constitutive de PDGF, sont impliquées dans la pathogénèse des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des SHE/LCE et du DFSP. L’imatinib inhibe la signalisation et la prolifération des cellules sensibles à l’activité dérégulée des kinases Abl ou PDGFR.</w:t>
      </w:r>
    </w:p>
    <w:p w14:paraId="3F7942D6" w14:textId="77777777" w:rsidR="007D642D" w:rsidRPr="00961E0F" w:rsidRDefault="007D642D">
      <w:pPr>
        <w:pStyle w:val="EndnoteText"/>
        <w:widowControl w:val="0"/>
        <w:tabs>
          <w:tab w:val="clear" w:pos="567"/>
        </w:tabs>
        <w:rPr>
          <w:color w:val="000000"/>
          <w:szCs w:val="22"/>
          <w:lang w:val="fr-FR"/>
        </w:rPr>
      </w:pPr>
    </w:p>
    <w:p w14:paraId="2A05EC54"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la leucémie myéloïde chronique</w:t>
      </w:r>
    </w:p>
    <w:p w14:paraId="40480B2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L’efficacité de Glivec est basée sur les taux de réponses cytogénétiques et hématologiques globales et la survie sans progression. A l’exception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nouvellement diagnostiquée, il n’existe pas actuellement d’étude contrôlée démontrant un bénéfice clinique tel qu’une amélioration des symptômes liés à la maladie ou une prolongation de la durée de vie.</w:t>
      </w:r>
    </w:p>
    <w:p w14:paraId="26E10A06" w14:textId="77777777" w:rsidR="007D642D" w:rsidRPr="00961E0F" w:rsidRDefault="007D642D">
      <w:pPr>
        <w:pStyle w:val="EndnoteText"/>
        <w:widowControl w:val="0"/>
        <w:tabs>
          <w:tab w:val="clear" w:pos="567"/>
        </w:tabs>
        <w:rPr>
          <w:color w:val="000000"/>
          <w:szCs w:val="22"/>
          <w:lang w:val="fr-FR"/>
        </w:rPr>
      </w:pPr>
    </w:p>
    <w:p w14:paraId="224A51C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Trois grandes études ouvertes internationales de phase II, non contrôlées, ont été menées chez des patients atteints de LMC chromosome Philadelphie positive (Ph+) en phase avancée, crise blastique ou phase accélérée, ainsi que chez des patients atteints d'autres leucémies Ph+ ou de LMC en phase chronique en échec d’un traitement antérieur par interféron alpha (IFN). Une vaste étude randomisée ouverte, multicentrique, internationale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a été menée chez des patients présentant une LMC Ph+ nouvellement diagnostiquée. De plus, des enfants ont été traités dans deux études de phase I et une étude de phase II.</w:t>
      </w:r>
    </w:p>
    <w:p w14:paraId="182F678E" w14:textId="77777777" w:rsidR="007D642D" w:rsidRPr="00961E0F" w:rsidRDefault="007D642D">
      <w:pPr>
        <w:pStyle w:val="EndnoteText"/>
        <w:widowControl w:val="0"/>
        <w:tabs>
          <w:tab w:val="clear" w:pos="567"/>
        </w:tabs>
        <w:rPr>
          <w:color w:val="000000"/>
          <w:szCs w:val="22"/>
          <w:lang w:val="fr-FR"/>
        </w:rPr>
      </w:pPr>
    </w:p>
    <w:p w14:paraId="6DA4718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Dans toutes les études cliniques, 38–40% des patients avaient </w:t>
      </w:r>
      <w:r w:rsidRPr="00961E0F">
        <w:rPr>
          <w:color w:val="000000"/>
          <w:szCs w:val="22"/>
          <w:lang w:val="fr-FR"/>
        </w:rPr>
        <w:sym w:font="Symbol" w:char="F0B3"/>
      </w:r>
      <w:r w:rsidRPr="00961E0F">
        <w:rPr>
          <w:color w:val="000000"/>
          <w:szCs w:val="22"/>
          <w:lang w:val="fr-FR"/>
        </w:rPr>
        <w:t xml:space="preserve"> 60 ans et 10–12% des patients avaient </w:t>
      </w:r>
      <w:r w:rsidRPr="00961E0F">
        <w:rPr>
          <w:color w:val="000000"/>
          <w:szCs w:val="22"/>
          <w:lang w:val="fr-FR"/>
        </w:rPr>
        <w:sym w:font="Symbol" w:char="F0B3"/>
      </w:r>
      <w:r w:rsidRPr="00961E0F">
        <w:rPr>
          <w:color w:val="000000"/>
          <w:szCs w:val="22"/>
          <w:lang w:val="fr-FR"/>
        </w:rPr>
        <w:t> 70 ans.</w:t>
      </w:r>
    </w:p>
    <w:p w14:paraId="58A411B2" w14:textId="77777777" w:rsidR="007D642D" w:rsidRPr="00961E0F" w:rsidRDefault="007D642D">
      <w:pPr>
        <w:pStyle w:val="EndnoteText"/>
        <w:widowControl w:val="0"/>
        <w:tabs>
          <w:tab w:val="clear" w:pos="567"/>
        </w:tabs>
        <w:rPr>
          <w:color w:val="000000"/>
          <w:szCs w:val="22"/>
          <w:lang w:val="fr-FR"/>
        </w:rPr>
      </w:pPr>
    </w:p>
    <w:p w14:paraId="2947C8C9" w14:textId="77777777" w:rsidR="007D642D" w:rsidRPr="00961E0F" w:rsidRDefault="007D642D">
      <w:pPr>
        <w:pStyle w:val="EndnoteText"/>
        <w:widowControl w:val="0"/>
        <w:rPr>
          <w:color w:val="000000"/>
          <w:szCs w:val="22"/>
          <w:lang w:val="fr-FR"/>
        </w:rPr>
      </w:pPr>
      <w:r w:rsidRPr="00961E0F">
        <w:rPr>
          <w:i/>
          <w:color w:val="000000"/>
          <w:szCs w:val="22"/>
          <w:lang w:val="fr-FR"/>
        </w:rPr>
        <w:lastRenderedPageBreak/>
        <w:t>Phase chronique nouvellement diagnostiquée :</w:t>
      </w:r>
      <w:r w:rsidRPr="00961E0F">
        <w:rPr>
          <w:color w:val="000000"/>
          <w:szCs w:val="22"/>
          <w:lang w:val="fr-FR"/>
        </w:rPr>
        <w:t xml:space="preserve"> Cette étude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chez des patients adultes, a comparé l'administration de Glivec en monothérapie à une association d'interféron-alpha (IFN) et de cytarabine (Ara-C). Les patients présentant une absence de réponse [absence de réponse hématologique complète (RHC) à 6 mois, augmentation des leucocytes, absence de réponse cytogénétique majeure (RCyM) à 24 mois], une perte de la réponse (perte de </w:t>
      </w:r>
      <w:smartTag w:uri="urn:schemas-microsoft-com:office:smarttags" w:element="PersonName">
        <w:smartTagPr>
          <w:attr w:name="ProductID" w:val="la RHC"/>
        </w:smartTagPr>
        <w:r w:rsidRPr="00961E0F">
          <w:rPr>
            <w:color w:val="000000"/>
            <w:szCs w:val="22"/>
            <w:lang w:val="fr-FR"/>
          </w:rPr>
          <w:t>la RHC</w:t>
        </w:r>
      </w:smartTag>
      <w:r w:rsidRPr="00961E0F">
        <w:rPr>
          <w:color w:val="000000"/>
          <w:szCs w:val="22"/>
          <w:lang w:val="fr-FR"/>
        </w:rPr>
        <w:t xml:space="preserve"> ou de </w:t>
      </w:r>
      <w:smartTag w:uri="urn:schemas-microsoft-com:office:smarttags" w:element="PersonName">
        <w:smartTagPr>
          <w:attr w:name="ProductID" w:val="la RCyM"/>
        </w:smartTagPr>
        <w:r w:rsidRPr="00961E0F">
          <w:rPr>
            <w:color w:val="000000"/>
            <w:szCs w:val="22"/>
            <w:lang w:val="fr-FR"/>
          </w:rPr>
          <w:t>la RCyM</w:t>
        </w:r>
      </w:smartTag>
      <w:r w:rsidRPr="00961E0F">
        <w:rPr>
          <w:color w:val="000000"/>
          <w:szCs w:val="22"/>
          <w:lang w:val="fr-FR"/>
        </w:rPr>
        <w:t>) ou une intolérance sévère au traitement ont été autorisés à permuter dans l'autre groupe de traitement. Dans le groupe recevant Glivec, les patients ont été traités par 400 mg/jour. Dans le groupe recevant IFN, les patients ont reçu une dose cible d'IFN de 5 </w:t>
      </w:r>
      <w:smartTag w:uri="urn:schemas-microsoft-com:office:smarttags" w:element="stockticker">
        <w:r w:rsidRPr="00961E0F">
          <w:rPr>
            <w:color w:val="000000"/>
            <w:szCs w:val="22"/>
            <w:lang w:val="fr-FR"/>
          </w:rPr>
          <w:t>MUI</w:t>
        </w:r>
      </w:smartTag>
      <w:r w:rsidRPr="00961E0F">
        <w:rPr>
          <w:color w:val="000000"/>
          <w:szCs w:val="22"/>
          <w:lang w:val="fr-FR"/>
        </w:rPr>
        <w:t>/m</w:t>
      </w:r>
      <w:r w:rsidRPr="00961E0F">
        <w:rPr>
          <w:color w:val="000000"/>
          <w:szCs w:val="22"/>
          <w:vertAlign w:val="superscript"/>
          <w:lang w:val="fr-FR"/>
        </w:rPr>
        <w:t>2</w:t>
      </w:r>
      <w:r w:rsidRPr="00961E0F">
        <w:rPr>
          <w:color w:val="000000"/>
          <w:szCs w:val="22"/>
          <w:lang w:val="fr-FR"/>
        </w:rPr>
        <w:t>/jour par voie sous-cutanée, en association à une dose sous-cutanée d'Ara-C de 20 mg/m</w:t>
      </w:r>
      <w:r w:rsidRPr="00961E0F">
        <w:rPr>
          <w:color w:val="000000"/>
          <w:szCs w:val="22"/>
          <w:vertAlign w:val="superscript"/>
          <w:lang w:val="fr-FR"/>
        </w:rPr>
        <w:t>2</w:t>
      </w:r>
      <w:r w:rsidRPr="00961E0F">
        <w:rPr>
          <w:color w:val="000000"/>
          <w:szCs w:val="22"/>
          <w:lang w:val="fr-FR"/>
        </w:rPr>
        <w:t>/jour pendant 10 jours/mois.</w:t>
      </w:r>
    </w:p>
    <w:p w14:paraId="41EE88CF" w14:textId="77777777" w:rsidR="007D642D" w:rsidRPr="00961E0F" w:rsidRDefault="007D642D">
      <w:pPr>
        <w:pStyle w:val="EndnoteText"/>
        <w:widowControl w:val="0"/>
        <w:tabs>
          <w:tab w:val="clear" w:pos="567"/>
        </w:tabs>
        <w:rPr>
          <w:color w:val="000000"/>
          <w:szCs w:val="22"/>
          <w:lang w:val="fr-FR"/>
        </w:rPr>
      </w:pPr>
    </w:p>
    <w:p w14:paraId="7703331B" w14:textId="77777777" w:rsidR="007D642D" w:rsidRPr="00961E0F" w:rsidRDefault="007D642D">
      <w:pPr>
        <w:pStyle w:val="EndnoteText"/>
        <w:widowControl w:val="0"/>
        <w:rPr>
          <w:color w:val="000000"/>
          <w:szCs w:val="22"/>
          <w:lang w:val="fr-FR"/>
        </w:rPr>
      </w:pPr>
      <w:r w:rsidRPr="00961E0F">
        <w:rPr>
          <w:color w:val="000000"/>
          <w:szCs w:val="22"/>
          <w:lang w:val="fr-FR"/>
        </w:rPr>
        <w:t>Au total, 1 106 patients ont été randomisés, soit 553 patients par groupe de traitement. Les caractéristiques initiales étaient bien équilibrées dans les deux groupes de traitement. L'âge médian était de 51 ans (extrêmes : 18–70 ans) dont 21,9% des patients âgés de 60 ans ou plus. Les groupes étaient composés de 59% d'hommes et 41% de femmes, de 89,9% de blancs et 4,7% de noirs. Sept ans après l’inclusion du dernier patient, la durée médiane de traitement en première ligne était respectivement de 82 et de 8 mois dans les bras traités par Glivec et par l’IFN. La durée médiane de traitement en seconde ligne par Glivec était de 64 mois. Au total, chez les patients recevant Glivec en première ligne, la dose moyenne quotidienne dispensée était de 406 </w:t>
      </w:r>
      <w:r w:rsidRPr="00961E0F">
        <w:rPr>
          <w:color w:val="000000"/>
          <w:szCs w:val="22"/>
          <w:lang w:val="fr-FR"/>
        </w:rPr>
        <w:sym w:font="Symbol" w:char="F0B1"/>
      </w:r>
      <w:r w:rsidRPr="00961E0F">
        <w:rPr>
          <w:color w:val="000000"/>
          <w:szCs w:val="22"/>
          <w:lang w:val="fr-FR"/>
        </w:rPr>
        <w:t xml:space="preserve"> 76 mg. Dans cette étude, le paramètre d'évaluation principal de l'efficacité est la survie sans progression de la maladie. La progression était définie par l’un des événements suivants : évolution vers une phase accélérée ou une crise blastique, décès, perte de </w:t>
      </w:r>
      <w:smartTag w:uri="urn:schemas-microsoft-com:office:smarttags" w:element="PersonName">
        <w:smartTagPr>
          <w:attr w:name="ProductID" w:val="la RHC"/>
        </w:smartTagPr>
        <w:r w:rsidRPr="00961E0F">
          <w:rPr>
            <w:color w:val="000000"/>
            <w:szCs w:val="22"/>
            <w:lang w:val="fr-FR"/>
          </w:rPr>
          <w:t>la RHC</w:t>
        </w:r>
      </w:smartTag>
      <w:r w:rsidRPr="00961E0F">
        <w:rPr>
          <w:color w:val="000000"/>
          <w:szCs w:val="22"/>
          <w:lang w:val="fr-FR"/>
        </w:rPr>
        <w:t xml:space="preserve"> ou de </w:t>
      </w:r>
      <w:smartTag w:uri="urn:schemas-microsoft-com:office:smarttags" w:element="PersonName">
        <w:smartTagPr>
          <w:attr w:name="ProductID" w:val="la RCyM"/>
        </w:smartTagPr>
        <w:r w:rsidRPr="00961E0F">
          <w:rPr>
            <w:color w:val="000000"/>
            <w:szCs w:val="22"/>
            <w:lang w:val="fr-FR"/>
          </w:rPr>
          <w:t>la RCyM</w:t>
        </w:r>
      </w:smartTag>
      <w:r w:rsidRPr="00961E0F">
        <w:rPr>
          <w:color w:val="000000"/>
          <w:szCs w:val="22"/>
          <w:lang w:val="fr-FR"/>
        </w:rPr>
        <w:t>, ou, chez les patients n'obtenant pas une RHC, augmentation des leucocytes malgré une prise en charge thérapeutique adaptée. La réponse cytogénétique majeure, la réponse hématologique, la réponse moléculaire (évaluation de la maladie résiduelle), le délai avant apparition d'une phase accélérée ou d'une crise blastique et la survie sont les principaux critères d'évaluation secondaires. Le Tableau </w:t>
      </w:r>
      <w:r w:rsidR="00C0508D" w:rsidRPr="00961E0F">
        <w:rPr>
          <w:color w:val="000000"/>
          <w:szCs w:val="22"/>
          <w:lang w:val="fr-FR"/>
        </w:rPr>
        <w:t>2</w:t>
      </w:r>
      <w:r w:rsidRPr="00961E0F">
        <w:rPr>
          <w:color w:val="000000"/>
          <w:szCs w:val="22"/>
          <w:lang w:val="fr-FR"/>
        </w:rPr>
        <w:t xml:space="preserve"> présente les données relatives aux types de réponses.</w:t>
      </w:r>
    </w:p>
    <w:p w14:paraId="50CC7EB4" w14:textId="77777777" w:rsidR="007D642D" w:rsidRPr="00961E0F" w:rsidRDefault="007D642D">
      <w:pPr>
        <w:pStyle w:val="EndnoteText"/>
        <w:widowControl w:val="0"/>
        <w:rPr>
          <w:color w:val="000000"/>
          <w:szCs w:val="22"/>
          <w:lang w:val="fr-FR"/>
        </w:rPr>
      </w:pPr>
    </w:p>
    <w:p w14:paraId="5025AECF" w14:textId="77777777" w:rsidR="007D642D" w:rsidRPr="00961E0F" w:rsidRDefault="007D642D" w:rsidP="00B15424">
      <w:pPr>
        <w:pStyle w:val="EndnoteText"/>
        <w:keepNext/>
        <w:keepLines/>
        <w:widowControl w:val="0"/>
        <w:tabs>
          <w:tab w:val="clear" w:pos="567"/>
        </w:tabs>
        <w:ind w:left="1134" w:hanging="1134"/>
        <w:rPr>
          <w:b/>
          <w:color w:val="000000"/>
          <w:szCs w:val="22"/>
          <w:lang w:val="fr-FR"/>
        </w:rPr>
      </w:pPr>
      <w:r w:rsidRPr="00961E0F">
        <w:rPr>
          <w:b/>
          <w:color w:val="000000"/>
          <w:szCs w:val="22"/>
          <w:lang w:val="fr-FR"/>
        </w:rPr>
        <w:lastRenderedPageBreak/>
        <w:t>Tableau </w:t>
      </w:r>
      <w:r w:rsidR="00C0508D" w:rsidRPr="00961E0F">
        <w:rPr>
          <w:b/>
          <w:color w:val="000000"/>
          <w:szCs w:val="22"/>
          <w:lang w:val="fr-FR"/>
        </w:rPr>
        <w:t>2</w:t>
      </w:r>
      <w:r w:rsidRPr="00961E0F">
        <w:rPr>
          <w:b/>
          <w:color w:val="000000"/>
          <w:szCs w:val="22"/>
          <w:lang w:val="fr-FR"/>
        </w:rPr>
        <w:tab/>
        <w:t>Réponses observées dans l'étude portant sur les LMC de diagnostic récent (données à 84 mois)</w:t>
      </w:r>
    </w:p>
    <w:p w14:paraId="50B018DC" w14:textId="77777777" w:rsidR="007D642D" w:rsidRPr="00961E0F" w:rsidRDefault="007D642D" w:rsidP="00B15424">
      <w:pPr>
        <w:pStyle w:val="EndnoteText"/>
        <w:keepNext/>
        <w:widowControl w:val="0"/>
        <w:rPr>
          <w:color w:val="000000"/>
          <w:szCs w:val="22"/>
          <w:lang w:val="fr-F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693"/>
      </w:tblGrid>
      <w:tr w:rsidR="007D642D" w:rsidRPr="00961E0F" w14:paraId="40D769AE" w14:textId="77777777" w:rsidTr="00B15424">
        <w:trPr>
          <w:cantSplit/>
        </w:trPr>
        <w:tc>
          <w:tcPr>
            <w:tcW w:w="3794" w:type="dxa"/>
            <w:tcBorders>
              <w:top w:val="single" w:sz="4" w:space="0" w:color="auto"/>
              <w:left w:val="single" w:sz="4" w:space="0" w:color="auto"/>
              <w:bottom w:val="nil"/>
            </w:tcBorders>
          </w:tcPr>
          <w:p w14:paraId="0EB68BB6"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Borders>
              <w:top w:val="single" w:sz="4" w:space="0" w:color="auto"/>
              <w:bottom w:val="nil"/>
            </w:tcBorders>
          </w:tcPr>
          <w:p w14:paraId="0C1A8C27" w14:textId="77777777" w:rsidR="007D642D" w:rsidRPr="00961E0F" w:rsidRDefault="007D642D" w:rsidP="00B15424">
            <w:pPr>
              <w:pStyle w:val="TableCarCarCarCarCarCarCarCarCar"/>
              <w:keepLines w:val="0"/>
              <w:widowControl w:val="0"/>
              <w:spacing w:before="0" w:after="0"/>
              <w:jc w:val="center"/>
              <w:rPr>
                <w:rFonts w:ascii="Times New Roman" w:hAnsi="Times New Roman"/>
                <w:b/>
                <w:color w:val="000000"/>
                <w:szCs w:val="22"/>
                <w:lang w:val="en-GB"/>
              </w:rPr>
            </w:pPr>
            <w:r w:rsidRPr="00961E0F">
              <w:rPr>
                <w:rFonts w:ascii="Times New Roman" w:hAnsi="Times New Roman"/>
                <w:b/>
                <w:color w:val="000000"/>
                <w:szCs w:val="22"/>
                <w:lang w:val="en-GB"/>
              </w:rPr>
              <w:t>Glivec</w:t>
            </w:r>
          </w:p>
        </w:tc>
        <w:tc>
          <w:tcPr>
            <w:tcW w:w="2693" w:type="dxa"/>
            <w:tcBorders>
              <w:top w:val="single" w:sz="4" w:space="0" w:color="auto"/>
              <w:bottom w:val="nil"/>
              <w:right w:val="single" w:sz="4" w:space="0" w:color="auto"/>
            </w:tcBorders>
          </w:tcPr>
          <w:p w14:paraId="717F6F22" w14:textId="77777777" w:rsidR="007D642D" w:rsidRPr="00961E0F" w:rsidRDefault="007D642D" w:rsidP="00B15424">
            <w:pPr>
              <w:pStyle w:val="TableCarCarCarCarCarCarCarCarCar"/>
              <w:keepLines w:val="0"/>
              <w:widowControl w:val="0"/>
              <w:spacing w:before="0" w:after="0"/>
              <w:jc w:val="center"/>
              <w:rPr>
                <w:rFonts w:ascii="Times New Roman" w:hAnsi="Times New Roman"/>
                <w:b/>
                <w:color w:val="000000"/>
                <w:szCs w:val="22"/>
                <w:lang w:val="en-GB"/>
              </w:rPr>
            </w:pPr>
            <w:r w:rsidRPr="00961E0F">
              <w:rPr>
                <w:rFonts w:ascii="Times New Roman" w:hAnsi="Times New Roman"/>
                <w:b/>
                <w:color w:val="000000"/>
                <w:szCs w:val="22"/>
                <w:lang w:val="en-GB"/>
              </w:rPr>
              <w:t>IFN+Ara-C</w:t>
            </w:r>
          </w:p>
        </w:tc>
      </w:tr>
      <w:tr w:rsidR="007D642D" w:rsidRPr="00961E0F" w14:paraId="261CD7CF" w14:textId="77777777" w:rsidTr="00B15424">
        <w:trPr>
          <w:cantSplit/>
        </w:trPr>
        <w:tc>
          <w:tcPr>
            <w:tcW w:w="3794" w:type="dxa"/>
            <w:tcBorders>
              <w:top w:val="nil"/>
              <w:left w:val="single" w:sz="4" w:space="0" w:color="auto"/>
              <w:bottom w:val="single" w:sz="4" w:space="0" w:color="auto"/>
            </w:tcBorders>
          </w:tcPr>
          <w:p w14:paraId="22FE1BA5" w14:textId="77777777" w:rsidR="007D642D" w:rsidRPr="00961E0F" w:rsidRDefault="007D642D" w:rsidP="00B15424">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(Meilleurs taux de réponse)</w:t>
            </w:r>
          </w:p>
        </w:tc>
        <w:tc>
          <w:tcPr>
            <w:tcW w:w="2693" w:type="dxa"/>
            <w:tcBorders>
              <w:top w:val="nil"/>
              <w:bottom w:val="single" w:sz="4" w:space="0" w:color="auto"/>
            </w:tcBorders>
          </w:tcPr>
          <w:p w14:paraId="09773DD8"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n=553</w:t>
            </w:r>
          </w:p>
        </w:tc>
        <w:tc>
          <w:tcPr>
            <w:tcW w:w="2693" w:type="dxa"/>
            <w:tcBorders>
              <w:top w:val="nil"/>
              <w:bottom w:val="single" w:sz="4" w:space="0" w:color="auto"/>
              <w:right w:val="single" w:sz="4" w:space="0" w:color="auto"/>
            </w:tcBorders>
          </w:tcPr>
          <w:p w14:paraId="3E8C4416"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n=553</w:t>
            </w:r>
          </w:p>
        </w:tc>
      </w:tr>
      <w:tr w:rsidR="007D642D" w:rsidRPr="00961E0F" w14:paraId="43B021A1" w14:textId="77777777" w:rsidTr="00B15424">
        <w:trPr>
          <w:cantSplit/>
        </w:trPr>
        <w:tc>
          <w:tcPr>
            <w:tcW w:w="3794" w:type="dxa"/>
            <w:tcBorders>
              <w:top w:val="nil"/>
              <w:left w:val="single" w:sz="4" w:space="0" w:color="auto"/>
            </w:tcBorders>
          </w:tcPr>
          <w:p w14:paraId="3B8FF58B" w14:textId="77777777" w:rsidR="007D642D" w:rsidRPr="00961E0F" w:rsidRDefault="007D642D" w:rsidP="00B15424">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Réponse hématologique</w:t>
            </w:r>
          </w:p>
        </w:tc>
        <w:tc>
          <w:tcPr>
            <w:tcW w:w="2693" w:type="dxa"/>
            <w:tcBorders>
              <w:top w:val="nil"/>
            </w:tcBorders>
          </w:tcPr>
          <w:p w14:paraId="1CCBAB11" w14:textId="77777777" w:rsidR="007D642D" w:rsidRPr="00961E0F" w:rsidRDefault="007D642D" w:rsidP="00B15424">
            <w:pPr>
              <w:pStyle w:val="TableCarCarCarCarCarCarCarCarCar"/>
              <w:keepLines w:val="0"/>
              <w:widowControl w:val="0"/>
              <w:spacing w:before="0" w:after="0"/>
              <w:jc w:val="center"/>
              <w:rPr>
                <w:rFonts w:ascii="Times New Roman" w:hAnsi="Times New Roman"/>
                <w:b/>
                <w:color w:val="000000"/>
                <w:szCs w:val="22"/>
                <w:lang w:val="fr-FR"/>
              </w:rPr>
            </w:pPr>
          </w:p>
        </w:tc>
        <w:tc>
          <w:tcPr>
            <w:tcW w:w="2693" w:type="dxa"/>
            <w:tcBorders>
              <w:top w:val="nil"/>
              <w:right w:val="single" w:sz="4" w:space="0" w:color="auto"/>
            </w:tcBorders>
          </w:tcPr>
          <w:p w14:paraId="4C6E6F49" w14:textId="77777777" w:rsidR="007D642D" w:rsidRPr="00961E0F" w:rsidRDefault="007D642D" w:rsidP="00B15424">
            <w:pPr>
              <w:pStyle w:val="TableCarCarCarCarCarCarCarCarCar"/>
              <w:keepLines w:val="0"/>
              <w:widowControl w:val="0"/>
              <w:spacing w:before="0" w:after="0"/>
              <w:jc w:val="center"/>
              <w:rPr>
                <w:rFonts w:ascii="Times New Roman" w:hAnsi="Times New Roman"/>
                <w:b/>
                <w:color w:val="000000"/>
                <w:szCs w:val="22"/>
                <w:lang w:val="fr-FR"/>
              </w:rPr>
            </w:pPr>
          </w:p>
        </w:tc>
      </w:tr>
      <w:tr w:rsidR="007D642D" w:rsidRPr="00961E0F" w14:paraId="323C3ED7" w14:textId="77777777" w:rsidTr="00B15424">
        <w:trPr>
          <w:cantSplit/>
        </w:trPr>
        <w:tc>
          <w:tcPr>
            <w:tcW w:w="3794" w:type="dxa"/>
            <w:tcBorders>
              <w:top w:val="nil"/>
              <w:left w:val="single" w:sz="4" w:space="0" w:color="auto"/>
            </w:tcBorders>
          </w:tcPr>
          <w:p w14:paraId="5706FCB9"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Taux de RHC n (%)</w:t>
            </w:r>
          </w:p>
        </w:tc>
        <w:tc>
          <w:tcPr>
            <w:tcW w:w="2693" w:type="dxa"/>
            <w:tcBorders>
              <w:top w:val="nil"/>
            </w:tcBorders>
          </w:tcPr>
          <w:p w14:paraId="421A19E0"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534 (96,6%)*</w:t>
            </w:r>
          </w:p>
        </w:tc>
        <w:tc>
          <w:tcPr>
            <w:tcW w:w="2693" w:type="dxa"/>
            <w:tcBorders>
              <w:top w:val="nil"/>
              <w:right w:val="single" w:sz="4" w:space="0" w:color="auto"/>
            </w:tcBorders>
          </w:tcPr>
          <w:p w14:paraId="7E5F89F4"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313 (56,6%)*</w:t>
            </w:r>
          </w:p>
        </w:tc>
      </w:tr>
      <w:tr w:rsidR="007D642D" w:rsidRPr="00961E0F" w14:paraId="5E3E05C2" w14:textId="77777777" w:rsidTr="00B15424">
        <w:trPr>
          <w:cantSplit/>
        </w:trPr>
        <w:tc>
          <w:tcPr>
            <w:tcW w:w="3794" w:type="dxa"/>
            <w:tcBorders>
              <w:left w:val="single" w:sz="4" w:space="0" w:color="auto"/>
            </w:tcBorders>
          </w:tcPr>
          <w:p w14:paraId="4C4398D8"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[95% IC]</w:t>
            </w:r>
          </w:p>
        </w:tc>
        <w:tc>
          <w:tcPr>
            <w:tcW w:w="2693" w:type="dxa"/>
          </w:tcPr>
          <w:p w14:paraId="584B6F08"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[94,7%, 97,9%]</w:t>
            </w:r>
          </w:p>
        </w:tc>
        <w:tc>
          <w:tcPr>
            <w:tcW w:w="2693" w:type="dxa"/>
            <w:tcBorders>
              <w:right w:val="single" w:sz="4" w:space="0" w:color="auto"/>
            </w:tcBorders>
          </w:tcPr>
          <w:p w14:paraId="60EF7A91"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[52,4%, 60,8%]</w:t>
            </w:r>
          </w:p>
        </w:tc>
      </w:tr>
      <w:tr w:rsidR="007D642D" w:rsidRPr="00961E0F" w14:paraId="371B6D56" w14:textId="77777777" w:rsidTr="00B15424">
        <w:trPr>
          <w:cantSplit/>
        </w:trPr>
        <w:tc>
          <w:tcPr>
            <w:tcW w:w="3794" w:type="dxa"/>
            <w:tcBorders>
              <w:left w:val="single" w:sz="4" w:space="0" w:color="auto"/>
            </w:tcBorders>
          </w:tcPr>
          <w:p w14:paraId="0C6FD1B3"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Pr>
          <w:p w14:paraId="38CC7AEC"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Borders>
              <w:right w:val="single" w:sz="4" w:space="0" w:color="auto"/>
            </w:tcBorders>
          </w:tcPr>
          <w:p w14:paraId="179480BC"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r>
      <w:tr w:rsidR="007D642D" w:rsidRPr="00961E0F" w14:paraId="3CAE6F23" w14:textId="77777777" w:rsidTr="00B15424">
        <w:trPr>
          <w:cantSplit/>
        </w:trPr>
        <w:tc>
          <w:tcPr>
            <w:tcW w:w="3794" w:type="dxa"/>
            <w:tcBorders>
              <w:left w:val="single" w:sz="4" w:space="0" w:color="auto"/>
            </w:tcBorders>
          </w:tcPr>
          <w:p w14:paraId="323E4932" w14:textId="77777777" w:rsidR="007D642D" w:rsidRPr="00961E0F" w:rsidRDefault="007D642D" w:rsidP="00B15424">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Réponse cytogénétique</w:t>
            </w:r>
          </w:p>
        </w:tc>
        <w:tc>
          <w:tcPr>
            <w:tcW w:w="2693" w:type="dxa"/>
          </w:tcPr>
          <w:p w14:paraId="1A8ACB8C" w14:textId="77777777" w:rsidR="007D642D" w:rsidRPr="00961E0F" w:rsidRDefault="007D642D" w:rsidP="00B15424">
            <w:pPr>
              <w:pStyle w:val="TableCarCarCarCarCarCarCarCarCar"/>
              <w:keepLines w:val="0"/>
              <w:widowControl w:val="0"/>
              <w:spacing w:before="0" w:after="0"/>
              <w:rPr>
                <w:rFonts w:ascii="Times New Roman" w:hAnsi="Times New Roman"/>
                <w:b/>
                <w:color w:val="000000"/>
                <w:szCs w:val="22"/>
                <w:lang w:val="fr-FR"/>
              </w:rPr>
            </w:pPr>
          </w:p>
        </w:tc>
        <w:tc>
          <w:tcPr>
            <w:tcW w:w="2693" w:type="dxa"/>
            <w:tcBorders>
              <w:right w:val="single" w:sz="4" w:space="0" w:color="auto"/>
            </w:tcBorders>
          </w:tcPr>
          <w:p w14:paraId="59AF7F2B" w14:textId="77777777" w:rsidR="007D642D" w:rsidRPr="00961E0F" w:rsidRDefault="007D642D" w:rsidP="00B15424">
            <w:pPr>
              <w:pStyle w:val="TableCarCarCarCarCarCarCarCarCar"/>
              <w:keepLines w:val="0"/>
              <w:widowControl w:val="0"/>
              <w:spacing w:before="0" w:after="0"/>
              <w:rPr>
                <w:rFonts w:ascii="Times New Roman" w:hAnsi="Times New Roman"/>
                <w:b/>
                <w:color w:val="000000"/>
                <w:szCs w:val="22"/>
                <w:lang w:val="fr-FR"/>
              </w:rPr>
            </w:pPr>
          </w:p>
        </w:tc>
      </w:tr>
      <w:tr w:rsidR="007D642D" w:rsidRPr="00961E0F" w14:paraId="2E95895B" w14:textId="77777777" w:rsidTr="00B15424">
        <w:trPr>
          <w:cantSplit/>
        </w:trPr>
        <w:tc>
          <w:tcPr>
            <w:tcW w:w="3794" w:type="dxa"/>
            <w:tcBorders>
              <w:left w:val="single" w:sz="4" w:space="0" w:color="auto"/>
            </w:tcBorders>
          </w:tcPr>
          <w:p w14:paraId="0AEA5561"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n (%)</w:t>
            </w:r>
          </w:p>
        </w:tc>
        <w:tc>
          <w:tcPr>
            <w:tcW w:w="2693" w:type="dxa"/>
          </w:tcPr>
          <w:p w14:paraId="5ADA1E89"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490 (88,6%)*</w:t>
            </w:r>
          </w:p>
        </w:tc>
        <w:tc>
          <w:tcPr>
            <w:tcW w:w="2693" w:type="dxa"/>
            <w:tcBorders>
              <w:right w:val="single" w:sz="4" w:space="0" w:color="auto"/>
            </w:tcBorders>
          </w:tcPr>
          <w:p w14:paraId="7CD265BA"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129 (23,3%)*</w:t>
            </w:r>
          </w:p>
        </w:tc>
      </w:tr>
      <w:tr w:rsidR="007D642D" w:rsidRPr="00961E0F" w14:paraId="513BE0D1" w14:textId="77777777" w:rsidTr="00B15424">
        <w:trPr>
          <w:cantSplit/>
        </w:trPr>
        <w:tc>
          <w:tcPr>
            <w:tcW w:w="3794" w:type="dxa"/>
            <w:tcBorders>
              <w:left w:val="single" w:sz="4" w:space="0" w:color="auto"/>
            </w:tcBorders>
          </w:tcPr>
          <w:p w14:paraId="39C33A68"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[95% IC]</w:t>
            </w:r>
          </w:p>
        </w:tc>
        <w:tc>
          <w:tcPr>
            <w:tcW w:w="2693" w:type="dxa"/>
          </w:tcPr>
          <w:p w14:paraId="11A4732A"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[85,7%, 91,1%]</w:t>
            </w:r>
          </w:p>
        </w:tc>
        <w:tc>
          <w:tcPr>
            <w:tcW w:w="2693" w:type="dxa"/>
            <w:tcBorders>
              <w:right w:val="single" w:sz="4" w:space="0" w:color="auto"/>
            </w:tcBorders>
          </w:tcPr>
          <w:p w14:paraId="6CE2BB64"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[19,9%, 27,1%]</w:t>
            </w:r>
          </w:p>
        </w:tc>
      </w:tr>
      <w:tr w:rsidR="007D642D" w:rsidRPr="00961E0F" w14:paraId="4F2B0E77" w14:textId="77777777" w:rsidTr="00B15424">
        <w:trPr>
          <w:cantSplit/>
        </w:trPr>
        <w:tc>
          <w:tcPr>
            <w:tcW w:w="3794" w:type="dxa"/>
            <w:tcBorders>
              <w:left w:val="single" w:sz="4" w:space="0" w:color="auto"/>
            </w:tcBorders>
          </w:tcPr>
          <w:p w14:paraId="012C8493"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RCy complète n (%)</w:t>
            </w:r>
          </w:p>
        </w:tc>
        <w:tc>
          <w:tcPr>
            <w:tcW w:w="2693" w:type="dxa"/>
          </w:tcPr>
          <w:p w14:paraId="23E6BC4B"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456 (82,5%)*</w:t>
            </w:r>
          </w:p>
        </w:tc>
        <w:tc>
          <w:tcPr>
            <w:tcW w:w="2693" w:type="dxa"/>
            <w:tcBorders>
              <w:right w:val="single" w:sz="4" w:space="0" w:color="auto"/>
            </w:tcBorders>
          </w:tcPr>
          <w:p w14:paraId="65D24843"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64 (11,6%)*</w:t>
            </w:r>
          </w:p>
        </w:tc>
      </w:tr>
      <w:tr w:rsidR="007D642D" w:rsidRPr="00961E0F" w14:paraId="09A342E9" w14:textId="77777777" w:rsidTr="00B15424">
        <w:trPr>
          <w:cantSplit/>
        </w:trPr>
        <w:tc>
          <w:tcPr>
            <w:tcW w:w="3794" w:type="dxa"/>
            <w:tcBorders>
              <w:left w:val="single" w:sz="4" w:space="0" w:color="auto"/>
            </w:tcBorders>
          </w:tcPr>
          <w:p w14:paraId="41D6BE67"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RCy partielle n (%)</w:t>
            </w:r>
          </w:p>
        </w:tc>
        <w:tc>
          <w:tcPr>
            <w:tcW w:w="2693" w:type="dxa"/>
          </w:tcPr>
          <w:p w14:paraId="665340B8"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34 (6,1%)</w:t>
            </w:r>
          </w:p>
        </w:tc>
        <w:tc>
          <w:tcPr>
            <w:tcW w:w="2693" w:type="dxa"/>
            <w:tcBorders>
              <w:right w:val="single" w:sz="4" w:space="0" w:color="auto"/>
            </w:tcBorders>
          </w:tcPr>
          <w:p w14:paraId="22E6C1BD"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65 (11,8%)</w:t>
            </w:r>
          </w:p>
        </w:tc>
      </w:tr>
      <w:tr w:rsidR="007D642D" w:rsidRPr="00961E0F" w14:paraId="59EBC7BA" w14:textId="77777777" w:rsidTr="00B15424">
        <w:trPr>
          <w:cantSplit/>
        </w:trPr>
        <w:tc>
          <w:tcPr>
            <w:tcW w:w="3794" w:type="dxa"/>
            <w:tcBorders>
              <w:left w:val="single" w:sz="4" w:space="0" w:color="auto"/>
              <w:bottom w:val="nil"/>
            </w:tcBorders>
          </w:tcPr>
          <w:p w14:paraId="574A908D"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tcBorders>
          </w:tcPr>
          <w:p w14:paraId="62985BFE"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right w:val="single" w:sz="4" w:space="0" w:color="auto"/>
            </w:tcBorders>
          </w:tcPr>
          <w:p w14:paraId="0A0E1943"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r>
      <w:tr w:rsidR="007D642D" w:rsidRPr="00961E0F" w14:paraId="7150FFB6" w14:textId="77777777" w:rsidTr="00B15424">
        <w:trPr>
          <w:cantSplit/>
        </w:trPr>
        <w:tc>
          <w:tcPr>
            <w:tcW w:w="3794" w:type="dxa"/>
            <w:tcBorders>
              <w:left w:val="single" w:sz="4" w:space="0" w:color="auto"/>
              <w:bottom w:val="nil"/>
            </w:tcBorders>
          </w:tcPr>
          <w:p w14:paraId="455A00BD"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Réponse moléculaire</w:t>
            </w:r>
            <w:r w:rsidRPr="00961E0F">
              <w:rPr>
                <w:rFonts w:ascii="Times New Roman" w:hAnsi="Times New Roman"/>
                <w:color w:val="000000"/>
                <w:szCs w:val="22"/>
                <w:lang w:val="fr-FR"/>
              </w:rPr>
              <w:t>**</w:t>
            </w:r>
          </w:p>
        </w:tc>
        <w:tc>
          <w:tcPr>
            <w:tcW w:w="2693" w:type="dxa"/>
            <w:tcBorders>
              <w:bottom w:val="nil"/>
            </w:tcBorders>
          </w:tcPr>
          <w:p w14:paraId="28DB2828"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right w:val="single" w:sz="4" w:space="0" w:color="auto"/>
            </w:tcBorders>
          </w:tcPr>
          <w:p w14:paraId="7AA043AB"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p>
        </w:tc>
      </w:tr>
      <w:tr w:rsidR="007D642D" w:rsidRPr="00961E0F" w14:paraId="6AC19207" w14:textId="77777777" w:rsidTr="00B15424">
        <w:trPr>
          <w:cantSplit/>
        </w:trPr>
        <w:tc>
          <w:tcPr>
            <w:tcW w:w="3794" w:type="dxa"/>
            <w:tcBorders>
              <w:left w:val="single" w:sz="4" w:space="0" w:color="auto"/>
              <w:bottom w:val="nil"/>
            </w:tcBorders>
          </w:tcPr>
          <w:p w14:paraId="4B6EEE6A"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12 mois (%)</w:t>
            </w:r>
          </w:p>
        </w:tc>
        <w:tc>
          <w:tcPr>
            <w:tcW w:w="2693" w:type="dxa"/>
            <w:tcBorders>
              <w:bottom w:val="nil"/>
            </w:tcBorders>
          </w:tcPr>
          <w:p w14:paraId="79BD37BD"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153/305=50,2%</w:t>
            </w:r>
          </w:p>
        </w:tc>
        <w:tc>
          <w:tcPr>
            <w:tcW w:w="2693" w:type="dxa"/>
            <w:tcBorders>
              <w:bottom w:val="nil"/>
              <w:right w:val="single" w:sz="4" w:space="0" w:color="auto"/>
            </w:tcBorders>
          </w:tcPr>
          <w:p w14:paraId="6B1048B1"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8/83=9,6%</w:t>
            </w:r>
          </w:p>
        </w:tc>
      </w:tr>
      <w:tr w:rsidR="007D642D" w:rsidRPr="00961E0F" w14:paraId="0AD64D01" w14:textId="77777777" w:rsidTr="00B15424">
        <w:trPr>
          <w:cantSplit/>
        </w:trPr>
        <w:tc>
          <w:tcPr>
            <w:tcW w:w="3794" w:type="dxa"/>
            <w:tcBorders>
              <w:left w:val="single" w:sz="4" w:space="0" w:color="auto"/>
              <w:bottom w:val="nil"/>
            </w:tcBorders>
          </w:tcPr>
          <w:p w14:paraId="1F0C0DC2"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24 mois (%)</w:t>
            </w:r>
          </w:p>
        </w:tc>
        <w:tc>
          <w:tcPr>
            <w:tcW w:w="2693" w:type="dxa"/>
            <w:tcBorders>
              <w:bottom w:val="nil"/>
            </w:tcBorders>
          </w:tcPr>
          <w:p w14:paraId="2C787E94"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73/104=70,2%</w:t>
            </w:r>
          </w:p>
        </w:tc>
        <w:tc>
          <w:tcPr>
            <w:tcW w:w="2693" w:type="dxa"/>
            <w:tcBorders>
              <w:bottom w:val="nil"/>
              <w:right w:val="single" w:sz="4" w:space="0" w:color="auto"/>
            </w:tcBorders>
          </w:tcPr>
          <w:p w14:paraId="259CC8F6" w14:textId="77777777" w:rsidR="007D642D" w:rsidRPr="00961E0F" w:rsidRDefault="007D642D" w:rsidP="00B15424">
            <w:pPr>
              <w:keepNext/>
              <w:widowControl w:val="0"/>
              <w:jc w:val="center"/>
              <w:rPr>
                <w:rFonts w:ascii="Times New Roman" w:hAnsi="Times New Roman"/>
                <w:color w:val="000000"/>
                <w:szCs w:val="22"/>
              </w:rPr>
            </w:pPr>
            <w:r w:rsidRPr="00961E0F">
              <w:rPr>
                <w:rFonts w:ascii="Times New Roman" w:hAnsi="Times New Roman"/>
                <w:color w:val="000000"/>
                <w:szCs w:val="22"/>
              </w:rPr>
              <w:t>3/12=25%</w:t>
            </w:r>
          </w:p>
        </w:tc>
      </w:tr>
      <w:tr w:rsidR="007D642D" w:rsidRPr="00961E0F" w14:paraId="6819ED4D" w14:textId="77777777" w:rsidTr="00B15424">
        <w:trPr>
          <w:cantSplit/>
        </w:trPr>
        <w:tc>
          <w:tcPr>
            <w:tcW w:w="3794" w:type="dxa"/>
            <w:tcBorders>
              <w:left w:val="single" w:sz="4" w:space="0" w:color="auto"/>
              <w:bottom w:val="nil"/>
            </w:tcBorders>
          </w:tcPr>
          <w:p w14:paraId="5A54C55A" w14:textId="77777777" w:rsidR="007D642D" w:rsidRPr="00961E0F" w:rsidRDefault="007D642D" w:rsidP="00B15424">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84 mois (%)</w:t>
            </w:r>
          </w:p>
        </w:tc>
        <w:tc>
          <w:tcPr>
            <w:tcW w:w="2693" w:type="dxa"/>
            <w:tcBorders>
              <w:bottom w:val="nil"/>
            </w:tcBorders>
          </w:tcPr>
          <w:p w14:paraId="0123EB0F"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102/116=87,9%</w:t>
            </w:r>
          </w:p>
        </w:tc>
        <w:tc>
          <w:tcPr>
            <w:tcW w:w="2693" w:type="dxa"/>
            <w:tcBorders>
              <w:bottom w:val="nil"/>
              <w:right w:val="single" w:sz="4" w:space="0" w:color="auto"/>
            </w:tcBorders>
          </w:tcPr>
          <w:p w14:paraId="59FD5E5D" w14:textId="77777777" w:rsidR="007D642D" w:rsidRPr="00961E0F" w:rsidRDefault="007D642D" w:rsidP="00B15424">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rPr>
              <w:t>3/4=75</w:t>
            </w:r>
            <w:r w:rsidRPr="00961E0F">
              <w:rPr>
                <w:rFonts w:ascii="Times New Roman" w:hAnsi="Times New Roman"/>
                <w:color w:val="000000"/>
                <w:szCs w:val="22"/>
                <w:lang w:val="fr-FR"/>
              </w:rPr>
              <w:t>%</w:t>
            </w:r>
          </w:p>
        </w:tc>
      </w:tr>
      <w:tr w:rsidR="007D642D" w:rsidRPr="00961E0F" w14:paraId="4D841C9F" w14:textId="77777777" w:rsidTr="00B15424">
        <w:trPr>
          <w:cantSplit/>
        </w:trPr>
        <w:tc>
          <w:tcPr>
            <w:tcW w:w="9180" w:type="dxa"/>
            <w:gridSpan w:val="3"/>
            <w:tcBorders>
              <w:top w:val="single" w:sz="4" w:space="0" w:color="auto"/>
              <w:left w:val="single" w:sz="4" w:space="0" w:color="auto"/>
              <w:bottom w:val="single" w:sz="4" w:space="0" w:color="auto"/>
              <w:right w:val="single" w:sz="4" w:space="0" w:color="auto"/>
            </w:tcBorders>
          </w:tcPr>
          <w:p w14:paraId="45B18E45" w14:textId="77777777" w:rsidR="007D642D" w:rsidRPr="00961E0F" w:rsidRDefault="007D642D">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 p&lt;0,001, Fischer’s exact test</w:t>
            </w:r>
          </w:p>
          <w:p w14:paraId="47ABCB1A" w14:textId="77777777" w:rsidR="007D642D" w:rsidRPr="00961E0F" w:rsidRDefault="007D642D">
            <w:pPr>
              <w:pStyle w:val="TableCarCarCarCarCarCarCarCarCar"/>
              <w:keepNext w:val="0"/>
              <w:keepLines w:val="0"/>
              <w:widowControl w:val="0"/>
              <w:spacing w:before="0" w:after="0"/>
              <w:rPr>
                <w:rFonts w:ascii="Times New Roman" w:hAnsi="Times New Roman"/>
                <w:b/>
                <w:color w:val="000000"/>
                <w:szCs w:val="22"/>
                <w:lang w:val="fr-FR"/>
              </w:rPr>
            </w:pPr>
            <w:r w:rsidRPr="00961E0F">
              <w:rPr>
                <w:rFonts w:ascii="Times New Roman" w:hAnsi="Times New Roman"/>
                <w:color w:val="000000"/>
                <w:szCs w:val="22"/>
                <w:lang w:val="fr-FR"/>
              </w:rPr>
              <w:t>** les pourcentages de réponses moléculaires sont basés sur les prélèvements disponibles</w:t>
            </w:r>
          </w:p>
          <w:p w14:paraId="249B7CB6" w14:textId="77777777" w:rsidR="007D642D" w:rsidRPr="00961E0F" w:rsidRDefault="007D642D">
            <w:pPr>
              <w:pStyle w:val="TableCarCarCarCarCarCarCarCarCar"/>
              <w:keepNext w:val="0"/>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 xml:space="preserve">Critères de réponse hématologique (toutes les réponses devaient être confirmées après </w:t>
            </w:r>
            <w:r w:rsidRPr="00961E0F">
              <w:rPr>
                <w:rFonts w:ascii="Times New Roman" w:hAnsi="Times New Roman"/>
                <w:b/>
                <w:color w:val="000000"/>
                <w:szCs w:val="22"/>
                <w:lang w:val="fr-FR"/>
              </w:rPr>
              <w:sym w:font="Symbol" w:char="F0B3"/>
            </w:r>
            <w:r w:rsidRPr="00961E0F">
              <w:rPr>
                <w:rFonts w:ascii="Times New Roman" w:hAnsi="Times New Roman"/>
                <w:b/>
                <w:color w:val="000000"/>
                <w:szCs w:val="22"/>
                <w:lang w:val="fr-FR"/>
              </w:rPr>
              <w:t> 4 semaines) :</w:t>
            </w:r>
          </w:p>
          <w:p w14:paraId="7C0C2AE7" w14:textId="77777777" w:rsidR="007D642D" w:rsidRPr="00961E0F" w:rsidRDefault="007D642D">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Leucocytes&lt;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plaquettes &lt; 450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myélocytes+métamyélocytes &lt; 5% dans le sang, aucun blaste ni promyélocyte dans le sang, basophiles &lt; 20%, aucun envahissement extramédullaire.</w:t>
            </w:r>
          </w:p>
          <w:p w14:paraId="79D6E97C" w14:textId="77777777" w:rsidR="007D642D" w:rsidRPr="00961E0F" w:rsidRDefault="007D642D">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 xml:space="preserve">Critères de réponse cytogénétique : </w:t>
            </w:r>
            <w:r w:rsidRPr="00961E0F">
              <w:rPr>
                <w:rFonts w:ascii="Times New Roman" w:hAnsi="Times New Roman"/>
                <w:color w:val="000000"/>
                <w:szCs w:val="22"/>
                <w:lang w:val="fr-FR"/>
              </w:rPr>
              <w:t>complète (0% de métaphases Ph+ ), partielle (1–35%), mineure (36–65%) ou minime (66–95%). Une réponse majeure (0–35%) associe les réponses complètes ou partielles.</w:t>
            </w:r>
          </w:p>
          <w:p w14:paraId="44C826C5" w14:textId="77777777" w:rsidR="007D642D" w:rsidRPr="00961E0F" w:rsidRDefault="007D642D">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 xml:space="preserve">Critères de réponse moléculaire majeure : </w:t>
            </w:r>
            <w:r w:rsidRPr="00961E0F">
              <w:rPr>
                <w:rFonts w:ascii="Times New Roman" w:hAnsi="Times New Roman"/>
                <w:color w:val="000000"/>
                <w:szCs w:val="22"/>
                <w:lang w:val="fr-FR"/>
              </w:rPr>
              <w:t xml:space="preserve">dans le sang périphérique, réduction d’au moins 3 log du taux de transcrit </w:t>
            </w:r>
            <w:smartTag w:uri="urn:schemas-microsoft-com:office:smarttags" w:element="stockticker">
              <w:r w:rsidRPr="00961E0F">
                <w:rPr>
                  <w:rFonts w:ascii="Times New Roman" w:hAnsi="Times New Roman"/>
                  <w:color w:val="000000"/>
                  <w:szCs w:val="22"/>
                  <w:lang w:val="fr-FR"/>
                </w:rPr>
                <w:t>BCR</w:t>
              </w:r>
            </w:smartTag>
            <w:r w:rsidRPr="00961E0F">
              <w:rPr>
                <w:rFonts w:ascii="Times New Roman" w:hAnsi="Times New Roman"/>
                <w:color w:val="000000"/>
                <w:szCs w:val="22"/>
                <w:lang w:val="fr-FR"/>
              </w:rPr>
              <w:t>-</w:t>
            </w:r>
            <w:smartTag w:uri="urn:schemas-microsoft-com:office:smarttags" w:element="stockticker">
              <w:r w:rsidRPr="00961E0F">
                <w:rPr>
                  <w:rFonts w:ascii="Times New Roman" w:hAnsi="Times New Roman"/>
                  <w:color w:val="000000"/>
                  <w:szCs w:val="22"/>
                  <w:lang w:val="fr-FR"/>
                </w:rPr>
                <w:t>ABL</w:t>
              </w:r>
            </w:smartTag>
            <w:r w:rsidRPr="00961E0F">
              <w:rPr>
                <w:rFonts w:ascii="Times New Roman" w:hAnsi="Times New Roman"/>
                <w:color w:val="000000"/>
                <w:szCs w:val="22"/>
                <w:lang w:val="fr-FR"/>
              </w:rPr>
              <w:t xml:space="preserve"> (mesuré par un test RT-</w:t>
            </w:r>
            <w:smartTag w:uri="urn:schemas-microsoft-com:office:smarttags" w:element="stockticker">
              <w:r w:rsidRPr="00961E0F">
                <w:rPr>
                  <w:rFonts w:ascii="Times New Roman" w:hAnsi="Times New Roman"/>
                  <w:color w:val="000000"/>
                  <w:szCs w:val="22"/>
                  <w:lang w:val="fr-FR"/>
                </w:rPr>
                <w:t>PCR</w:t>
              </w:r>
            </w:smartTag>
            <w:r w:rsidRPr="00961E0F">
              <w:rPr>
                <w:rFonts w:ascii="Times New Roman" w:hAnsi="Times New Roman"/>
                <w:color w:val="000000"/>
                <w:szCs w:val="22"/>
                <w:lang w:val="fr-FR"/>
              </w:rPr>
              <w:t xml:space="preserve"> quantitatif en temps réel) par rapport à une valeur de base standardisée.</w:t>
            </w:r>
          </w:p>
        </w:tc>
      </w:tr>
    </w:tbl>
    <w:p w14:paraId="604ADD6C" w14:textId="77777777" w:rsidR="007D642D" w:rsidRPr="00961E0F" w:rsidRDefault="007D642D">
      <w:pPr>
        <w:pStyle w:val="EndnoteText"/>
        <w:widowControl w:val="0"/>
        <w:rPr>
          <w:color w:val="000000"/>
          <w:szCs w:val="22"/>
          <w:lang w:val="fr-FR"/>
        </w:rPr>
      </w:pPr>
    </w:p>
    <w:p w14:paraId="331D5406" w14:textId="77777777" w:rsidR="007D642D" w:rsidRPr="00961E0F" w:rsidRDefault="007D642D">
      <w:pPr>
        <w:pStyle w:val="EndnoteText"/>
        <w:widowControl w:val="0"/>
        <w:rPr>
          <w:color w:val="000000"/>
          <w:szCs w:val="22"/>
          <w:lang w:val="fr-FR"/>
        </w:rPr>
      </w:pPr>
      <w:r w:rsidRPr="00961E0F">
        <w:rPr>
          <w:color w:val="000000"/>
          <w:szCs w:val="22"/>
          <w:lang w:val="fr-FR"/>
        </w:rPr>
        <w:t>Les taux de réponse hématologique complète, de réponse cytogénétique majeure et de réponse cytogénétique complète au traitement en première ligne ont été estimés selon la méthode de Kaplan-Meier, avec laquelle les non-réponses sont censurées à la date du dernier examen. En utilisant cette approche, les taux estimés de réponse cumulée au traitement par Glivec en première ligne se sont améliorés de 12 mois à 84 mois respectivement comme suit : RHC de 96,4% à 98,4% et RCyC de 69,5% à 87,2%.</w:t>
      </w:r>
    </w:p>
    <w:p w14:paraId="072D3137" w14:textId="77777777" w:rsidR="007D642D" w:rsidRPr="00961E0F" w:rsidRDefault="007D642D">
      <w:pPr>
        <w:pStyle w:val="EndnoteText"/>
        <w:widowControl w:val="0"/>
        <w:rPr>
          <w:color w:val="000000"/>
          <w:szCs w:val="22"/>
          <w:lang w:val="fr-FR"/>
        </w:rPr>
      </w:pPr>
    </w:p>
    <w:p w14:paraId="6BC5C5F2" w14:textId="77777777" w:rsidR="007D642D" w:rsidRPr="00961E0F" w:rsidRDefault="007D642D">
      <w:pPr>
        <w:pStyle w:val="EndnoteText"/>
        <w:widowControl w:val="0"/>
        <w:rPr>
          <w:color w:val="000000"/>
          <w:szCs w:val="22"/>
          <w:lang w:val="fr-FR"/>
        </w:rPr>
      </w:pPr>
      <w:r w:rsidRPr="00961E0F">
        <w:rPr>
          <w:color w:val="000000"/>
          <w:szCs w:val="22"/>
          <w:lang w:val="fr-FR"/>
        </w:rPr>
        <w:t xml:space="preserve">Dans les 7 ans de suivi, 93 (16,8%) progressions ont été observées dans le bras traité par Glivec : 37 (6,7%) étaient des progressions vers une phase accélérée ou une crise blastique, 31 (5,6%) étaient une perte de la réponse cytogénétique majeure, 15 (2,7%) étaient une perte de la réponse hématologique complète ou une augmentation du taux de leucocytes et 10 (1,8%) étaient des décès non liés à </w:t>
      </w:r>
      <w:smartTag w:uri="urn:schemas-microsoft-com:office:smarttags" w:element="PersonName">
        <w:smartTagPr>
          <w:attr w:name="ProductID" w:val="la LMC. Par"/>
        </w:smartTagPr>
        <w:r w:rsidRPr="00961E0F">
          <w:rPr>
            <w:color w:val="000000"/>
            <w:szCs w:val="22"/>
            <w:lang w:val="fr-FR"/>
          </w:rPr>
          <w:t>la LMC. Par</w:t>
        </w:r>
      </w:smartTag>
      <w:r w:rsidRPr="00961E0F">
        <w:rPr>
          <w:color w:val="000000"/>
          <w:szCs w:val="22"/>
          <w:lang w:val="fr-FR"/>
        </w:rPr>
        <w:t xml:space="preserve"> opposition, dans le bras traité par l’IFN+Ara-C 165 (29,8%) événements ont été observés dont 130 sont apparus au cours du traitement en première ligne par IFN+Ara-C.</w:t>
      </w:r>
    </w:p>
    <w:p w14:paraId="1D47D33F" w14:textId="77777777" w:rsidR="007D642D" w:rsidRPr="00961E0F" w:rsidRDefault="007D642D">
      <w:pPr>
        <w:pStyle w:val="EndnoteText"/>
        <w:widowControl w:val="0"/>
        <w:rPr>
          <w:color w:val="000000"/>
          <w:szCs w:val="22"/>
          <w:lang w:val="fr-FR"/>
        </w:rPr>
      </w:pPr>
    </w:p>
    <w:p w14:paraId="677FD4F4" w14:textId="77777777" w:rsidR="007D642D" w:rsidRPr="00961E0F" w:rsidRDefault="007D642D">
      <w:pPr>
        <w:pStyle w:val="EndnoteText"/>
        <w:widowControl w:val="0"/>
        <w:rPr>
          <w:color w:val="000000"/>
          <w:szCs w:val="22"/>
          <w:lang w:val="fr-FR"/>
        </w:rPr>
      </w:pPr>
      <w:r w:rsidRPr="00961E0F">
        <w:rPr>
          <w:color w:val="000000"/>
          <w:szCs w:val="22"/>
          <w:lang w:val="fr-FR"/>
        </w:rPr>
        <w:t>Le taux estimé de patients sans progression vers une phase accélérée ou une crise blastique à 84 mois est significativement plus élevé dans le bras avec Glivec par rapport au bras IFN (92,5% versus 85,1%, p&lt;0,001). Le taux annuel de progression vers une phase accélérée ou une crise blastique a diminué avec la durée de traitement, il était de moins de 1% par an dans la quatrième et cinquième année de traitement. Le taux estimé de survie sans progression à 84 mois était de 81,2% avec Glivec, contre 60,6% dans le groupe témoin (p&lt;0,001). Les taux annuels de progression, quel que soit le type de progression, par année de traitement par Glivec ont aussi diminué avec le temps.</w:t>
      </w:r>
    </w:p>
    <w:p w14:paraId="2E196FE8" w14:textId="77777777" w:rsidR="007D642D" w:rsidRPr="00961E0F" w:rsidRDefault="007D642D">
      <w:pPr>
        <w:pStyle w:val="EndnoteText"/>
        <w:widowControl w:val="0"/>
        <w:rPr>
          <w:color w:val="000000"/>
          <w:szCs w:val="22"/>
          <w:lang w:val="fr-FR"/>
        </w:rPr>
      </w:pPr>
    </w:p>
    <w:p w14:paraId="20E6D3E7" w14:textId="77777777" w:rsidR="007D642D" w:rsidRPr="00961E0F" w:rsidRDefault="007D642D">
      <w:pPr>
        <w:pStyle w:val="EndnoteText"/>
        <w:widowControl w:val="0"/>
        <w:rPr>
          <w:color w:val="000000"/>
          <w:szCs w:val="22"/>
          <w:lang w:val="fr-FR"/>
        </w:rPr>
      </w:pPr>
      <w:r w:rsidRPr="00961E0F">
        <w:rPr>
          <w:color w:val="000000"/>
          <w:szCs w:val="22"/>
          <w:lang w:val="fr-FR"/>
        </w:rPr>
        <w:t xml:space="preserve">Il y a eu au total 71 (12,8%) et 85 (15,4%) décès rapportés respectivement dans les groupes Glivec et IFN+Ara-C. A 84 mois, le taux de survie globale estimé est, de 86,4% (83, 90) et 83,3% (80, 87) dans les groupes randomisés traités par Glivec ou IFN+Ara-C (p=0,073, test log rank). Ce critère « délai </w:t>
      </w:r>
      <w:r w:rsidRPr="00961E0F">
        <w:rPr>
          <w:color w:val="000000"/>
          <w:szCs w:val="22"/>
          <w:lang w:val="fr-FR"/>
        </w:rPr>
        <w:lastRenderedPageBreak/>
        <w:t xml:space="preserve">jusqu’à l’événement » est fortement influencé par le taux élevé de cross-over du bras IFN+Ara-C vers le bras Glivec. L’effet du traitement par Glivec sur la survie des LMC en phase chronique nouvellement diagnostiquées a fait l’objet d’une évaluation supplémentaire avec une analyse rétrospective des données de Glivec rapportées ci-dessus avec celles issues d’une autre étude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étudiant IFN+Ara-C (n=325) selon un schéma thérapeutique identique. Dans cette analyse rétrospective, la supériorité de Glivec par rapport à l’IFN+Ara-C sur la survie globale a été démontrée (p&lt;0,001) ; à l’issue des 42 mois de suivi, 47 (8,5%) patients traités par Glivec et 63 (19,4%) patients traités par l’IFN+Ara-C sont décédés.</w:t>
      </w:r>
    </w:p>
    <w:p w14:paraId="525BF65F" w14:textId="77777777" w:rsidR="007D642D" w:rsidRPr="00961E0F" w:rsidRDefault="007D642D">
      <w:pPr>
        <w:pStyle w:val="EndnoteText"/>
        <w:widowControl w:val="0"/>
        <w:rPr>
          <w:color w:val="000000"/>
          <w:szCs w:val="22"/>
          <w:lang w:val="fr-FR"/>
        </w:rPr>
      </w:pPr>
    </w:p>
    <w:p w14:paraId="2D076FDB" w14:textId="77777777" w:rsidR="007D642D" w:rsidRPr="00961E0F" w:rsidRDefault="007D642D">
      <w:pPr>
        <w:pStyle w:val="EndnoteText"/>
        <w:widowControl w:val="0"/>
        <w:rPr>
          <w:color w:val="000000"/>
          <w:szCs w:val="22"/>
          <w:lang w:val="fr-FR"/>
        </w:rPr>
      </w:pPr>
      <w:r w:rsidRPr="00961E0F">
        <w:rPr>
          <w:color w:val="000000"/>
          <w:szCs w:val="22"/>
          <w:lang w:val="fr-FR"/>
        </w:rPr>
        <w:t xml:space="preserve">Le degré de réponse cytogénétique et de réponse moléculaire a montré un effet net sur le devenir à long terme des patients traités par Glivec. Alors que 96% (93%) des patients présentant une RCy complète (RCy partielle) à 12 mois n’avaient pas progressé vers une phase accélérée/crise blastique, uniquement 81% de patients ne présentant pas de RCy majeure à 12 mois, n’ont pas progressé vers le stade avancé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à 84 mois (p&lt;0,001 globale, p=0,25 entre RCy complète et RCy partielle). Chez les patients présentant une réduction d’au moins 3 log du taux de transcrit Bcr-Abl à 12 mois la probabilité de maintenir l’absence de progression vers la phase accélérée/crise blastique était de 99% à 84 mois. Des résultats similaires ont été mis en évidence avec une analyse landmark à 18 mois.</w:t>
      </w:r>
    </w:p>
    <w:p w14:paraId="115AFA21" w14:textId="77777777" w:rsidR="007D642D" w:rsidRPr="00961E0F" w:rsidRDefault="007D642D">
      <w:pPr>
        <w:pStyle w:val="EndnoteText"/>
        <w:widowControl w:val="0"/>
        <w:rPr>
          <w:color w:val="000000"/>
          <w:szCs w:val="22"/>
          <w:lang w:val="fr-FR"/>
        </w:rPr>
      </w:pPr>
    </w:p>
    <w:p w14:paraId="6A3A8819" w14:textId="77777777" w:rsidR="007D642D" w:rsidRPr="00961E0F" w:rsidRDefault="007D642D">
      <w:pPr>
        <w:pStyle w:val="EndnoteText"/>
        <w:widowControl w:val="0"/>
        <w:rPr>
          <w:color w:val="000000"/>
          <w:szCs w:val="22"/>
          <w:lang w:val="fr-FR"/>
        </w:rPr>
      </w:pPr>
      <w:r w:rsidRPr="00961E0F">
        <w:rPr>
          <w:color w:val="000000"/>
          <w:szCs w:val="22"/>
          <w:lang w:val="fr-FR"/>
        </w:rPr>
        <w:t>Dans cette étude, des augmentations de dose de 400 mg à 600 mg par jour, puis de 600 mg à 800 mg par jour ont été autorisées. Après 42 mois de suivi, une perte confirmée (dans les 4 semaines) de la réponse cytogénétique a été observée chez 11 patients. Parmi ces 11 patients, 4 patients ont eu une augmentation de dose jusqu’à 800 mg par jour et 2 d’entre eux ont obtenu de nouveau une réponse cytogénétique (1 partielle et 1 complète, cette dernière associée à une réponse moléculaire), tandis que parmi les 7 patients qui n’ont pas eu d’augmentation de doses, un seul patient a présenté de nouveau une réponse cytogénétique complète. Le pourcentage de certains effets indésirables observés était plus élevé chez les 40 patients dont la dose a été augmentée jusqu’à 800 mg par rapport aux patients observés avant toute augmentation de la dose (n=551). Les effets indésirables les plus fréquents ont été des hémorragies gastrointestinales, des conjonctivites et une augmentation des transaminases ou de la bilirubine. D’autres effets indésirables ont été rapportés à des fréquences plus faibles ou équivalentes.</w:t>
      </w:r>
    </w:p>
    <w:p w14:paraId="62840531" w14:textId="77777777" w:rsidR="007D642D" w:rsidRPr="00961E0F" w:rsidRDefault="007D642D">
      <w:pPr>
        <w:pStyle w:val="EndnoteText"/>
        <w:widowControl w:val="0"/>
        <w:tabs>
          <w:tab w:val="clear" w:pos="567"/>
        </w:tabs>
        <w:rPr>
          <w:color w:val="000000"/>
          <w:szCs w:val="22"/>
          <w:lang w:val="fr-FR"/>
        </w:rPr>
      </w:pPr>
    </w:p>
    <w:p w14:paraId="7DC80808"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 xml:space="preserve">Phase chronique, échec de l'interféron : </w:t>
      </w:r>
      <w:r w:rsidRPr="00961E0F">
        <w:rPr>
          <w:color w:val="000000"/>
          <w:szCs w:val="22"/>
          <w:lang w:val="fr-FR"/>
        </w:rPr>
        <w:t xml:space="preserve">532 patients adultes ont été traités avec une dose initiale de 400 mg. Les patients ont été répartis en trois catégories principales : échec hématologique (29%), échec cytogénétique (35%) ou intolérance à l'interféron (36%). Les patients avaient précédemment reçu un traitement par l’IFN à des doses </w:t>
      </w:r>
      <w:r w:rsidRPr="00961E0F">
        <w:rPr>
          <w:color w:val="000000"/>
          <w:szCs w:val="22"/>
          <w:lang w:val="fr-FR"/>
        </w:rPr>
        <w:sym w:font="Symbol" w:char="F0B3"/>
      </w:r>
      <w:r w:rsidRPr="00961E0F">
        <w:rPr>
          <w:color w:val="000000"/>
          <w:szCs w:val="22"/>
          <w:lang w:val="fr-FR"/>
        </w:rPr>
        <w:t> 25 x 10</w:t>
      </w:r>
      <w:r w:rsidRPr="00961E0F">
        <w:rPr>
          <w:color w:val="000000"/>
          <w:szCs w:val="22"/>
          <w:vertAlign w:val="superscript"/>
          <w:lang w:val="fr-FR"/>
        </w:rPr>
        <w:t>6</w:t>
      </w:r>
      <w:r w:rsidRPr="00961E0F">
        <w:rPr>
          <w:color w:val="000000"/>
          <w:szCs w:val="22"/>
          <w:lang w:val="fr-FR"/>
        </w:rPr>
        <w:t xml:space="preserve"> UI/semaine pendant une durée médiane de 14 mois et étaient tous en phase chronique tardive, avec un diagnostic établi depuis une durée médiane de 32 mois. Le critère principal d'efficacité de l'étude était le taux de réponse cytogénétique majeure (réponses complètes plus réponses partielles : 0 à 35% de métaphases Ph+ dans la moelle osseuse).</w:t>
      </w:r>
    </w:p>
    <w:p w14:paraId="7DE915EF" w14:textId="77777777" w:rsidR="007D642D" w:rsidRPr="00961E0F" w:rsidRDefault="007D642D">
      <w:pPr>
        <w:pStyle w:val="EndnoteText"/>
        <w:widowControl w:val="0"/>
        <w:tabs>
          <w:tab w:val="clear" w:pos="567"/>
        </w:tabs>
        <w:rPr>
          <w:color w:val="000000"/>
          <w:szCs w:val="22"/>
          <w:lang w:val="fr-FR"/>
        </w:rPr>
      </w:pPr>
    </w:p>
    <w:p w14:paraId="71FB7BE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Dans cette étude, 65% des patients ont obtenu une réponse cytogénétique majeure, la réponse étant complète chez 53% (confirmée 43%) des patients (Tableau </w:t>
      </w:r>
      <w:r w:rsidR="00C0508D" w:rsidRPr="00961E0F">
        <w:rPr>
          <w:color w:val="000000"/>
          <w:szCs w:val="22"/>
          <w:lang w:val="fr-FR"/>
        </w:rPr>
        <w:t>3</w:t>
      </w:r>
      <w:r w:rsidRPr="00961E0F">
        <w:rPr>
          <w:color w:val="000000"/>
          <w:szCs w:val="22"/>
          <w:lang w:val="fr-FR"/>
        </w:rPr>
        <w:t>). Une réponse complète hématologique a été observée chez 95% des patients.</w:t>
      </w:r>
    </w:p>
    <w:p w14:paraId="57CDB738" w14:textId="77777777" w:rsidR="007D642D" w:rsidRPr="00961E0F" w:rsidRDefault="007D642D">
      <w:pPr>
        <w:pStyle w:val="EndnoteText"/>
        <w:widowControl w:val="0"/>
        <w:tabs>
          <w:tab w:val="clear" w:pos="567"/>
        </w:tabs>
        <w:rPr>
          <w:color w:val="000000"/>
          <w:szCs w:val="22"/>
          <w:lang w:val="fr-FR"/>
        </w:rPr>
      </w:pPr>
    </w:p>
    <w:p w14:paraId="09FAB8E3"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Phase accélérée </w:t>
      </w:r>
      <w:r w:rsidRPr="00961E0F">
        <w:rPr>
          <w:color w:val="000000"/>
          <w:szCs w:val="22"/>
          <w:lang w:val="fr-FR"/>
        </w:rPr>
        <w:t>: L'étude a inclus 235 patients adultes en phase accélérée. Les 77 premiers patients ont commencé le traitement à 400 mg. Par la suite, le protocole a été amendé pour autoriser une posologie plus élevée et les 158 patients suivants ont commencé le traitement à 600 mg.</w:t>
      </w:r>
    </w:p>
    <w:p w14:paraId="72939243" w14:textId="77777777" w:rsidR="007D642D" w:rsidRPr="00961E0F" w:rsidRDefault="007D642D">
      <w:pPr>
        <w:pStyle w:val="EndnoteText"/>
        <w:widowControl w:val="0"/>
        <w:tabs>
          <w:tab w:val="clear" w:pos="567"/>
        </w:tabs>
        <w:rPr>
          <w:color w:val="000000"/>
          <w:szCs w:val="22"/>
          <w:lang w:val="fr-FR"/>
        </w:rPr>
      </w:pPr>
    </w:p>
    <w:p w14:paraId="225EFE3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 critère principal d'efficacité était le taux de réponse hématologique, défini comme une réponse complète hématologique, ou bien une disparition des signes de leucémie (c’est à dire : disparition des blastes de la moelle osseuse et du sang, mais sans la récupération hématologique périphérique totale observée dans le cas de réponse complète), ou encore un retour en phase chronique de </w:t>
      </w:r>
      <w:smartTag w:uri="urn:schemas-microsoft-com:office:smarttags" w:element="PersonName">
        <w:smartTagPr>
          <w:attr w:name="ProductID" w:val="la LMC. Une"/>
        </w:smartTagPr>
        <w:r w:rsidRPr="00961E0F">
          <w:rPr>
            <w:color w:val="000000"/>
            <w:szCs w:val="22"/>
            <w:lang w:val="fr-FR"/>
          </w:rPr>
          <w:t>la LMC. Une</w:t>
        </w:r>
      </w:smartTag>
      <w:r w:rsidRPr="00961E0F">
        <w:rPr>
          <w:color w:val="000000"/>
          <w:szCs w:val="22"/>
          <w:lang w:val="fr-FR"/>
        </w:rPr>
        <w:t xml:space="preserve"> réponse hématologique confirmée a été obtenue chez 71,5% des patients (Tableau </w:t>
      </w:r>
      <w:r w:rsidR="00C0508D" w:rsidRPr="00961E0F">
        <w:rPr>
          <w:color w:val="000000"/>
          <w:szCs w:val="22"/>
          <w:lang w:val="fr-FR"/>
        </w:rPr>
        <w:t>3</w:t>
      </w:r>
      <w:r w:rsidRPr="00961E0F">
        <w:rPr>
          <w:color w:val="000000"/>
          <w:szCs w:val="22"/>
          <w:lang w:val="fr-FR"/>
        </w:rPr>
        <w:t>). Fait important, 27,7% des patients ont également présenté une réponse cytogénétique majeure, qui a été complète chez 20,4% des patients (confirmée 16%). Pour les patients ayant reçu une dose de 600 mg, les estimations actuelles de la médiane de survie sans progression et de la survie globale ont été de 22,9 mois et 42,5 mois respectivement.</w:t>
      </w:r>
    </w:p>
    <w:p w14:paraId="314B50C8" w14:textId="77777777" w:rsidR="007D642D" w:rsidRPr="00961E0F" w:rsidRDefault="007D642D">
      <w:pPr>
        <w:pStyle w:val="EndnoteText"/>
        <w:widowControl w:val="0"/>
        <w:tabs>
          <w:tab w:val="clear" w:pos="567"/>
        </w:tabs>
        <w:rPr>
          <w:color w:val="000000"/>
          <w:szCs w:val="22"/>
          <w:lang w:val="fr-FR"/>
        </w:rPr>
      </w:pPr>
    </w:p>
    <w:p w14:paraId="3166E977"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Crise blastique myéloïde :</w:t>
      </w:r>
      <w:r w:rsidRPr="00961E0F">
        <w:rPr>
          <w:color w:val="000000"/>
          <w:szCs w:val="22"/>
          <w:lang w:val="fr-FR"/>
        </w:rPr>
        <w:t xml:space="preserve"> 260 patients en crise blastique myéloïde ont été inclus. 95 patients (37%) </w:t>
      </w:r>
      <w:r w:rsidRPr="00961E0F">
        <w:rPr>
          <w:color w:val="000000"/>
          <w:szCs w:val="22"/>
          <w:lang w:val="fr-FR"/>
        </w:rPr>
        <w:lastRenderedPageBreak/>
        <w:t>avaient reçu une chimiothérapie (« patients prétraités ») comme traitement antérieur d’une phase accélérée ou d’une crise blastique alors que 165 (63%) n'en avaient pas reçu (« patients non prétraités »). Les 37 premiers patients ont débuté le traitement à 400 mg. Le protocole a ensuite été amendé pour permettre une posologie plus élevée, et les 223 patients suivants ont reçu une dose initiale de 600 mg.</w:t>
      </w:r>
    </w:p>
    <w:p w14:paraId="541747C8" w14:textId="77777777" w:rsidR="007D642D" w:rsidRPr="00961E0F" w:rsidRDefault="007D642D">
      <w:pPr>
        <w:pStyle w:val="EndnoteText"/>
        <w:widowControl w:val="0"/>
        <w:tabs>
          <w:tab w:val="clear" w:pos="567"/>
        </w:tabs>
        <w:rPr>
          <w:color w:val="000000"/>
          <w:szCs w:val="22"/>
          <w:lang w:val="fr-FR"/>
        </w:rPr>
      </w:pPr>
    </w:p>
    <w:p w14:paraId="1C299D6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 critère principal d'efficacité était le taux de réponse hématologique, défini comme soit une réponse complète hématologique, soit une disparition des signes de leucémie, soit un retour en phase chronique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selon les mêmes critères que ceux de l’étude menée chez des patients en phase accélérée. Dans cette étude, 31% des patients ont obtenu une réponse hématologique (36% chez les patients non prétraités et 22% chez les patients prétraités). Le taux de réponse a également été supérieur chez les patients traités par 600 mg (33%) par rapport aux patients traités par 400 mg (16%, p=0,0220). L'estimation actuelle de la médiane de survie des patients non prétraités est de 7,7 mois, contre 4,7 mois chez les patients prétraités.</w:t>
      </w:r>
    </w:p>
    <w:p w14:paraId="038902F1" w14:textId="77777777" w:rsidR="007D642D" w:rsidRPr="00961E0F" w:rsidRDefault="007D642D">
      <w:pPr>
        <w:pStyle w:val="EndnoteText"/>
        <w:widowControl w:val="0"/>
        <w:tabs>
          <w:tab w:val="clear" w:pos="567"/>
        </w:tabs>
        <w:rPr>
          <w:color w:val="000000"/>
          <w:szCs w:val="22"/>
          <w:lang w:val="fr-FR"/>
        </w:rPr>
      </w:pPr>
    </w:p>
    <w:p w14:paraId="3A428EB3"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Crise blastique lymphoïde</w:t>
      </w:r>
      <w:r w:rsidRPr="00961E0F">
        <w:rPr>
          <w:color w:val="000000"/>
          <w:szCs w:val="22"/>
          <w:lang w:val="fr-FR"/>
        </w:rPr>
        <w:t> : un nombre limité de patients ont été inclus dans les études de phase I (n=10). Le taux de réponse hématologique était de 70% sur une durée de 2 à 3 mois.</w:t>
      </w:r>
    </w:p>
    <w:p w14:paraId="266936E1" w14:textId="77777777" w:rsidR="007D642D" w:rsidRPr="00961E0F" w:rsidRDefault="007D642D">
      <w:pPr>
        <w:pStyle w:val="EndnoteText"/>
        <w:widowControl w:val="0"/>
        <w:tabs>
          <w:tab w:val="clear" w:pos="567"/>
        </w:tabs>
        <w:rPr>
          <w:color w:val="000000"/>
          <w:szCs w:val="22"/>
          <w:lang w:val="fr-FR"/>
        </w:rPr>
      </w:pPr>
    </w:p>
    <w:p w14:paraId="2D6B2504" w14:textId="77777777" w:rsidR="007D642D" w:rsidRPr="00961E0F" w:rsidRDefault="007D642D" w:rsidP="00B15424">
      <w:pPr>
        <w:pStyle w:val="EndnoteText"/>
        <w:keepNext/>
        <w:widowControl w:val="0"/>
        <w:tabs>
          <w:tab w:val="clear" w:pos="567"/>
        </w:tabs>
        <w:ind w:left="1134" w:hanging="1134"/>
        <w:rPr>
          <w:b/>
          <w:color w:val="000000"/>
          <w:szCs w:val="22"/>
          <w:lang w:val="fr-FR"/>
        </w:rPr>
      </w:pPr>
      <w:r w:rsidRPr="00961E0F">
        <w:rPr>
          <w:b/>
          <w:color w:val="000000"/>
          <w:szCs w:val="22"/>
          <w:lang w:val="fr-FR"/>
        </w:rPr>
        <w:t>Tableau </w:t>
      </w:r>
      <w:r w:rsidR="00C0508D" w:rsidRPr="00961E0F">
        <w:rPr>
          <w:b/>
          <w:color w:val="000000"/>
          <w:szCs w:val="22"/>
          <w:lang w:val="fr-FR"/>
        </w:rPr>
        <w:t>3</w:t>
      </w:r>
      <w:r w:rsidRPr="00961E0F">
        <w:rPr>
          <w:b/>
          <w:color w:val="000000"/>
          <w:szCs w:val="22"/>
          <w:lang w:val="fr-FR"/>
        </w:rPr>
        <w:tab/>
        <w:t>Réponses dans les études LMC chez l’adulte</w:t>
      </w:r>
    </w:p>
    <w:p w14:paraId="0277C4AD" w14:textId="77777777" w:rsidR="007D642D" w:rsidRPr="00961E0F" w:rsidRDefault="007D642D" w:rsidP="00B15424">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7D642D" w:rsidRPr="00961E0F" w14:paraId="4DA871F2" w14:textId="77777777" w:rsidTr="00B15424">
        <w:trPr>
          <w:cantSplit/>
          <w:trHeight w:val="1086"/>
        </w:trPr>
        <w:tc>
          <w:tcPr>
            <w:tcW w:w="3227" w:type="dxa"/>
            <w:tcBorders>
              <w:bottom w:val="nil"/>
            </w:tcBorders>
          </w:tcPr>
          <w:p w14:paraId="47C0D97E" w14:textId="77777777" w:rsidR="007D642D" w:rsidRPr="00961E0F" w:rsidRDefault="007D642D" w:rsidP="00B15424">
            <w:pPr>
              <w:pStyle w:val="EndnoteText"/>
              <w:keepNext/>
              <w:widowControl w:val="0"/>
              <w:tabs>
                <w:tab w:val="clear" w:pos="567"/>
              </w:tabs>
              <w:rPr>
                <w:color w:val="000000"/>
                <w:szCs w:val="22"/>
                <w:lang w:val="fr-FR"/>
              </w:rPr>
            </w:pPr>
          </w:p>
        </w:tc>
        <w:tc>
          <w:tcPr>
            <w:tcW w:w="1898" w:type="dxa"/>
            <w:tcBorders>
              <w:bottom w:val="nil"/>
            </w:tcBorders>
          </w:tcPr>
          <w:p w14:paraId="4C649CE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Etude 0110</w:t>
            </w:r>
          </w:p>
          <w:p w14:paraId="4AE42A80"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Données à 37 mois</w:t>
            </w:r>
          </w:p>
          <w:p w14:paraId="2E3F4F83"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Phase chronique, échec IFN</w:t>
            </w:r>
          </w:p>
          <w:p w14:paraId="4DDA145A"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(n=532)</w:t>
            </w:r>
          </w:p>
        </w:tc>
        <w:tc>
          <w:tcPr>
            <w:tcW w:w="1985" w:type="dxa"/>
            <w:tcBorders>
              <w:bottom w:val="nil"/>
            </w:tcBorders>
          </w:tcPr>
          <w:p w14:paraId="424BB0A3"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Etude 0109</w:t>
            </w:r>
          </w:p>
          <w:p w14:paraId="6CC4454A"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Données à 40,5 mois</w:t>
            </w:r>
          </w:p>
          <w:p w14:paraId="40A30D30"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Phase accélérée</w:t>
            </w:r>
          </w:p>
          <w:p w14:paraId="4A3DB41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(n=235)</w:t>
            </w:r>
          </w:p>
        </w:tc>
        <w:tc>
          <w:tcPr>
            <w:tcW w:w="1929" w:type="dxa"/>
            <w:tcBorders>
              <w:bottom w:val="nil"/>
            </w:tcBorders>
          </w:tcPr>
          <w:p w14:paraId="3C32C566"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Etude 0102</w:t>
            </w:r>
          </w:p>
          <w:p w14:paraId="02CBBB3E"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Données à 38 mois</w:t>
            </w:r>
          </w:p>
          <w:p w14:paraId="5CDADD30"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Crise blastique myéloïde</w:t>
            </w:r>
          </w:p>
          <w:p w14:paraId="536465F6"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(n=260)</w:t>
            </w:r>
          </w:p>
        </w:tc>
      </w:tr>
      <w:tr w:rsidR="007D642D" w:rsidRPr="00961E0F" w14:paraId="785066FE" w14:textId="77777777" w:rsidTr="00B15424">
        <w:trPr>
          <w:cantSplit/>
        </w:trPr>
        <w:tc>
          <w:tcPr>
            <w:tcW w:w="3227" w:type="dxa"/>
            <w:tcBorders>
              <w:bottom w:val="nil"/>
            </w:tcBorders>
          </w:tcPr>
          <w:p w14:paraId="52283A1D" w14:textId="77777777" w:rsidR="007D642D" w:rsidRPr="00961E0F" w:rsidRDefault="007D642D" w:rsidP="00B15424">
            <w:pPr>
              <w:pStyle w:val="EndnoteText"/>
              <w:keepNext/>
              <w:widowControl w:val="0"/>
              <w:tabs>
                <w:tab w:val="clear" w:pos="567"/>
              </w:tabs>
              <w:rPr>
                <w:color w:val="000000"/>
                <w:szCs w:val="22"/>
                <w:lang w:val="fr-FR"/>
              </w:rPr>
            </w:pPr>
          </w:p>
        </w:tc>
        <w:tc>
          <w:tcPr>
            <w:tcW w:w="5812" w:type="dxa"/>
            <w:gridSpan w:val="3"/>
            <w:tcBorders>
              <w:bottom w:val="nil"/>
            </w:tcBorders>
          </w:tcPr>
          <w:p w14:paraId="6C4A4545"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 des patients (IC 95%)</w:t>
            </w:r>
          </w:p>
        </w:tc>
      </w:tr>
      <w:tr w:rsidR="007D642D" w:rsidRPr="00961E0F" w14:paraId="720E7627" w14:textId="77777777" w:rsidTr="00B15424">
        <w:trPr>
          <w:cantSplit/>
        </w:trPr>
        <w:tc>
          <w:tcPr>
            <w:tcW w:w="3227" w:type="dxa"/>
            <w:tcBorders>
              <w:bottom w:val="nil"/>
            </w:tcBorders>
          </w:tcPr>
          <w:p w14:paraId="3F8C1316"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Réponse hématologique</w:t>
            </w:r>
            <w:r w:rsidRPr="00961E0F">
              <w:rPr>
                <w:color w:val="000000"/>
                <w:szCs w:val="22"/>
                <w:vertAlign w:val="superscript"/>
                <w:lang w:val="fr-FR"/>
              </w:rPr>
              <w:t>1</w:t>
            </w:r>
          </w:p>
        </w:tc>
        <w:tc>
          <w:tcPr>
            <w:tcW w:w="1898" w:type="dxa"/>
            <w:tcBorders>
              <w:bottom w:val="nil"/>
            </w:tcBorders>
          </w:tcPr>
          <w:p w14:paraId="7BC513B9"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95% (92,3–96,3)</w:t>
            </w:r>
          </w:p>
        </w:tc>
        <w:tc>
          <w:tcPr>
            <w:tcW w:w="1985" w:type="dxa"/>
            <w:tcBorders>
              <w:bottom w:val="nil"/>
            </w:tcBorders>
          </w:tcPr>
          <w:p w14:paraId="52928D2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71% (65,3–77,2)</w:t>
            </w:r>
          </w:p>
        </w:tc>
        <w:tc>
          <w:tcPr>
            <w:tcW w:w="1929" w:type="dxa"/>
            <w:tcBorders>
              <w:bottom w:val="nil"/>
            </w:tcBorders>
          </w:tcPr>
          <w:p w14:paraId="5B3DEF34"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31%(25,2–36,8)</w:t>
            </w:r>
          </w:p>
        </w:tc>
      </w:tr>
      <w:tr w:rsidR="007D642D" w:rsidRPr="00961E0F" w14:paraId="03B0FFCC" w14:textId="77777777" w:rsidTr="00B15424">
        <w:trPr>
          <w:cantSplit/>
        </w:trPr>
        <w:tc>
          <w:tcPr>
            <w:tcW w:w="3227" w:type="dxa"/>
            <w:tcBorders>
              <w:top w:val="nil"/>
              <w:bottom w:val="nil"/>
            </w:tcBorders>
          </w:tcPr>
          <w:p w14:paraId="2FD7B553"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Réponse complète hématologique (RCH)</w:t>
            </w:r>
          </w:p>
        </w:tc>
        <w:tc>
          <w:tcPr>
            <w:tcW w:w="1898" w:type="dxa"/>
            <w:tcBorders>
              <w:top w:val="nil"/>
              <w:bottom w:val="nil"/>
            </w:tcBorders>
          </w:tcPr>
          <w:p w14:paraId="0153EE13"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95%</w:t>
            </w:r>
          </w:p>
        </w:tc>
        <w:tc>
          <w:tcPr>
            <w:tcW w:w="1985" w:type="dxa"/>
            <w:tcBorders>
              <w:top w:val="nil"/>
              <w:bottom w:val="nil"/>
            </w:tcBorders>
          </w:tcPr>
          <w:p w14:paraId="0BE0F5DE"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42%</w:t>
            </w:r>
          </w:p>
        </w:tc>
        <w:tc>
          <w:tcPr>
            <w:tcW w:w="1929" w:type="dxa"/>
            <w:tcBorders>
              <w:top w:val="nil"/>
              <w:bottom w:val="nil"/>
            </w:tcBorders>
          </w:tcPr>
          <w:p w14:paraId="50450A82"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8%</w:t>
            </w:r>
          </w:p>
        </w:tc>
      </w:tr>
      <w:tr w:rsidR="007D642D" w:rsidRPr="00961E0F" w14:paraId="6B6832A8" w14:textId="77777777" w:rsidTr="00B15424">
        <w:trPr>
          <w:cantSplit/>
        </w:trPr>
        <w:tc>
          <w:tcPr>
            <w:tcW w:w="3227" w:type="dxa"/>
            <w:tcBorders>
              <w:top w:val="nil"/>
              <w:bottom w:val="nil"/>
            </w:tcBorders>
          </w:tcPr>
          <w:p w14:paraId="3851F9BF"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Absence de signe de leucémie (</w:t>
            </w:r>
            <w:smartTag w:uri="urn:schemas-microsoft-com:office:smarttags" w:element="stockticker">
              <w:r w:rsidRPr="00961E0F">
                <w:rPr>
                  <w:color w:val="000000"/>
                  <w:szCs w:val="22"/>
                  <w:lang w:val="fr-FR"/>
                </w:rPr>
                <w:t>ASL</w:t>
              </w:r>
            </w:smartTag>
            <w:r w:rsidRPr="00961E0F">
              <w:rPr>
                <w:color w:val="000000"/>
                <w:szCs w:val="22"/>
                <w:lang w:val="fr-FR"/>
              </w:rPr>
              <w:t>)</w:t>
            </w:r>
          </w:p>
        </w:tc>
        <w:tc>
          <w:tcPr>
            <w:tcW w:w="1898" w:type="dxa"/>
            <w:tcBorders>
              <w:top w:val="nil"/>
              <w:bottom w:val="nil"/>
            </w:tcBorders>
          </w:tcPr>
          <w:p w14:paraId="3BE6D68D"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Sans objet</w:t>
            </w:r>
          </w:p>
        </w:tc>
        <w:tc>
          <w:tcPr>
            <w:tcW w:w="1985" w:type="dxa"/>
            <w:tcBorders>
              <w:top w:val="nil"/>
              <w:bottom w:val="nil"/>
            </w:tcBorders>
          </w:tcPr>
          <w:p w14:paraId="21C1A19C"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12%</w:t>
            </w:r>
          </w:p>
        </w:tc>
        <w:tc>
          <w:tcPr>
            <w:tcW w:w="1929" w:type="dxa"/>
            <w:tcBorders>
              <w:top w:val="nil"/>
              <w:bottom w:val="nil"/>
            </w:tcBorders>
          </w:tcPr>
          <w:p w14:paraId="1C61B4F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5%</w:t>
            </w:r>
          </w:p>
        </w:tc>
      </w:tr>
      <w:tr w:rsidR="007D642D" w:rsidRPr="00961E0F" w14:paraId="3C122EFE" w14:textId="77777777" w:rsidTr="00B15424">
        <w:trPr>
          <w:cantSplit/>
          <w:trHeight w:val="618"/>
        </w:trPr>
        <w:tc>
          <w:tcPr>
            <w:tcW w:w="3227" w:type="dxa"/>
            <w:tcBorders>
              <w:top w:val="nil"/>
              <w:bottom w:val="nil"/>
            </w:tcBorders>
          </w:tcPr>
          <w:p w14:paraId="176C4973"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Retour à la phase chronique (RPC)</w:t>
            </w:r>
          </w:p>
        </w:tc>
        <w:tc>
          <w:tcPr>
            <w:tcW w:w="1898" w:type="dxa"/>
            <w:tcBorders>
              <w:top w:val="nil"/>
              <w:bottom w:val="nil"/>
            </w:tcBorders>
          </w:tcPr>
          <w:p w14:paraId="304A825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Sans objet</w:t>
            </w:r>
          </w:p>
        </w:tc>
        <w:tc>
          <w:tcPr>
            <w:tcW w:w="1985" w:type="dxa"/>
            <w:tcBorders>
              <w:top w:val="nil"/>
              <w:bottom w:val="nil"/>
            </w:tcBorders>
          </w:tcPr>
          <w:p w14:paraId="35771AF9"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17%</w:t>
            </w:r>
          </w:p>
        </w:tc>
        <w:tc>
          <w:tcPr>
            <w:tcW w:w="1929" w:type="dxa"/>
            <w:tcBorders>
              <w:top w:val="nil"/>
              <w:bottom w:val="nil"/>
            </w:tcBorders>
          </w:tcPr>
          <w:p w14:paraId="3552945B"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18%</w:t>
            </w:r>
          </w:p>
        </w:tc>
      </w:tr>
      <w:tr w:rsidR="007D642D" w:rsidRPr="00961E0F" w14:paraId="4CC95B3D" w14:textId="77777777" w:rsidTr="00B15424">
        <w:trPr>
          <w:cantSplit/>
        </w:trPr>
        <w:tc>
          <w:tcPr>
            <w:tcW w:w="3227" w:type="dxa"/>
            <w:tcBorders>
              <w:bottom w:val="nil"/>
            </w:tcBorders>
          </w:tcPr>
          <w:p w14:paraId="20A18823" w14:textId="77777777" w:rsidR="007D642D" w:rsidRPr="00961E0F" w:rsidRDefault="007D642D" w:rsidP="00B15424">
            <w:pPr>
              <w:pStyle w:val="EndnoteText"/>
              <w:keepNext/>
              <w:widowControl w:val="0"/>
              <w:tabs>
                <w:tab w:val="clear" w:pos="567"/>
              </w:tabs>
              <w:rPr>
                <w:color w:val="000000"/>
                <w:szCs w:val="22"/>
                <w:lang w:val="fr-FR"/>
              </w:rPr>
            </w:pPr>
            <w:r w:rsidRPr="00961E0F">
              <w:rPr>
                <w:color w:val="000000"/>
                <w:szCs w:val="22"/>
                <w:lang w:val="fr-FR"/>
              </w:rPr>
              <w:t>Réponse cytogénétique majeure</w:t>
            </w:r>
            <w:r w:rsidRPr="00961E0F">
              <w:rPr>
                <w:color w:val="000000"/>
                <w:szCs w:val="22"/>
                <w:vertAlign w:val="superscript"/>
                <w:lang w:val="fr-FR"/>
              </w:rPr>
              <w:t>2</w:t>
            </w:r>
          </w:p>
        </w:tc>
        <w:tc>
          <w:tcPr>
            <w:tcW w:w="1898" w:type="dxa"/>
            <w:tcBorders>
              <w:bottom w:val="nil"/>
            </w:tcBorders>
          </w:tcPr>
          <w:p w14:paraId="6FF07397"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65% (61,2–69,5)</w:t>
            </w:r>
          </w:p>
        </w:tc>
        <w:tc>
          <w:tcPr>
            <w:tcW w:w="1985" w:type="dxa"/>
            <w:tcBorders>
              <w:bottom w:val="nil"/>
            </w:tcBorders>
          </w:tcPr>
          <w:p w14:paraId="768F4FA1"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28%(22,0–33,9)</w:t>
            </w:r>
          </w:p>
        </w:tc>
        <w:tc>
          <w:tcPr>
            <w:tcW w:w="1929" w:type="dxa"/>
            <w:tcBorders>
              <w:bottom w:val="nil"/>
            </w:tcBorders>
          </w:tcPr>
          <w:p w14:paraId="72EEC35A"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15%(11,2–20,4)</w:t>
            </w:r>
          </w:p>
        </w:tc>
      </w:tr>
      <w:tr w:rsidR="007D642D" w:rsidRPr="00961E0F" w14:paraId="7775FD22" w14:textId="77777777" w:rsidTr="00B15424">
        <w:trPr>
          <w:cantSplit/>
        </w:trPr>
        <w:tc>
          <w:tcPr>
            <w:tcW w:w="3227" w:type="dxa"/>
            <w:tcBorders>
              <w:top w:val="nil"/>
              <w:bottom w:val="nil"/>
            </w:tcBorders>
          </w:tcPr>
          <w:p w14:paraId="63BE23A0"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Complète</w:t>
            </w:r>
          </w:p>
        </w:tc>
        <w:tc>
          <w:tcPr>
            <w:tcW w:w="1898" w:type="dxa"/>
            <w:tcBorders>
              <w:top w:val="nil"/>
              <w:bottom w:val="nil"/>
            </w:tcBorders>
          </w:tcPr>
          <w:p w14:paraId="1069A39E"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53%</w:t>
            </w:r>
          </w:p>
        </w:tc>
        <w:tc>
          <w:tcPr>
            <w:tcW w:w="1985" w:type="dxa"/>
            <w:tcBorders>
              <w:top w:val="nil"/>
              <w:bottom w:val="nil"/>
            </w:tcBorders>
          </w:tcPr>
          <w:p w14:paraId="3FB6ACDB"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20%</w:t>
            </w:r>
          </w:p>
        </w:tc>
        <w:tc>
          <w:tcPr>
            <w:tcW w:w="1929" w:type="dxa"/>
            <w:tcBorders>
              <w:top w:val="nil"/>
              <w:bottom w:val="nil"/>
            </w:tcBorders>
          </w:tcPr>
          <w:p w14:paraId="5E1219D6"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7%</w:t>
            </w:r>
          </w:p>
        </w:tc>
      </w:tr>
      <w:tr w:rsidR="007D642D" w:rsidRPr="00961E0F" w14:paraId="55EDE540" w14:textId="77777777" w:rsidTr="00B15424">
        <w:trPr>
          <w:cantSplit/>
        </w:trPr>
        <w:tc>
          <w:tcPr>
            <w:tcW w:w="3227" w:type="dxa"/>
            <w:tcBorders>
              <w:top w:val="nil"/>
              <w:bottom w:val="nil"/>
            </w:tcBorders>
          </w:tcPr>
          <w:p w14:paraId="047CEBC1"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(Confirmée</w:t>
            </w:r>
            <w:r w:rsidRPr="00961E0F">
              <w:rPr>
                <w:color w:val="000000"/>
                <w:szCs w:val="22"/>
                <w:vertAlign w:val="superscript"/>
                <w:lang w:val="fr-FR"/>
              </w:rPr>
              <w:t>3</w:t>
            </w:r>
            <w:r w:rsidRPr="00961E0F">
              <w:rPr>
                <w:color w:val="000000"/>
                <w:szCs w:val="22"/>
                <w:lang w:val="fr-FR"/>
              </w:rPr>
              <w:t>)( [IC 95%]</w:t>
            </w:r>
          </w:p>
        </w:tc>
        <w:tc>
          <w:tcPr>
            <w:tcW w:w="1898" w:type="dxa"/>
            <w:tcBorders>
              <w:top w:val="nil"/>
              <w:bottom w:val="nil"/>
            </w:tcBorders>
          </w:tcPr>
          <w:p w14:paraId="476CFBE4"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(43%) [38,6–47,2]</w:t>
            </w:r>
          </w:p>
        </w:tc>
        <w:tc>
          <w:tcPr>
            <w:tcW w:w="1985" w:type="dxa"/>
            <w:tcBorders>
              <w:top w:val="nil"/>
              <w:bottom w:val="nil"/>
            </w:tcBorders>
          </w:tcPr>
          <w:p w14:paraId="3B083D2F"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(16%) [11,3–21,0]</w:t>
            </w:r>
          </w:p>
        </w:tc>
        <w:tc>
          <w:tcPr>
            <w:tcW w:w="1929" w:type="dxa"/>
            <w:tcBorders>
              <w:top w:val="nil"/>
              <w:bottom w:val="nil"/>
            </w:tcBorders>
          </w:tcPr>
          <w:p w14:paraId="4620085E"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(2%) [0,6–4,4]</w:t>
            </w:r>
          </w:p>
        </w:tc>
      </w:tr>
      <w:tr w:rsidR="007D642D" w:rsidRPr="00961E0F" w14:paraId="2ED4F8AB" w14:textId="77777777" w:rsidTr="00B15424">
        <w:trPr>
          <w:cantSplit/>
        </w:trPr>
        <w:tc>
          <w:tcPr>
            <w:tcW w:w="3227" w:type="dxa"/>
            <w:tcBorders>
              <w:top w:val="nil"/>
              <w:bottom w:val="nil"/>
            </w:tcBorders>
          </w:tcPr>
          <w:p w14:paraId="22809FB2" w14:textId="77777777" w:rsidR="007D642D" w:rsidRPr="00961E0F" w:rsidRDefault="007D642D" w:rsidP="00B15424">
            <w:pPr>
              <w:pStyle w:val="EndnoteText"/>
              <w:keepNext/>
              <w:widowControl w:val="0"/>
              <w:tabs>
                <w:tab w:val="clear" w:pos="567"/>
              </w:tabs>
              <w:ind w:left="284"/>
              <w:rPr>
                <w:color w:val="000000"/>
                <w:szCs w:val="22"/>
                <w:lang w:val="fr-FR"/>
              </w:rPr>
            </w:pPr>
            <w:r w:rsidRPr="00961E0F">
              <w:rPr>
                <w:color w:val="000000"/>
                <w:szCs w:val="22"/>
                <w:lang w:val="fr-FR"/>
              </w:rPr>
              <w:t>Partielle</w:t>
            </w:r>
          </w:p>
        </w:tc>
        <w:tc>
          <w:tcPr>
            <w:tcW w:w="1898" w:type="dxa"/>
            <w:tcBorders>
              <w:top w:val="nil"/>
              <w:bottom w:val="nil"/>
            </w:tcBorders>
          </w:tcPr>
          <w:p w14:paraId="3B7B222B"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12%</w:t>
            </w:r>
          </w:p>
        </w:tc>
        <w:tc>
          <w:tcPr>
            <w:tcW w:w="1985" w:type="dxa"/>
            <w:tcBorders>
              <w:top w:val="nil"/>
              <w:bottom w:val="nil"/>
            </w:tcBorders>
          </w:tcPr>
          <w:p w14:paraId="7DDA8F6E"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7%</w:t>
            </w:r>
          </w:p>
        </w:tc>
        <w:tc>
          <w:tcPr>
            <w:tcW w:w="1929" w:type="dxa"/>
            <w:tcBorders>
              <w:top w:val="nil"/>
              <w:bottom w:val="nil"/>
            </w:tcBorders>
          </w:tcPr>
          <w:p w14:paraId="44BD5790" w14:textId="77777777" w:rsidR="007D642D" w:rsidRPr="00961E0F" w:rsidRDefault="007D642D" w:rsidP="00B15424">
            <w:pPr>
              <w:pStyle w:val="EndnoteText"/>
              <w:keepNext/>
              <w:widowControl w:val="0"/>
              <w:tabs>
                <w:tab w:val="clear" w:pos="567"/>
              </w:tabs>
              <w:jc w:val="center"/>
              <w:rPr>
                <w:color w:val="000000"/>
                <w:szCs w:val="22"/>
                <w:lang w:val="fr-FR"/>
              </w:rPr>
            </w:pPr>
            <w:r w:rsidRPr="00961E0F">
              <w:rPr>
                <w:color w:val="000000"/>
                <w:szCs w:val="22"/>
                <w:lang w:val="fr-FR"/>
              </w:rPr>
              <w:t>8%</w:t>
            </w:r>
          </w:p>
        </w:tc>
      </w:tr>
      <w:tr w:rsidR="007D642D" w:rsidRPr="00961E0F" w14:paraId="299C3C21" w14:textId="77777777" w:rsidTr="00B15424">
        <w:trPr>
          <w:cantSplit/>
        </w:trPr>
        <w:tc>
          <w:tcPr>
            <w:tcW w:w="9039" w:type="dxa"/>
            <w:gridSpan w:val="4"/>
            <w:tcBorders>
              <w:top w:val="single" w:sz="4" w:space="0" w:color="auto"/>
            </w:tcBorders>
          </w:tcPr>
          <w:p w14:paraId="3B548B4B" w14:textId="77777777" w:rsidR="007D642D" w:rsidRPr="00961E0F" w:rsidRDefault="007D642D">
            <w:pPr>
              <w:pStyle w:val="TableCarCarCarCarCarCarCarCarCar"/>
              <w:keepNext w:val="0"/>
              <w:keepLines w:val="0"/>
              <w:widowControl w:val="0"/>
              <w:tabs>
                <w:tab w:val="clear" w:pos="284"/>
              </w:tabs>
              <w:spacing w:before="0"/>
              <w:rPr>
                <w:rFonts w:ascii="Times New Roman" w:hAnsi="Times New Roman"/>
                <w:b/>
                <w:color w:val="000000"/>
                <w:szCs w:val="22"/>
                <w:lang w:val="fr-FR"/>
              </w:rPr>
            </w:pPr>
            <w:r w:rsidRPr="00961E0F">
              <w:rPr>
                <w:rFonts w:ascii="Times New Roman" w:hAnsi="Times New Roman"/>
                <w:color w:val="000000"/>
                <w:szCs w:val="22"/>
                <w:vertAlign w:val="superscript"/>
                <w:lang w:val="fr-FR"/>
              </w:rPr>
              <w:t>1</w:t>
            </w:r>
            <w:r w:rsidRPr="00961E0F">
              <w:rPr>
                <w:rFonts w:ascii="Times New Roman" w:hAnsi="Times New Roman"/>
                <w:b/>
                <w:color w:val="000000"/>
                <w:szCs w:val="22"/>
                <w:lang w:val="fr-FR"/>
              </w:rPr>
              <w:t>Critères de réponse hématologique (toutes les réponses étaient à confirmer après ≥ 4 semaines) :</w:t>
            </w:r>
          </w:p>
          <w:p w14:paraId="3570878D" w14:textId="77777777" w:rsidR="007D642D" w:rsidRPr="00961E0F" w:rsidRDefault="007D642D">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r w:rsidRPr="00961E0F">
              <w:rPr>
                <w:rFonts w:ascii="Times New Roman" w:hAnsi="Times New Roman"/>
                <w:color w:val="000000"/>
                <w:szCs w:val="22"/>
                <w:lang w:val="fr-FR"/>
              </w:rPr>
              <w:t>RCH</w:t>
            </w:r>
            <w:r w:rsidRPr="00961E0F">
              <w:rPr>
                <w:rFonts w:ascii="Times New Roman" w:hAnsi="Times New Roman"/>
                <w:color w:val="000000"/>
                <w:szCs w:val="22"/>
                <w:lang w:val="fr-FR"/>
              </w:rPr>
              <w:tab/>
              <w:t>Etude 0110 [GB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plaquettes &lt; 450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myélocytes+métamyélocytes &lt; 5% dans le sang, absence de cellules blastiques et de promyélocytes dans le sang, basophiles &lt; 20%, absence d'atteinte extramédullaire] ; dans les études 0102 et 0109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100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absence de cellules blastiques dans le sang, présence de blastes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&lt; 5%, absence d'atteinte extramédullaire]</w:t>
            </w:r>
          </w:p>
          <w:p w14:paraId="390CF4C1" w14:textId="77777777" w:rsidR="007D642D" w:rsidRPr="00961E0F" w:rsidRDefault="007D642D">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ASL</w:t>
              </w:r>
            </w:smartTag>
            <w:r w:rsidRPr="00961E0F">
              <w:rPr>
                <w:rFonts w:ascii="Times New Roman" w:hAnsi="Times New Roman"/>
                <w:color w:val="000000"/>
                <w:szCs w:val="22"/>
                <w:lang w:val="fr-FR"/>
              </w:rPr>
              <w:tab/>
              <w:t xml:space="preserve">Mêmes critères que pour RCH mais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20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(uniquement pour les études 0102 et 0109)</w:t>
            </w:r>
          </w:p>
          <w:p w14:paraId="4116635C" w14:textId="77777777" w:rsidR="007D642D" w:rsidRPr="00961E0F" w:rsidRDefault="007D642D">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r w:rsidRPr="00961E0F">
              <w:rPr>
                <w:rFonts w:ascii="Times New Roman" w:hAnsi="Times New Roman"/>
                <w:color w:val="000000"/>
                <w:szCs w:val="22"/>
                <w:lang w:val="fr-FR"/>
              </w:rPr>
              <w:t>RPC</w:t>
            </w:r>
            <w:r w:rsidRPr="00961E0F">
              <w:rPr>
                <w:rFonts w:ascii="Times New Roman" w:hAnsi="Times New Roman"/>
                <w:color w:val="000000"/>
                <w:szCs w:val="22"/>
                <w:lang w:val="fr-FR"/>
              </w:rPr>
              <w:tab/>
              <w:t xml:space="preserve">&lt; 15% de blastes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et le SP, &lt; 30% blastes+promyélocytes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et le SP, &lt; 20% basophiles dans le SP, absence d'atteinte extramédullaire en dehors de la rate et du foie (uniquement pour les études 0102 et 0109).</w:t>
            </w:r>
          </w:p>
          <w:p w14:paraId="12EE92B2" w14:textId="77777777" w:rsidR="007D642D" w:rsidRPr="00961E0F" w:rsidRDefault="007D642D">
            <w:pPr>
              <w:pStyle w:val="TableCarCarCarCarCarCarCarCarCar"/>
              <w:keepNext w:val="0"/>
              <w:keepLines w:val="0"/>
              <w:widowControl w:val="0"/>
              <w:tabs>
                <w:tab w:val="clear" w:pos="284"/>
              </w:tabs>
              <w:spacing w:before="0"/>
              <w:ind w:left="567" w:hanging="567"/>
              <w:rPr>
                <w:rFonts w:ascii="Times New Roman" w:hAnsi="Times New Roman"/>
                <w:color w:val="000000"/>
                <w:szCs w:val="22"/>
                <w:lang w:val="fr-FR"/>
              </w:rPr>
            </w:pPr>
            <w:r w:rsidRPr="00961E0F">
              <w:rPr>
                <w:rFonts w:ascii="Times New Roman" w:hAnsi="Times New Roman"/>
                <w:color w:val="000000"/>
                <w:szCs w:val="22"/>
                <w:lang w:val="fr-FR"/>
              </w:rPr>
              <w:t>MO = moelle osseuse, SP = sang périphérique</w:t>
            </w:r>
          </w:p>
          <w:p w14:paraId="657E7B12" w14:textId="77777777" w:rsidR="007D642D" w:rsidRPr="00961E0F" w:rsidRDefault="007D642D">
            <w:pPr>
              <w:pStyle w:val="TableCarCarCarCarCarCarCarCarCar"/>
              <w:keepNext w:val="0"/>
              <w:keepLines w:val="0"/>
              <w:widowControl w:val="0"/>
              <w:tabs>
                <w:tab w:val="clear" w:pos="284"/>
              </w:tabs>
              <w:spacing w:before="0"/>
              <w:rPr>
                <w:rFonts w:ascii="Times New Roman" w:hAnsi="Times New Roman"/>
                <w:color w:val="000000"/>
                <w:szCs w:val="22"/>
                <w:lang w:val="fr-FR"/>
              </w:rPr>
            </w:pPr>
            <w:r w:rsidRPr="00961E0F">
              <w:rPr>
                <w:rFonts w:ascii="Times New Roman" w:hAnsi="Times New Roman"/>
                <w:color w:val="000000"/>
                <w:szCs w:val="22"/>
                <w:vertAlign w:val="superscript"/>
                <w:lang w:val="fr-FR"/>
              </w:rPr>
              <w:t>2</w:t>
            </w:r>
            <w:r w:rsidRPr="00961E0F">
              <w:rPr>
                <w:rFonts w:ascii="Times New Roman" w:hAnsi="Times New Roman"/>
                <w:b/>
                <w:color w:val="000000"/>
                <w:szCs w:val="22"/>
                <w:lang w:val="fr-FR"/>
              </w:rPr>
              <w:t>Critères de réponse cytogénétique :</w:t>
            </w:r>
          </w:p>
          <w:p w14:paraId="40445B8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Une réponse majeure englobe les réponses complètes et partielles : Complète (0% métaphases Ph+), partielle (1–35%),.</w:t>
            </w:r>
          </w:p>
          <w:p w14:paraId="1977F26F" w14:textId="77777777" w:rsidR="007D642D" w:rsidRPr="00961E0F" w:rsidRDefault="007D642D">
            <w:pPr>
              <w:pStyle w:val="EndnoteText"/>
              <w:widowControl w:val="0"/>
              <w:tabs>
                <w:tab w:val="clear" w:pos="567"/>
              </w:tabs>
              <w:rPr>
                <w:color w:val="000000"/>
                <w:szCs w:val="22"/>
                <w:lang w:val="fr-FR"/>
              </w:rPr>
            </w:pPr>
            <w:r w:rsidRPr="00961E0F">
              <w:rPr>
                <w:color w:val="000000"/>
                <w:szCs w:val="22"/>
                <w:vertAlign w:val="superscript"/>
                <w:lang w:val="fr-FR"/>
              </w:rPr>
              <w:t>3</w:t>
            </w:r>
            <w:r w:rsidRPr="00961E0F">
              <w:rPr>
                <w:color w:val="000000"/>
                <w:szCs w:val="22"/>
                <w:lang w:val="fr-FR"/>
              </w:rPr>
              <w:t>Réponse complète cytogénétique confirmée par une seconde évaluation cytogénétique de la moelle osseuse réalisée au moins un mois après l’étude initiale de moelle osseuse.</w:t>
            </w:r>
          </w:p>
        </w:tc>
      </w:tr>
    </w:tbl>
    <w:p w14:paraId="69BB937B" w14:textId="77777777" w:rsidR="007D642D" w:rsidRPr="00961E0F" w:rsidRDefault="007D642D">
      <w:pPr>
        <w:pStyle w:val="EndnoteText"/>
        <w:widowControl w:val="0"/>
        <w:tabs>
          <w:tab w:val="clear" w:pos="567"/>
        </w:tabs>
        <w:rPr>
          <w:color w:val="000000"/>
          <w:szCs w:val="22"/>
          <w:lang w:val="fr-FR"/>
        </w:rPr>
      </w:pPr>
    </w:p>
    <w:p w14:paraId="5C15B930" w14:textId="77777777" w:rsidR="007D642D" w:rsidRPr="00961E0F" w:rsidRDefault="007D642D">
      <w:pPr>
        <w:pStyle w:val="EndnoteText"/>
        <w:widowControl w:val="0"/>
        <w:rPr>
          <w:color w:val="000000"/>
          <w:szCs w:val="22"/>
          <w:lang w:val="fr-FR"/>
        </w:rPr>
      </w:pPr>
      <w:r w:rsidRPr="00961E0F">
        <w:rPr>
          <w:i/>
          <w:color w:val="000000"/>
          <w:szCs w:val="22"/>
          <w:lang w:val="fr-FR"/>
        </w:rPr>
        <w:lastRenderedPageBreak/>
        <w:t>Patients pédiatriques </w:t>
      </w:r>
      <w:r w:rsidRPr="00961E0F">
        <w:rPr>
          <w:color w:val="000000"/>
          <w:szCs w:val="22"/>
          <w:lang w:val="fr-FR"/>
        </w:rPr>
        <w:t>: Un total de 26 patients pédiatriques âgés de moins de 18 ans, présentant une LMC en phase chronique (n=11) ou une LMC en crise blastique ou une leucémie aiguë Ph+ (n=15), ont été recrutés dans une étude de phase I avec escalade de doses. Il s'agissait d'une population de patients lourdement prétraités, dans la mesure où 46% avaient déjà bénéficié d'une transplantation médullaire et 73% d'une polychimiothérapie. Les doses de Glivec administrées étaient de 260 mg/m</w:t>
      </w:r>
      <w:r w:rsidRPr="00961E0F">
        <w:rPr>
          <w:color w:val="000000"/>
          <w:szCs w:val="22"/>
          <w:vertAlign w:val="superscript"/>
          <w:lang w:val="fr-FR"/>
        </w:rPr>
        <w:t>2</w:t>
      </w:r>
      <w:r w:rsidRPr="00961E0F">
        <w:rPr>
          <w:color w:val="000000"/>
          <w:szCs w:val="22"/>
          <w:lang w:val="fr-FR"/>
        </w:rPr>
        <w:t>/jour (n=5), 340 mg/m</w:t>
      </w:r>
      <w:r w:rsidRPr="00961E0F">
        <w:rPr>
          <w:color w:val="000000"/>
          <w:szCs w:val="22"/>
          <w:vertAlign w:val="superscript"/>
          <w:lang w:val="fr-FR"/>
        </w:rPr>
        <w:t>2</w:t>
      </w:r>
      <w:r w:rsidRPr="00961E0F">
        <w:rPr>
          <w:color w:val="000000"/>
          <w:szCs w:val="22"/>
          <w:lang w:val="fr-FR"/>
        </w:rPr>
        <w:t>/jour (n=9), 440 mg/m</w:t>
      </w:r>
      <w:r w:rsidRPr="00961E0F">
        <w:rPr>
          <w:color w:val="000000"/>
          <w:szCs w:val="22"/>
          <w:vertAlign w:val="superscript"/>
          <w:lang w:val="fr-FR"/>
        </w:rPr>
        <w:t>2</w:t>
      </w:r>
      <w:r w:rsidRPr="00961E0F">
        <w:rPr>
          <w:color w:val="000000"/>
          <w:szCs w:val="22"/>
          <w:lang w:val="fr-FR"/>
        </w:rPr>
        <w:t>/jour (n=7) et 570 mg/m</w:t>
      </w:r>
      <w:r w:rsidRPr="00961E0F">
        <w:rPr>
          <w:color w:val="000000"/>
          <w:szCs w:val="22"/>
          <w:vertAlign w:val="superscript"/>
          <w:lang w:val="fr-FR"/>
        </w:rPr>
        <w:t>2</w:t>
      </w:r>
      <w:r w:rsidRPr="00961E0F">
        <w:rPr>
          <w:color w:val="000000"/>
          <w:szCs w:val="22"/>
          <w:lang w:val="fr-FR"/>
        </w:rPr>
        <w:t>/jour (n=5). Parmi les 9 patients atteints de LMC en phase chronique dont les données cytogénétiques sont disponibles, 4 (44%) ont obtenu une réponse cytogénétique complète et 3 (33%) une réponse cytogénétique partielle, pour un taux de RCyM de 77%.</w:t>
      </w:r>
    </w:p>
    <w:p w14:paraId="486E48AB" w14:textId="77777777" w:rsidR="007D642D" w:rsidRPr="00961E0F" w:rsidRDefault="007D642D">
      <w:pPr>
        <w:pStyle w:val="EndnoteText"/>
        <w:widowControl w:val="0"/>
        <w:rPr>
          <w:color w:val="000000"/>
          <w:szCs w:val="22"/>
          <w:lang w:val="fr-FR"/>
        </w:rPr>
      </w:pPr>
    </w:p>
    <w:p w14:paraId="49E6A6FB" w14:textId="77777777" w:rsidR="007D642D" w:rsidRPr="00961E0F" w:rsidRDefault="007D642D">
      <w:pPr>
        <w:pStyle w:val="EndnoteText"/>
        <w:widowControl w:val="0"/>
        <w:rPr>
          <w:color w:val="000000"/>
          <w:szCs w:val="22"/>
          <w:lang w:val="fr-FR"/>
        </w:rPr>
      </w:pPr>
      <w:r w:rsidRPr="00961E0F">
        <w:rPr>
          <w:color w:val="000000"/>
          <w:szCs w:val="22"/>
          <w:lang w:val="fr-FR"/>
        </w:rPr>
        <w:t>Un total de 51 patients pédiatriques atteints d’une LMC en phase chronique nouvellement diagnostiquée non traitée ont été inclus dans une étude de phase II avec un seul bras, multicentrique en ouvert. Ces enfants étaient traités par Glivec à la dose de 340 mg/m</w:t>
      </w:r>
      <w:r w:rsidRPr="00961E0F">
        <w:rPr>
          <w:color w:val="000000"/>
          <w:szCs w:val="22"/>
          <w:vertAlign w:val="superscript"/>
          <w:lang w:val="fr-FR"/>
        </w:rPr>
        <w:t>2</w:t>
      </w:r>
      <w:r w:rsidRPr="00961E0F">
        <w:rPr>
          <w:color w:val="000000"/>
          <w:szCs w:val="22"/>
          <w:lang w:val="fr-FR"/>
        </w:rPr>
        <w:t>/jour, sans interruption de traitement due à une toxicité dose limitante. Le traitement par Glivec induit une réponse rapide chez les patients pédiatriques atteints de LMC nouvellement diagnostiqués avec une RCH de 78% après 8 semaines de traitement. Le taux élevé de RCH s’accompagne d’une réponse complète cytogénétique de 65% qui est comparable aux résultats observés chez les adultes. De plus, une réponse cytogénétique partielle était observée à un taux de 16% pour un taux de 81% de réponses cytogénétiques majeures. La majorité des patients qui ont atteint une réponse cytogénétique complète ont développé cette réponse entre 3 et 10 mois avec une estimation selon Kaplan-Meier de la durée médiane de réponse à 5,6 mois.</w:t>
      </w:r>
    </w:p>
    <w:p w14:paraId="30A0C360" w14:textId="77777777" w:rsidR="007D642D" w:rsidRPr="00961E0F" w:rsidRDefault="007D642D">
      <w:pPr>
        <w:pStyle w:val="EndnoteText"/>
        <w:widowControl w:val="0"/>
        <w:rPr>
          <w:color w:val="000000"/>
          <w:szCs w:val="22"/>
          <w:lang w:val="fr-FR"/>
        </w:rPr>
      </w:pPr>
    </w:p>
    <w:p w14:paraId="22740BB3" w14:textId="77777777" w:rsidR="007D642D" w:rsidRPr="00961E0F" w:rsidRDefault="007D642D">
      <w:pPr>
        <w:pStyle w:val="EndnoteText"/>
        <w:widowControl w:val="0"/>
        <w:rPr>
          <w:color w:val="000000"/>
          <w:szCs w:val="22"/>
          <w:lang w:val="fr-FR"/>
        </w:rPr>
      </w:pPr>
      <w:r w:rsidRPr="00961E0F">
        <w:rPr>
          <w:color w:val="000000"/>
          <w:szCs w:val="22"/>
          <w:lang w:val="fr-FR"/>
        </w:rPr>
        <w:t>L’Agence européenne des médicaments a accordé une dérogation à l’obligation de soumettre les résultats d’études réalisées avec Glivec dans tous les sous-groupes de la population pédiatrique atteinte de leucémie myéloïde chronique chromosome Philadelphie positive (translocation bcr-abl) (voir rubrique 4.2 pour les informations concernant l’usage pédiatrique).</w:t>
      </w:r>
    </w:p>
    <w:p w14:paraId="58F192FD" w14:textId="77777777" w:rsidR="007D642D" w:rsidRPr="00961E0F" w:rsidRDefault="007D642D">
      <w:pPr>
        <w:pStyle w:val="EndnoteText"/>
        <w:widowControl w:val="0"/>
        <w:rPr>
          <w:color w:val="000000"/>
          <w:szCs w:val="22"/>
          <w:lang w:val="fr-FR"/>
        </w:rPr>
      </w:pPr>
    </w:p>
    <w:p w14:paraId="46A0E042" w14:textId="77777777" w:rsidR="007D642D" w:rsidRPr="00961E0F" w:rsidRDefault="007D642D" w:rsidP="00B15424">
      <w:pPr>
        <w:pStyle w:val="EndnoteText"/>
        <w:keepNext/>
        <w:widowControl w:val="0"/>
        <w:rPr>
          <w:color w:val="000000"/>
          <w:szCs w:val="22"/>
          <w:u w:val="single"/>
          <w:lang w:val="fr-FR"/>
        </w:rPr>
      </w:pPr>
      <w:r w:rsidRPr="00961E0F">
        <w:rPr>
          <w:color w:val="000000"/>
          <w:szCs w:val="22"/>
          <w:u w:val="single"/>
          <w:lang w:val="fr-FR"/>
        </w:rPr>
        <w:t xml:space="preserve">Etudes cliniques dans </w:t>
      </w:r>
      <w:smartTag w:uri="urn:schemas-microsoft-com:office:smarttags" w:element="PersonName">
        <w:smartTagPr>
          <w:attr w:name="ProductID" w:val="la LAL Ph"/>
        </w:smartTagPr>
        <w:r w:rsidRPr="00961E0F">
          <w:rPr>
            <w:color w:val="000000"/>
            <w:szCs w:val="22"/>
            <w:u w:val="single"/>
            <w:lang w:val="fr-FR"/>
          </w:rPr>
          <w:t>la LAL Ph</w:t>
        </w:r>
      </w:smartTag>
      <w:r w:rsidRPr="00961E0F">
        <w:rPr>
          <w:color w:val="000000"/>
          <w:szCs w:val="22"/>
          <w:u w:val="single"/>
          <w:lang w:val="fr-FR"/>
        </w:rPr>
        <w:t>+</w:t>
      </w:r>
    </w:p>
    <w:p w14:paraId="24C8107B" w14:textId="77777777" w:rsidR="007D642D" w:rsidRPr="00961E0F" w:rsidRDefault="007D642D">
      <w:pPr>
        <w:pStyle w:val="EndnoteText"/>
        <w:widowControl w:val="0"/>
        <w:rPr>
          <w:color w:val="000000"/>
          <w:szCs w:val="22"/>
          <w:lang w:val="fr-FR"/>
        </w:rPr>
      </w:pPr>
      <w:r w:rsidRPr="00961E0F">
        <w:rPr>
          <w:i/>
          <w:color w:val="000000"/>
          <w:szCs w:val="22"/>
          <w:lang w:val="fr-FR"/>
        </w:rPr>
        <w:t>LAL Ph+ nouvellement diagnostiquée</w:t>
      </w:r>
      <w:r w:rsidRPr="00961E0F">
        <w:rPr>
          <w:color w:val="000000"/>
          <w:szCs w:val="22"/>
          <w:lang w:val="fr-FR"/>
        </w:rPr>
        <w:t> : dans une étude contrôlée (ADE10) comparant l’imatinib versus chimiothérapie d’induction, chez 55 patients nouvellement diagnostiqués âgés de 55 ans et plus, l’imatinib utilisé seul a induit un taux significativement plus élevé de réponse hématologique complète par rapport à la chimiothérapie (96,3% versus 50% ; p = 0,0001). Lorsque le traitement de rattrapage par l’imatinib a été administré aux patients qui n’avaient pas répondu ou avaient mal répondu à la chimiothérapie, 9 patients (81,8%) sur les 11 ont atteint une réponse hématologique complète. Cet effet clinique était associé à une plus forte réduction des taux de transcrits bcr-abl après deux semaines de traitement (p = 0,02) chez les patients traités par l’imatinib par rapport aux patients traités par chimiothérapie. Tous les patients ont reçu l’imatinib et une chimiothérapie de consolidation (voir Tableau </w:t>
      </w:r>
      <w:r w:rsidR="00C0508D" w:rsidRPr="00961E0F">
        <w:rPr>
          <w:color w:val="000000"/>
          <w:szCs w:val="22"/>
          <w:lang w:val="fr-FR"/>
        </w:rPr>
        <w:t>4</w:t>
      </w:r>
      <w:r w:rsidRPr="00961E0F">
        <w:rPr>
          <w:color w:val="000000"/>
          <w:szCs w:val="22"/>
          <w:lang w:val="fr-FR"/>
        </w:rPr>
        <w:t>) après le traitement d’induction, et les taux de transcrits bcr-abl étaient identiques entre les deux bras après huit semaines de traitement. Comme on pouvait s’y attendre compte tenu du schéma de l’étude, aucune différence n’a été observée en termes de durée de rémission, de survie sans maladie ou de survie globale, même s’il faut noter que les patients en réponse moléculaire complète chez qui persistait une maladie résiduelle minime avait un pronostic plus favorable tant en termes de durée de rémission (p = 0,01) que de survie sans maladie (p = 0,02).</w:t>
      </w:r>
    </w:p>
    <w:p w14:paraId="2A2D039F" w14:textId="77777777" w:rsidR="007D642D" w:rsidRPr="00961E0F" w:rsidRDefault="007D642D">
      <w:pPr>
        <w:pStyle w:val="EndnoteText"/>
        <w:widowControl w:val="0"/>
        <w:rPr>
          <w:color w:val="000000"/>
          <w:szCs w:val="22"/>
          <w:lang w:val="fr-FR"/>
        </w:rPr>
      </w:pPr>
    </w:p>
    <w:p w14:paraId="1BF0A270" w14:textId="77777777" w:rsidR="007D642D" w:rsidRPr="00961E0F" w:rsidRDefault="007D642D">
      <w:pPr>
        <w:pStyle w:val="EndnoteText"/>
        <w:widowControl w:val="0"/>
        <w:rPr>
          <w:color w:val="000000"/>
          <w:szCs w:val="22"/>
          <w:lang w:val="fr-FR"/>
        </w:rPr>
      </w:pPr>
      <w:r w:rsidRPr="00961E0F">
        <w:rPr>
          <w:color w:val="000000"/>
          <w:szCs w:val="22"/>
          <w:lang w:val="fr-FR"/>
        </w:rPr>
        <w:t>Les résultats observés dans quatre études cliniques non contrôlées (AAU02, ADE04, AJP01 et AUS01), dans une population de 211 patients atteints de LAL Ph+ nouvellement diagnostiquée, sont consistants avec les résultats décrits ci-dessus. L’imatinib en association avec la chimiothérapie d’induction (voir Tableau </w:t>
      </w:r>
      <w:r w:rsidR="00C0508D" w:rsidRPr="00961E0F">
        <w:rPr>
          <w:color w:val="000000"/>
          <w:szCs w:val="22"/>
          <w:lang w:val="fr-FR"/>
        </w:rPr>
        <w:t>4</w:t>
      </w:r>
      <w:r w:rsidRPr="00961E0F">
        <w:rPr>
          <w:color w:val="000000"/>
          <w:szCs w:val="22"/>
          <w:lang w:val="fr-FR"/>
        </w:rPr>
        <w:t>) a permis d’obtenir un taux de réponse complète hématologique de 93% (147 sur 158 patients évaluables) et un taux de réponse cytogénique majeure de 90% (19 sur 21 patients évaluables). Le taux de réponse moléculaire complète était de 48% (49 sur 102 patients évaluables). La survie sans maladie et la survie globale ont constamment dépassé un an et elles étaient supérieures aux données historiques des groupes contrôles (survie sans maladie p&lt;0,001 ; survie globale p&lt;0,0001) dans les deux études (AJP01 et AUS01).</w:t>
      </w:r>
    </w:p>
    <w:p w14:paraId="79945496" w14:textId="77777777" w:rsidR="007D642D" w:rsidRPr="00961E0F" w:rsidRDefault="007D642D">
      <w:pPr>
        <w:pStyle w:val="EndnoteText"/>
        <w:widowControl w:val="0"/>
        <w:rPr>
          <w:color w:val="000000"/>
          <w:szCs w:val="22"/>
          <w:lang w:val="fr-FR"/>
        </w:rPr>
      </w:pPr>
    </w:p>
    <w:p w14:paraId="4A7DFDA5" w14:textId="77777777" w:rsidR="007D642D" w:rsidRPr="00961E0F" w:rsidRDefault="007D642D" w:rsidP="00B15424">
      <w:pPr>
        <w:pStyle w:val="EndnoteText"/>
        <w:keepNext/>
        <w:widowControl w:val="0"/>
        <w:tabs>
          <w:tab w:val="clear" w:pos="567"/>
        </w:tabs>
        <w:ind w:left="1134" w:hanging="1134"/>
        <w:rPr>
          <w:b/>
          <w:bCs/>
          <w:color w:val="000000"/>
          <w:szCs w:val="22"/>
          <w:lang w:val="fr-FR"/>
        </w:rPr>
      </w:pPr>
      <w:r w:rsidRPr="00961E0F">
        <w:rPr>
          <w:b/>
          <w:bCs/>
          <w:color w:val="000000"/>
          <w:szCs w:val="22"/>
          <w:lang w:val="fr-FR"/>
        </w:rPr>
        <w:lastRenderedPageBreak/>
        <w:t>Tableau </w:t>
      </w:r>
      <w:r w:rsidR="00C0508D" w:rsidRPr="00961E0F">
        <w:rPr>
          <w:b/>
          <w:bCs/>
          <w:color w:val="000000"/>
          <w:szCs w:val="22"/>
          <w:lang w:val="fr-FR"/>
        </w:rPr>
        <w:t>4</w:t>
      </w:r>
      <w:r w:rsidRPr="00961E0F">
        <w:rPr>
          <w:b/>
          <w:bCs/>
          <w:color w:val="000000"/>
          <w:szCs w:val="22"/>
          <w:lang w:val="fr-FR"/>
        </w:rPr>
        <w:tab/>
        <w:t>Schéma des chimiothérapies</w:t>
      </w:r>
      <w:r w:rsidRPr="00961E0F">
        <w:rPr>
          <w:b/>
          <w:color w:val="000000"/>
          <w:szCs w:val="22"/>
          <w:lang w:val="fr-FR"/>
        </w:rPr>
        <w:t xml:space="preserve"> utilisées en association avec l’imatinib</w:t>
      </w:r>
    </w:p>
    <w:p w14:paraId="5E788638" w14:textId="77777777" w:rsidR="007D642D" w:rsidRPr="00961E0F" w:rsidRDefault="007D642D" w:rsidP="00B15424">
      <w:pPr>
        <w:pStyle w:val="EndnoteText"/>
        <w:keepNext/>
        <w:widowControl w:val="0"/>
        <w:rPr>
          <w:color w:val="000000"/>
          <w:szCs w:val="22"/>
          <w:lang w:val="fr-F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7D642D" w:rsidRPr="00961E0F" w14:paraId="286B650F" w14:textId="77777777" w:rsidTr="00B15424">
        <w:trPr>
          <w:cantSplit/>
        </w:trPr>
        <w:tc>
          <w:tcPr>
            <w:tcW w:w="2148" w:type="dxa"/>
            <w:tcBorders>
              <w:top w:val="single" w:sz="4" w:space="0" w:color="auto"/>
              <w:bottom w:val="single" w:sz="4" w:space="0" w:color="auto"/>
            </w:tcBorders>
            <w:shd w:val="clear" w:color="auto" w:fill="auto"/>
          </w:tcPr>
          <w:p w14:paraId="50C20608"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b/>
                <w:color w:val="000000"/>
                <w:szCs w:val="22"/>
              </w:rPr>
              <w:t>Etude ADE10</w:t>
            </w:r>
          </w:p>
        </w:tc>
        <w:tc>
          <w:tcPr>
            <w:tcW w:w="6732" w:type="dxa"/>
            <w:gridSpan w:val="4"/>
            <w:tcBorders>
              <w:top w:val="single" w:sz="4" w:space="0" w:color="auto"/>
              <w:bottom w:val="single" w:sz="4" w:space="0" w:color="auto"/>
            </w:tcBorders>
            <w:shd w:val="clear" w:color="auto" w:fill="auto"/>
          </w:tcPr>
          <w:p w14:paraId="3E6E4C21"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r>
      <w:tr w:rsidR="007D642D" w:rsidRPr="00961E0F" w14:paraId="185B18BC" w14:textId="77777777" w:rsidTr="00B15424">
        <w:trPr>
          <w:cantSplit/>
        </w:trPr>
        <w:tc>
          <w:tcPr>
            <w:tcW w:w="2148" w:type="dxa"/>
            <w:tcBorders>
              <w:top w:val="single" w:sz="4" w:space="0" w:color="auto"/>
              <w:bottom w:val="single" w:sz="4" w:space="0" w:color="auto"/>
            </w:tcBorders>
            <w:shd w:val="clear" w:color="auto" w:fill="auto"/>
          </w:tcPr>
          <w:p w14:paraId="3B10A679"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Pré-phase</w:t>
            </w:r>
          </w:p>
        </w:tc>
        <w:tc>
          <w:tcPr>
            <w:tcW w:w="6732" w:type="dxa"/>
            <w:gridSpan w:val="4"/>
            <w:tcBorders>
              <w:top w:val="single" w:sz="4" w:space="0" w:color="auto"/>
              <w:bottom w:val="single" w:sz="4" w:space="0" w:color="auto"/>
            </w:tcBorders>
            <w:shd w:val="clear" w:color="auto" w:fill="auto"/>
          </w:tcPr>
          <w:p w14:paraId="08CF4860" w14:textId="77777777" w:rsidR="00E8481F" w:rsidRPr="00961E0F" w:rsidRDefault="007D642D" w:rsidP="00B15424">
            <w:pPr>
              <w:pStyle w:val="TableCarCarCarCarCarCarCarCarCar"/>
              <w:keepLines w:val="0"/>
              <w:widowControl w:val="0"/>
              <w:rPr>
                <w:rFonts w:ascii="Times New Roman" w:hAnsi="Times New Roman"/>
                <w:color w:val="000000"/>
                <w:szCs w:val="22"/>
                <w:lang w:val="fr-CH"/>
              </w:rPr>
            </w:pPr>
            <w:r w:rsidRPr="00961E0F">
              <w:rPr>
                <w:rFonts w:ascii="Times New Roman" w:hAnsi="Times New Roman"/>
                <w:color w:val="000000"/>
                <w:szCs w:val="22"/>
                <w:lang w:val="fr-CH"/>
              </w:rPr>
              <w:t>DEX 10 mg/m</w:t>
            </w:r>
            <w:r w:rsidRPr="00961E0F">
              <w:rPr>
                <w:rFonts w:ascii="Times New Roman" w:hAnsi="Times New Roman"/>
                <w:color w:val="000000"/>
                <w:szCs w:val="22"/>
                <w:vertAlign w:val="superscript"/>
                <w:lang w:val="fr-CH"/>
              </w:rPr>
              <w:t>2</w:t>
            </w:r>
            <w:r w:rsidRPr="00961E0F">
              <w:rPr>
                <w:rFonts w:ascii="Times New Roman" w:hAnsi="Times New Roman"/>
                <w:color w:val="000000"/>
                <w:szCs w:val="22"/>
                <w:lang w:val="fr-CH"/>
              </w:rPr>
              <w:t xml:space="preserve"> oral, jours 1 à 5 ;</w:t>
            </w:r>
          </w:p>
          <w:p w14:paraId="13184B3E" w14:textId="77777777" w:rsidR="00E8481F" w:rsidRPr="00961E0F" w:rsidRDefault="007D642D" w:rsidP="00B15424">
            <w:pPr>
              <w:pStyle w:val="TableCarCarCarCarCarCarCarCarCar"/>
              <w:keepLines w:val="0"/>
              <w:widowControl w:val="0"/>
              <w:rPr>
                <w:rFonts w:ascii="Times New Roman" w:hAnsi="Times New Roman"/>
                <w:color w:val="000000"/>
                <w:szCs w:val="22"/>
                <w:lang w:val="fr-CH"/>
              </w:rPr>
            </w:pPr>
            <w:r w:rsidRPr="00961E0F">
              <w:rPr>
                <w:rFonts w:ascii="Times New Roman" w:hAnsi="Times New Roman"/>
                <w:color w:val="000000"/>
                <w:szCs w:val="22"/>
                <w:lang w:val="fr-CH"/>
              </w:rPr>
              <w:t>CP 200 mg/m</w:t>
            </w:r>
            <w:r w:rsidRPr="00961E0F">
              <w:rPr>
                <w:rFonts w:ascii="Times New Roman" w:hAnsi="Times New Roman"/>
                <w:color w:val="000000"/>
                <w:szCs w:val="22"/>
                <w:vertAlign w:val="superscript"/>
                <w:lang w:val="fr-CH"/>
              </w:rPr>
              <w:t>2</w:t>
            </w:r>
            <w:r w:rsidRPr="00961E0F">
              <w:rPr>
                <w:rFonts w:ascii="Times New Roman" w:hAnsi="Times New Roman"/>
                <w:color w:val="000000"/>
                <w:szCs w:val="22"/>
                <w:lang w:val="fr-CH"/>
              </w:rPr>
              <w:t xml:space="preserve"> i.v., jours 3, 4, 5 ;</w:t>
            </w:r>
          </w:p>
          <w:p w14:paraId="260B3E20" w14:textId="77777777" w:rsidR="007D642D" w:rsidRPr="00961E0F" w:rsidRDefault="007D642D" w:rsidP="00B15424">
            <w:pPr>
              <w:pStyle w:val="TableCarCarCarCarCarCarCarCarCar"/>
              <w:keepLines w:val="0"/>
              <w:widowControl w:val="0"/>
              <w:rPr>
                <w:rFonts w:ascii="Times New Roman" w:hAnsi="Times New Roman"/>
                <w:color w:val="000000"/>
                <w:szCs w:val="22"/>
              </w:rPr>
            </w:pPr>
            <w:smartTag w:uri="urn:schemas-microsoft-com:office:smarttags" w:element="stockticker">
              <w:r w:rsidRPr="00961E0F">
                <w:rPr>
                  <w:rFonts w:ascii="Times New Roman" w:hAnsi="Times New Roman"/>
                  <w:color w:val="000000"/>
                  <w:szCs w:val="22"/>
                </w:rPr>
                <w:t>MTX</w:t>
              </w:r>
            </w:smartTag>
            <w:r w:rsidRPr="00961E0F">
              <w:rPr>
                <w:rFonts w:ascii="Times New Roman" w:hAnsi="Times New Roman"/>
                <w:color w:val="000000"/>
                <w:szCs w:val="22"/>
              </w:rPr>
              <w:t xml:space="preserve"> 12 mg intrathecal, jour 1</w:t>
            </w:r>
          </w:p>
        </w:tc>
      </w:tr>
      <w:tr w:rsidR="007D642D" w:rsidRPr="00961E0F" w14:paraId="7FA66FC2" w14:textId="77777777" w:rsidTr="00B15424">
        <w:trPr>
          <w:cantSplit/>
        </w:trPr>
        <w:tc>
          <w:tcPr>
            <w:tcW w:w="2148" w:type="dxa"/>
            <w:tcBorders>
              <w:top w:val="single" w:sz="4" w:space="0" w:color="auto"/>
              <w:bottom w:val="single" w:sz="4" w:space="0" w:color="auto"/>
            </w:tcBorders>
            <w:shd w:val="clear" w:color="auto" w:fill="auto"/>
          </w:tcPr>
          <w:p w14:paraId="79D0A63B"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d’induction (remission)</w:t>
            </w:r>
          </w:p>
        </w:tc>
        <w:tc>
          <w:tcPr>
            <w:tcW w:w="6732" w:type="dxa"/>
            <w:gridSpan w:val="4"/>
            <w:tcBorders>
              <w:top w:val="single" w:sz="4" w:space="0" w:color="auto"/>
              <w:bottom w:val="single" w:sz="4" w:space="0" w:color="auto"/>
            </w:tcBorders>
            <w:shd w:val="clear" w:color="auto" w:fill="auto"/>
          </w:tcPr>
          <w:p w14:paraId="54861FA4" w14:textId="77777777" w:rsidR="00E8481F" w:rsidRPr="00961E0F" w:rsidRDefault="007D642D" w:rsidP="00B15424">
            <w:pPr>
              <w:pStyle w:val="TableCarCarCarCarCarCarCarCarCar"/>
              <w:keepLines w:val="0"/>
              <w:widowControl w:val="0"/>
              <w:rPr>
                <w:rFonts w:ascii="Times New Roman" w:hAnsi="Times New Roman"/>
                <w:color w:val="000000"/>
                <w:szCs w:val="22"/>
                <w:lang w:val="fr-CH"/>
              </w:rPr>
            </w:pPr>
            <w:r w:rsidRPr="00961E0F">
              <w:rPr>
                <w:rFonts w:ascii="Times New Roman" w:hAnsi="Times New Roman"/>
                <w:color w:val="000000"/>
                <w:szCs w:val="22"/>
                <w:lang w:val="fr-CH"/>
              </w:rPr>
              <w:t>DEX 10 mg/m</w:t>
            </w:r>
            <w:r w:rsidRPr="00961E0F">
              <w:rPr>
                <w:rFonts w:ascii="Times New Roman" w:hAnsi="Times New Roman"/>
                <w:color w:val="000000"/>
                <w:szCs w:val="22"/>
                <w:vertAlign w:val="superscript"/>
                <w:lang w:val="fr-CH"/>
              </w:rPr>
              <w:t>2</w:t>
            </w:r>
            <w:r w:rsidRPr="00961E0F">
              <w:rPr>
                <w:rFonts w:ascii="Times New Roman" w:hAnsi="Times New Roman"/>
                <w:color w:val="000000"/>
                <w:szCs w:val="22"/>
                <w:lang w:val="fr-CH"/>
              </w:rPr>
              <w:t xml:space="preserve"> oral, jours 6 et 7, 13 à 16 ;</w:t>
            </w:r>
          </w:p>
          <w:p w14:paraId="3878BA4F"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VCR 1 mg i.v., jours 7, 14 ;</w:t>
            </w:r>
          </w:p>
          <w:p w14:paraId="0A90397A"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IDA</w:t>
              </w:r>
            </w:smartTag>
            <w:r w:rsidRPr="00961E0F">
              <w:rPr>
                <w:rFonts w:ascii="Times New Roman" w:hAnsi="Times New Roman"/>
                <w:color w:val="000000"/>
                <w:szCs w:val="22"/>
                <w:lang w:val="fr-FR"/>
              </w:rPr>
              <w:t xml:space="preserve"> 8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(0,5 h), jours 7, 8, 14, 15 ;</w:t>
            </w:r>
          </w:p>
          <w:p w14:paraId="59F9A974"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500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i.v.(1 h) jour 1 ;</w:t>
            </w:r>
          </w:p>
          <w:p w14:paraId="59E6A074"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22 à 25, 29 à 32</w:t>
            </w:r>
          </w:p>
        </w:tc>
      </w:tr>
      <w:tr w:rsidR="007D642D" w:rsidRPr="00961E0F" w14:paraId="7D7250CF" w14:textId="77777777" w:rsidTr="00B15424">
        <w:trPr>
          <w:cantSplit/>
        </w:trPr>
        <w:tc>
          <w:tcPr>
            <w:tcW w:w="2148" w:type="dxa"/>
            <w:tcBorders>
              <w:top w:val="single" w:sz="4" w:space="0" w:color="auto"/>
              <w:bottom w:val="single" w:sz="4" w:space="0" w:color="auto"/>
            </w:tcBorders>
            <w:shd w:val="clear" w:color="auto" w:fill="auto"/>
          </w:tcPr>
          <w:p w14:paraId="2F1A5BB7"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Traitement de consolidation I, </w:t>
            </w:r>
            <w:smartTag w:uri="urn:schemas-microsoft-com:office:smarttags" w:element="stockticker">
              <w:r w:rsidRPr="00961E0F">
                <w:rPr>
                  <w:rFonts w:ascii="Times New Roman" w:hAnsi="Times New Roman"/>
                  <w:color w:val="000000"/>
                  <w:szCs w:val="22"/>
                  <w:lang w:val="fr-FR"/>
                </w:rPr>
                <w:t>III</w:t>
              </w:r>
            </w:smartTag>
            <w:r w:rsidRPr="00961E0F">
              <w:rPr>
                <w:rFonts w:ascii="Times New Roman" w:hAnsi="Times New Roman"/>
                <w:color w:val="000000"/>
                <w:szCs w:val="22"/>
                <w:lang w:val="fr-FR"/>
              </w:rPr>
              <w:t>, V</w:t>
            </w:r>
          </w:p>
        </w:tc>
        <w:tc>
          <w:tcPr>
            <w:tcW w:w="6732" w:type="dxa"/>
            <w:gridSpan w:val="4"/>
            <w:tcBorders>
              <w:top w:val="single" w:sz="4" w:space="0" w:color="auto"/>
              <w:bottom w:val="single" w:sz="4" w:space="0" w:color="auto"/>
            </w:tcBorders>
            <w:shd w:val="clear" w:color="auto" w:fill="auto"/>
          </w:tcPr>
          <w:p w14:paraId="213D473C"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500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jours 1, 15 ;</w:t>
            </w:r>
          </w:p>
          <w:p w14:paraId="46E294C6"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6-MP 25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20</w:t>
            </w:r>
          </w:p>
        </w:tc>
      </w:tr>
      <w:tr w:rsidR="007D642D" w:rsidRPr="00961E0F" w14:paraId="087FE038" w14:textId="77777777" w:rsidTr="00B15424">
        <w:trPr>
          <w:cantSplit/>
        </w:trPr>
        <w:tc>
          <w:tcPr>
            <w:tcW w:w="2148" w:type="dxa"/>
            <w:tcBorders>
              <w:top w:val="single" w:sz="4" w:space="0" w:color="auto"/>
              <w:bottom w:val="single" w:sz="4" w:space="0" w:color="auto"/>
            </w:tcBorders>
            <w:shd w:val="clear" w:color="auto" w:fill="auto"/>
          </w:tcPr>
          <w:p w14:paraId="25931015"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de consolidation II, IV</w:t>
            </w:r>
          </w:p>
        </w:tc>
        <w:tc>
          <w:tcPr>
            <w:tcW w:w="6732" w:type="dxa"/>
            <w:gridSpan w:val="4"/>
            <w:tcBorders>
              <w:top w:val="single" w:sz="4" w:space="0" w:color="auto"/>
              <w:bottom w:val="single" w:sz="4" w:space="0" w:color="auto"/>
            </w:tcBorders>
            <w:shd w:val="clear" w:color="auto" w:fill="auto"/>
          </w:tcPr>
          <w:p w14:paraId="15DCCB46" w14:textId="77777777" w:rsidR="00E8481F" w:rsidRPr="00961E0F" w:rsidRDefault="007D642D" w:rsidP="00B15424">
            <w:pPr>
              <w:pStyle w:val="TableCarCarCarCarCarCarCarCarCar"/>
              <w:keepNext w:val="0"/>
              <w:keepLines w:val="0"/>
              <w:widowControl w:val="0"/>
              <w:rPr>
                <w:rFonts w:ascii="Times New Roman" w:hAnsi="Times New Roman"/>
                <w:color w:val="000000"/>
                <w:szCs w:val="22"/>
                <w:lang w:val="pt-BR"/>
              </w:rPr>
            </w:pPr>
            <w:r w:rsidRPr="00961E0F">
              <w:rPr>
                <w:rFonts w:ascii="Times New Roman" w:hAnsi="Times New Roman"/>
                <w:color w:val="000000"/>
                <w:szCs w:val="22"/>
                <w:lang w:val="pt-BR"/>
              </w:rPr>
              <w:t>Ara-C 75 mg/m</w:t>
            </w:r>
            <w:r w:rsidRPr="00961E0F">
              <w:rPr>
                <w:rFonts w:ascii="Times New Roman" w:hAnsi="Times New Roman"/>
                <w:color w:val="000000"/>
                <w:szCs w:val="22"/>
                <w:vertAlign w:val="superscript"/>
                <w:lang w:val="pt-BR"/>
              </w:rPr>
              <w:t>2</w:t>
            </w:r>
            <w:r w:rsidRPr="00961E0F">
              <w:rPr>
                <w:rFonts w:ascii="Times New Roman" w:hAnsi="Times New Roman"/>
                <w:color w:val="000000"/>
                <w:szCs w:val="22"/>
                <w:lang w:val="pt-BR"/>
              </w:rPr>
              <w:t xml:space="preserve"> i.v. (1 h), jours 1 à 5 ;</w:t>
            </w:r>
          </w:p>
          <w:p w14:paraId="526F0782"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lang w:val="pt-BR"/>
              </w:rPr>
            </w:pPr>
            <w:r w:rsidRPr="00961E0F">
              <w:rPr>
                <w:rFonts w:ascii="Times New Roman" w:hAnsi="Times New Roman"/>
                <w:color w:val="000000"/>
                <w:szCs w:val="22"/>
                <w:lang w:val="pt-BR"/>
              </w:rPr>
              <w:t>VM26 60 mg/m</w:t>
            </w:r>
            <w:r w:rsidRPr="00961E0F">
              <w:rPr>
                <w:rFonts w:ascii="Times New Roman" w:hAnsi="Times New Roman"/>
                <w:color w:val="000000"/>
                <w:szCs w:val="22"/>
                <w:vertAlign w:val="superscript"/>
                <w:lang w:val="pt-BR"/>
              </w:rPr>
              <w:t>2</w:t>
            </w:r>
            <w:r w:rsidRPr="00961E0F">
              <w:rPr>
                <w:rFonts w:ascii="Times New Roman" w:hAnsi="Times New Roman"/>
                <w:color w:val="000000"/>
                <w:szCs w:val="22"/>
                <w:lang w:val="pt-BR"/>
              </w:rPr>
              <w:t xml:space="preserve"> i.v. (1 h), jours 1 à 5</w:t>
            </w:r>
          </w:p>
        </w:tc>
      </w:tr>
      <w:tr w:rsidR="007D642D" w:rsidRPr="00961E0F" w14:paraId="515C3A37" w14:textId="77777777" w:rsidTr="00B15424">
        <w:trPr>
          <w:cantSplit/>
        </w:trPr>
        <w:tc>
          <w:tcPr>
            <w:tcW w:w="2148" w:type="dxa"/>
            <w:tcBorders>
              <w:top w:val="single" w:sz="4" w:space="0" w:color="auto"/>
              <w:bottom w:val="single" w:sz="4" w:space="0" w:color="auto"/>
            </w:tcBorders>
            <w:shd w:val="clear" w:color="auto" w:fill="auto"/>
          </w:tcPr>
          <w:p w14:paraId="2CC97D97" w14:textId="77777777" w:rsidR="007D642D" w:rsidRPr="00961E0F" w:rsidRDefault="007D642D" w:rsidP="00B15424">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t>Etude AAU02</w:t>
            </w:r>
          </w:p>
        </w:tc>
        <w:tc>
          <w:tcPr>
            <w:tcW w:w="2652" w:type="dxa"/>
            <w:tcBorders>
              <w:top w:val="single" w:sz="4" w:space="0" w:color="auto"/>
              <w:bottom w:val="single" w:sz="4" w:space="0" w:color="auto"/>
            </w:tcBorders>
            <w:shd w:val="clear" w:color="auto" w:fill="auto"/>
          </w:tcPr>
          <w:p w14:paraId="48E3DB01"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080" w:type="dxa"/>
            <w:tcBorders>
              <w:top w:val="single" w:sz="4" w:space="0" w:color="auto"/>
              <w:bottom w:val="single" w:sz="4" w:space="0" w:color="auto"/>
            </w:tcBorders>
          </w:tcPr>
          <w:p w14:paraId="68558456"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33C2C251"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51A5668E"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r>
      <w:tr w:rsidR="007D642D" w:rsidRPr="00961E0F" w14:paraId="25778956" w14:textId="77777777" w:rsidTr="00B15424">
        <w:trPr>
          <w:cantSplit/>
        </w:trPr>
        <w:tc>
          <w:tcPr>
            <w:tcW w:w="2148" w:type="dxa"/>
            <w:tcBorders>
              <w:top w:val="single" w:sz="4" w:space="0" w:color="auto"/>
              <w:bottom w:val="single" w:sz="4" w:space="0" w:color="auto"/>
            </w:tcBorders>
            <w:shd w:val="clear" w:color="auto" w:fill="auto"/>
          </w:tcPr>
          <w:p w14:paraId="5A3227A5"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(LAL Ph+</w:t>
            </w:r>
            <w:r w:rsidRPr="00961E0F">
              <w:rPr>
                <w:rFonts w:ascii="Times New Roman" w:hAnsi="Times New Roman"/>
                <w:i/>
                <w:color w:val="000000"/>
                <w:szCs w:val="22"/>
                <w:lang w:val="fr-FR"/>
              </w:rPr>
              <w:t xml:space="preserve"> de novo)</w:t>
            </w:r>
          </w:p>
        </w:tc>
        <w:tc>
          <w:tcPr>
            <w:tcW w:w="6732" w:type="dxa"/>
            <w:gridSpan w:val="4"/>
            <w:tcBorders>
              <w:top w:val="single" w:sz="4" w:space="0" w:color="auto"/>
              <w:bottom w:val="single" w:sz="4" w:space="0" w:color="auto"/>
            </w:tcBorders>
            <w:shd w:val="clear" w:color="auto" w:fill="auto"/>
          </w:tcPr>
          <w:p w14:paraId="5127D2B6"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Daunorubicine 30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1 à 3, 15 et 16 ;</w:t>
            </w:r>
          </w:p>
          <w:p w14:paraId="7FCB6DED"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dose totale 2 mg i.v., jours 1, 8, 15, 22 ;</w:t>
            </w:r>
          </w:p>
          <w:p w14:paraId="3A4506D2" w14:textId="77777777" w:rsidR="00E8481F"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750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1, 8 ;</w:t>
            </w:r>
          </w:p>
          <w:p w14:paraId="05238B85" w14:textId="77777777" w:rsidR="00E8481F" w:rsidRPr="00961E0F" w:rsidRDefault="00E8481F"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w:t>
            </w:r>
            <w:r w:rsidR="007D642D" w:rsidRPr="00961E0F">
              <w:rPr>
                <w:rFonts w:ascii="Times New Roman" w:hAnsi="Times New Roman"/>
                <w:color w:val="000000"/>
                <w:szCs w:val="22"/>
                <w:lang w:val="fr-FR"/>
              </w:rPr>
              <w:t>rédnisone 60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oral, jours 1 à 7, 15 à 21 ;</w:t>
            </w:r>
          </w:p>
          <w:p w14:paraId="3FAC3001" w14:textId="77777777" w:rsidR="00C700F2"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IDA 9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28 ;</w:t>
            </w:r>
          </w:p>
          <w:p w14:paraId="4BBA632A" w14:textId="77777777" w:rsidR="00C700F2"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jours 1, 8, 15, 22 ;</w:t>
            </w:r>
          </w:p>
          <w:p w14:paraId="487B2311" w14:textId="77777777" w:rsidR="00C700F2"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40 mg intrathecal, jours 1, 8, 15, 22 ;</w:t>
            </w:r>
          </w:p>
          <w:p w14:paraId="36FD10BA" w14:textId="77777777" w:rsidR="007D642D" w:rsidRPr="00961E0F" w:rsidRDefault="00C700F2"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w:t>
            </w:r>
            <w:r w:rsidR="007D642D" w:rsidRPr="00961E0F">
              <w:rPr>
                <w:rFonts w:ascii="Times New Roman" w:hAnsi="Times New Roman"/>
                <w:color w:val="000000"/>
                <w:szCs w:val="22"/>
                <w:lang w:val="fr-FR"/>
              </w:rPr>
              <w:t>ethylprédnisolone 40 mg intrathecal, jours 1, 8, 15, 22</w:t>
            </w:r>
          </w:p>
        </w:tc>
      </w:tr>
      <w:tr w:rsidR="007D642D" w:rsidRPr="00961E0F" w14:paraId="089D035A" w14:textId="77777777" w:rsidTr="00B15424">
        <w:trPr>
          <w:cantSplit/>
        </w:trPr>
        <w:tc>
          <w:tcPr>
            <w:tcW w:w="2148" w:type="dxa"/>
            <w:tcBorders>
              <w:top w:val="single" w:sz="4" w:space="0" w:color="auto"/>
              <w:bottom w:val="single" w:sz="4" w:space="0" w:color="auto"/>
            </w:tcBorders>
            <w:shd w:val="clear" w:color="auto" w:fill="auto"/>
          </w:tcPr>
          <w:p w14:paraId="75DC72F1"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Consolidation (LAL Ph+</w:t>
            </w:r>
            <w:r w:rsidRPr="00961E0F">
              <w:rPr>
                <w:rFonts w:ascii="Times New Roman" w:hAnsi="Times New Roman"/>
                <w:i/>
                <w:color w:val="000000"/>
                <w:szCs w:val="22"/>
                <w:lang w:val="fr-FR"/>
              </w:rPr>
              <w:t xml:space="preserve"> de novo)</w:t>
            </w:r>
          </w:p>
        </w:tc>
        <w:tc>
          <w:tcPr>
            <w:tcW w:w="6732" w:type="dxa"/>
            <w:gridSpan w:val="4"/>
            <w:tcBorders>
              <w:top w:val="single" w:sz="4" w:space="0" w:color="auto"/>
              <w:bottom w:val="single" w:sz="4" w:space="0" w:color="auto"/>
            </w:tcBorders>
            <w:shd w:val="clear" w:color="auto" w:fill="auto"/>
          </w:tcPr>
          <w:p w14:paraId="25328B6D" w14:textId="77777777" w:rsidR="00213F69"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toutes les 12 h i.v.(en 3 h), jours 1 à 4 ;</w:t>
            </w:r>
          </w:p>
          <w:p w14:paraId="1F1BA273" w14:textId="77777777" w:rsidR="00213F69" w:rsidRPr="00961E0F" w:rsidRDefault="00213F69"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w:t>
            </w:r>
            <w:r w:rsidR="007D642D" w:rsidRPr="00961E0F">
              <w:rPr>
                <w:rFonts w:ascii="Times New Roman" w:hAnsi="Times New Roman"/>
                <w:color w:val="000000"/>
                <w:szCs w:val="22"/>
                <w:lang w:val="fr-FR"/>
              </w:rPr>
              <w:t>itoxantrone 10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jours 3 à 5 ;</w:t>
            </w:r>
          </w:p>
          <w:p w14:paraId="0233E50E" w14:textId="77777777" w:rsidR="00213F69"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 1 ;</w:t>
            </w:r>
          </w:p>
          <w:p w14:paraId="1BE7044F" w14:textId="77777777" w:rsidR="007D642D" w:rsidRPr="00961E0F" w:rsidRDefault="00213F69"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w:t>
            </w:r>
            <w:r w:rsidR="007D642D" w:rsidRPr="00961E0F">
              <w:rPr>
                <w:rFonts w:ascii="Times New Roman" w:hAnsi="Times New Roman"/>
                <w:color w:val="000000"/>
                <w:szCs w:val="22"/>
                <w:lang w:val="fr-FR"/>
              </w:rPr>
              <w:t>ethylprédnisolone 40 mg intrathecal, jour 1</w:t>
            </w:r>
          </w:p>
        </w:tc>
      </w:tr>
      <w:tr w:rsidR="007D642D" w:rsidRPr="00961E0F" w14:paraId="47649F7E" w14:textId="77777777" w:rsidTr="00B15424">
        <w:trPr>
          <w:cantSplit/>
        </w:trPr>
        <w:tc>
          <w:tcPr>
            <w:tcW w:w="4800" w:type="dxa"/>
            <w:gridSpan w:val="2"/>
            <w:tcBorders>
              <w:top w:val="single" w:sz="4" w:space="0" w:color="auto"/>
              <w:bottom w:val="single" w:sz="4" w:space="0" w:color="auto"/>
            </w:tcBorders>
            <w:shd w:val="clear" w:color="auto" w:fill="auto"/>
          </w:tcPr>
          <w:p w14:paraId="0A96441A" w14:textId="77777777" w:rsidR="007D642D" w:rsidRPr="00961E0F" w:rsidRDefault="007D642D" w:rsidP="00B15424">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t>Etude ADE04</w:t>
            </w:r>
          </w:p>
        </w:tc>
        <w:tc>
          <w:tcPr>
            <w:tcW w:w="1080" w:type="dxa"/>
            <w:tcBorders>
              <w:top w:val="single" w:sz="4" w:space="0" w:color="auto"/>
              <w:bottom w:val="single" w:sz="4" w:space="0" w:color="auto"/>
            </w:tcBorders>
          </w:tcPr>
          <w:p w14:paraId="41BF59F5"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64EAF4E7"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24C22726"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r>
      <w:tr w:rsidR="007D642D" w:rsidRPr="00961E0F" w14:paraId="117175AC" w14:textId="77777777" w:rsidTr="00B15424">
        <w:trPr>
          <w:cantSplit/>
        </w:trPr>
        <w:tc>
          <w:tcPr>
            <w:tcW w:w="2148" w:type="dxa"/>
            <w:tcBorders>
              <w:top w:val="single" w:sz="4" w:space="0" w:color="auto"/>
              <w:bottom w:val="single" w:sz="4" w:space="0" w:color="auto"/>
            </w:tcBorders>
            <w:shd w:val="clear" w:color="auto" w:fill="auto"/>
          </w:tcPr>
          <w:p w14:paraId="7A477192"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Pré-phase</w:t>
            </w:r>
          </w:p>
        </w:tc>
        <w:tc>
          <w:tcPr>
            <w:tcW w:w="6732" w:type="dxa"/>
            <w:gridSpan w:val="4"/>
            <w:tcBorders>
              <w:top w:val="single" w:sz="4" w:space="0" w:color="auto"/>
              <w:bottom w:val="single" w:sz="4" w:space="0" w:color="auto"/>
            </w:tcBorders>
            <w:shd w:val="clear" w:color="auto" w:fill="auto"/>
          </w:tcPr>
          <w:p w14:paraId="21DCF536"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34B7E62B"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3 à 5 ;</w:t>
            </w:r>
          </w:p>
          <w:p w14:paraId="0E05D963"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 1</w:t>
            </w:r>
          </w:p>
        </w:tc>
      </w:tr>
      <w:tr w:rsidR="007D642D" w:rsidRPr="00961E0F" w14:paraId="5254245B" w14:textId="77777777" w:rsidTr="00B15424">
        <w:trPr>
          <w:cantSplit/>
        </w:trPr>
        <w:tc>
          <w:tcPr>
            <w:tcW w:w="2148" w:type="dxa"/>
            <w:tcBorders>
              <w:top w:val="single" w:sz="4" w:space="0" w:color="auto"/>
              <w:bottom w:val="single" w:sz="4" w:space="0" w:color="auto"/>
            </w:tcBorders>
            <w:shd w:val="clear" w:color="auto" w:fill="auto"/>
          </w:tcPr>
          <w:p w14:paraId="48BBFEA2"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d’induction I</w:t>
            </w:r>
          </w:p>
        </w:tc>
        <w:tc>
          <w:tcPr>
            <w:tcW w:w="6732" w:type="dxa"/>
            <w:gridSpan w:val="4"/>
            <w:tcBorders>
              <w:top w:val="single" w:sz="4" w:space="0" w:color="auto"/>
              <w:bottom w:val="single" w:sz="4" w:space="0" w:color="auto"/>
            </w:tcBorders>
            <w:shd w:val="clear" w:color="auto" w:fill="auto"/>
          </w:tcPr>
          <w:p w14:paraId="6F245AB3"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60B87AAA"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VCR 2 mg i.v., jours 6, 13, 20 ;</w:t>
            </w:r>
          </w:p>
          <w:p w14:paraId="2046AC7E" w14:textId="77777777" w:rsidR="007D642D"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w:t>
            </w:r>
            <w:r w:rsidR="007D642D" w:rsidRPr="00961E0F">
              <w:rPr>
                <w:rFonts w:ascii="Times New Roman" w:hAnsi="Times New Roman"/>
                <w:color w:val="000000"/>
                <w:szCs w:val="22"/>
                <w:lang w:val="fr-FR"/>
              </w:rPr>
              <w:t>aunorubicine 45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jours 6 à 7, 13-14</w:t>
            </w:r>
          </w:p>
        </w:tc>
      </w:tr>
      <w:tr w:rsidR="007D642D" w:rsidRPr="00961E0F" w14:paraId="6AF0B78A" w14:textId="77777777" w:rsidTr="00B15424">
        <w:trPr>
          <w:cantSplit/>
        </w:trPr>
        <w:tc>
          <w:tcPr>
            <w:tcW w:w="2148" w:type="dxa"/>
            <w:tcBorders>
              <w:top w:val="single" w:sz="4" w:space="0" w:color="auto"/>
              <w:bottom w:val="single" w:sz="4" w:space="0" w:color="auto"/>
            </w:tcBorders>
            <w:shd w:val="clear" w:color="auto" w:fill="auto"/>
          </w:tcPr>
          <w:p w14:paraId="010394F3"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II</w:t>
            </w:r>
          </w:p>
        </w:tc>
        <w:tc>
          <w:tcPr>
            <w:tcW w:w="6732" w:type="dxa"/>
            <w:gridSpan w:val="4"/>
            <w:tcBorders>
              <w:top w:val="single" w:sz="4" w:space="0" w:color="auto"/>
              <w:bottom w:val="single" w:sz="4" w:space="0" w:color="auto"/>
            </w:tcBorders>
            <w:shd w:val="clear" w:color="auto" w:fill="auto"/>
          </w:tcPr>
          <w:p w14:paraId="0175D23F"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26, 46 ;</w:t>
            </w:r>
          </w:p>
          <w:p w14:paraId="200F758F"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75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28 à 31, 35 à 38, 42 à 45 ;</w:t>
            </w:r>
          </w:p>
          <w:p w14:paraId="0C1DB68B" w14:textId="77777777" w:rsidR="007D642D" w:rsidRPr="00961E0F" w:rsidRDefault="007D642D" w:rsidP="00B15424">
            <w:pPr>
              <w:pStyle w:val="TableCarCarCarCarCarCarCarCarCar"/>
              <w:keepLines w:val="0"/>
              <w:widowControl w:val="0"/>
              <w:rPr>
                <w:rFonts w:ascii="Times New Roman" w:hAnsi="Times New Roman"/>
                <w:color w:val="000000"/>
                <w:szCs w:val="22"/>
                <w:lang w:val="pl-PL"/>
              </w:rPr>
            </w:pPr>
            <w:r w:rsidRPr="00961E0F">
              <w:rPr>
                <w:rFonts w:ascii="Times New Roman" w:hAnsi="Times New Roman"/>
                <w:color w:val="000000"/>
                <w:szCs w:val="22"/>
                <w:lang w:val="fr-FR"/>
              </w:rPr>
              <w:t>6-MP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26 à 46</w:t>
            </w:r>
          </w:p>
        </w:tc>
      </w:tr>
      <w:tr w:rsidR="007D642D" w:rsidRPr="00961E0F" w14:paraId="2EDAECA9" w14:textId="77777777" w:rsidTr="00B15424">
        <w:trPr>
          <w:cantSplit/>
        </w:trPr>
        <w:tc>
          <w:tcPr>
            <w:tcW w:w="2148" w:type="dxa"/>
            <w:tcBorders>
              <w:top w:val="nil"/>
              <w:bottom w:val="single" w:sz="4" w:space="0" w:color="auto"/>
            </w:tcBorders>
            <w:shd w:val="clear" w:color="auto" w:fill="auto"/>
          </w:tcPr>
          <w:p w14:paraId="2FBE24CE"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rPr>
            </w:pPr>
            <w:r w:rsidRPr="00961E0F">
              <w:rPr>
                <w:rFonts w:ascii="Times New Roman" w:hAnsi="Times New Roman"/>
                <w:color w:val="000000"/>
                <w:szCs w:val="22"/>
              </w:rPr>
              <w:t>Traitement de consolidation</w:t>
            </w:r>
          </w:p>
        </w:tc>
        <w:tc>
          <w:tcPr>
            <w:tcW w:w="6732" w:type="dxa"/>
            <w:gridSpan w:val="4"/>
            <w:tcBorders>
              <w:top w:val="nil"/>
              <w:bottom w:val="single" w:sz="4" w:space="0" w:color="auto"/>
            </w:tcBorders>
            <w:shd w:val="clear" w:color="auto" w:fill="auto"/>
          </w:tcPr>
          <w:p w14:paraId="2C96B1DA" w14:textId="77777777" w:rsidR="00213F69"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2C31C8D2" w14:textId="77777777" w:rsidR="00213F69" w:rsidRPr="00961E0F" w:rsidRDefault="00213F69"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w:t>
            </w:r>
            <w:r w:rsidR="007D642D" w:rsidRPr="00961E0F">
              <w:rPr>
                <w:rFonts w:ascii="Times New Roman" w:hAnsi="Times New Roman"/>
                <w:color w:val="000000"/>
                <w:szCs w:val="22"/>
                <w:lang w:val="fr-FR"/>
              </w:rPr>
              <w:t>indésine 3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jour 1 ;</w:t>
            </w:r>
          </w:p>
          <w:p w14:paraId="0CF1E4DA" w14:textId="77777777" w:rsidR="00213F69" w:rsidRPr="00961E0F" w:rsidRDefault="007D642D" w:rsidP="00B15424">
            <w:pPr>
              <w:pStyle w:val="TableCarCarCarCarCarCarCarCarCar"/>
              <w:keepNext w:val="0"/>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1,5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1 ;</w:t>
            </w:r>
          </w:p>
          <w:p w14:paraId="36E53A64" w14:textId="77777777" w:rsidR="00213F69" w:rsidRPr="00961E0F" w:rsidRDefault="00213F69"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E</w:t>
            </w:r>
            <w:r w:rsidR="007D642D" w:rsidRPr="00961E0F">
              <w:rPr>
                <w:rFonts w:ascii="Times New Roman" w:hAnsi="Times New Roman"/>
                <w:color w:val="000000"/>
                <w:szCs w:val="22"/>
                <w:lang w:val="fr-FR"/>
              </w:rPr>
              <w:t>toposide 250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(1 h) jours 4 à 5 ;</w:t>
            </w:r>
          </w:p>
          <w:p w14:paraId="12FDD4D7"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2x 2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3 h, toutes les 12 h), jour 5</w:t>
            </w:r>
          </w:p>
        </w:tc>
      </w:tr>
      <w:tr w:rsidR="007D642D" w:rsidRPr="00961E0F" w14:paraId="161D37C7" w14:textId="77777777" w:rsidTr="00B15424">
        <w:trPr>
          <w:cantSplit/>
        </w:trPr>
        <w:tc>
          <w:tcPr>
            <w:tcW w:w="2148" w:type="dxa"/>
            <w:tcBorders>
              <w:top w:val="nil"/>
              <w:bottom w:val="single" w:sz="4" w:space="0" w:color="auto"/>
            </w:tcBorders>
            <w:shd w:val="clear" w:color="auto" w:fill="auto"/>
          </w:tcPr>
          <w:p w14:paraId="1FB5DDD9" w14:textId="77777777" w:rsidR="007D642D" w:rsidRPr="00961E0F" w:rsidRDefault="007D642D" w:rsidP="00B15424">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lastRenderedPageBreak/>
              <w:t>Etude AJP01</w:t>
            </w:r>
          </w:p>
        </w:tc>
        <w:tc>
          <w:tcPr>
            <w:tcW w:w="2652" w:type="dxa"/>
            <w:tcBorders>
              <w:top w:val="nil"/>
              <w:bottom w:val="single" w:sz="4" w:space="0" w:color="auto"/>
            </w:tcBorders>
            <w:shd w:val="clear" w:color="auto" w:fill="auto"/>
          </w:tcPr>
          <w:p w14:paraId="1F0C8821"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080" w:type="dxa"/>
            <w:tcBorders>
              <w:top w:val="nil"/>
              <w:bottom w:val="single" w:sz="4" w:space="0" w:color="auto"/>
            </w:tcBorders>
          </w:tcPr>
          <w:p w14:paraId="3ECF199A"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380" w:type="dxa"/>
            <w:tcBorders>
              <w:top w:val="nil"/>
              <w:bottom w:val="single" w:sz="4" w:space="0" w:color="auto"/>
            </w:tcBorders>
          </w:tcPr>
          <w:p w14:paraId="2A160AF4"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620" w:type="dxa"/>
            <w:tcBorders>
              <w:top w:val="nil"/>
              <w:bottom w:val="single" w:sz="4" w:space="0" w:color="auto"/>
            </w:tcBorders>
          </w:tcPr>
          <w:p w14:paraId="2AAEFC99"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r>
      <w:tr w:rsidR="007D642D" w:rsidRPr="00961E0F" w14:paraId="26AAF4CD" w14:textId="77777777" w:rsidTr="00B15424">
        <w:trPr>
          <w:cantSplit/>
        </w:trPr>
        <w:tc>
          <w:tcPr>
            <w:tcW w:w="2148" w:type="dxa"/>
            <w:tcBorders>
              <w:top w:val="nil"/>
              <w:bottom w:val="single" w:sz="4" w:space="0" w:color="auto"/>
            </w:tcBorders>
            <w:shd w:val="clear" w:color="auto" w:fill="auto"/>
          </w:tcPr>
          <w:p w14:paraId="79F177A0" w14:textId="77777777" w:rsidR="007D642D" w:rsidRPr="00961E0F" w:rsidRDefault="00B15424" w:rsidP="00B15424">
            <w:pPr>
              <w:pStyle w:val="TableCarCarCarCarCarCarCarCarCar"/>
              <w:keepLines w:val="0"/>
              <w:widowControl w:val="0"/>
              <w:jc w:val="both"/>
              <w:rPr>
                <w:rFonts w:ascii="Times New Roman" w:hAnsi="Times New Roman"/>
                <w:color w:val="000000"/>
                <w:szCs w:val="22"/>
              </w:rPr>
            </w:pPr>
            <w:r>
              <w:rPr>
                <w:rFonts w:ascii="Times New Roman" w:hAnsi="Times New Roman"/>
                <w:color w:val="000000"/>
                <w:szCs w:val="22"/>
              </w:rPr>
              <w:t>Traitement d’induction</w:t>
            </w:r>
          </w:p>
        </w:tc>
        <w:tc>
          <w:tcPr>
            <w:tcW w:w="6732" w:type="dxa"/>
            <w:gridSpan w:val="4"/>
            <w:tcBorders>
              <w:top w:val="nil"/>
              <w:bottom w:val="single" w:sz="4" w:space="0" w:color="auto"/>
            </w:tcBorders>
            <w:shd w:val="clear" w:color="auto" w:fill="auto"/>
          </w:tcPr>
          <w:p w14:paraId="3F872704" w14:textId="77777777" w:rsidR="00213F69" w:rsidRPr="00961E0F" w:rsidRDefault="007D642D" w:rsidP="00B15424">
            <w:pPr>
              <w:pStyle w:val="TableCarCarCarCarCarCarCarCarCar"/>
              <w:keepLines w:val="0"/>
              <w:widowControl w:val="0"/>
              <w:rPr>
                <w:rFonts w:ascii="Times New Roman" w:hAnsi="Times New Roman"/>
                <w:color w:val="000000"/>
                <w:szCs w:val="22"/>
                <w:lang w:val="fr-CH"/>
              </w:rPr>
            </w:pPr>
            <w:r w:rsidRPr="00961E0F">
              <w:rPr>
                <w:rFonts w:ascii="Times New Roman" w:hAnsi="Times New Roman"/>
                <w:color w:val="000000"/>
                <w:szCs w:val="22"/>
                <w:lang w:val="fr-CH"/>
              </w:rPr>
              <w:t>CP 1,2 g/m</w:t>
            </w:r>
            <w:r w:rsidRPr="00961E0F">
              <w:rPr>
                <w:rFonts w:ascii="Times New Roman" w:hAnsi="Times New Roman"/>
                <w:color w:val="000000"/>
                <w:szCs w:val="22"/>
                <w:vertAlign w:val="superscript"/>
                <w:lang w:val="fr-CH"/>
              </w:rPr>
              <w:t>2</w:t>
            </w:r>
            <w:r w:rsidRPr="00961E0F">
              <w:rPr>
                <w:rFonts w:ascii="Times New Roman" w:hAnsi="Times New Roman"/>
                <w:color w:val="000000"/>
                <w:szCs w:val="22"/>
                <w:lang w:val="fr-CH"/>
              </w:rPr>
              <w:t xml:space="preserve"> i.v. (3 h), jour 1 ;</w:t>
            </w:r>
          </w:p>
          <w:p w14:paraId="3EF0A1E4" w14:textId="77777777" w:rsidR="00213F69"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w:t>
            </w:r>
            <w:r w:rsidR="007D642D" w:rsidRPr="00961E0F">
              <w:rPr>
                <w:rFonts w:ascii="Times New Roman" w:hAnsi="Times New Roman"/>
                <w:color w:val="000000"/>
                <w:szCs w:val="22"/>
                <w:lang w:val="fr-FR"/>
              </w:rPr>
              <w:t>aunorubicine 60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(1 h), jours 1 à 3 ;</w:t>
            </w:r>
          </w:p>
          <w:p w14:paraId="307F6EB6" w14:textId="77777777" w:rsidR="00213F69"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w:t>
            </w:r>
            <w:r w:rsidR="007D642D" w:rsidRPr="00961E0F">
              <w:rPr>
                <w:rFonts w:ascii="Times New Roman" w:hAnsi="Times New Roman"/>
                <w:color w:val="000000"/>
                <w:szCs w:val="22"/>
                <w:lang w:val="fr-FR"/>
              </w:rPr>
              <w:t>incristine 1,3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jours 1, 8, 15, 21 ;</w:t>
            </w:r>
          </w:p>
          <w:p w14:paraId="23C70F84" w14:textId="77777777" w:rsidR="007D642D"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w:t>
            </w:r>
            <w:r w:rsidR="007D642D" w:rsidRPr="00961E0F">
              <w:rPr>
                <w:rFonts w:ascii="Times New Roman" w:hAnsi="Times New Roman"/>
                <w:color w:val="000000"/>
                <w:szCs w:val="22"/>
                <w:lang w:val="fr-FR"/>
              </w:rPr>
              <w:t>rédnisolone 60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/jour oral</w:t>
            </w:r>
          </w:p>
        </w:tc>
      </w:tr>
      <w:tr w:rsidR="007D642D" w:rsidRPr="00961E0F" w14:paraId="66CA74FB" w14:textId="77777777" w:rsidTr="00B15424">
        <w:trPr>
          <w:cantSplit/>
        </w:trPr>
        <w:tc>
          <w:tcPr>
            <w:tcW w:w="2148" w:type="dxa"/>
            <w:tcBorders>
              <w:top w:val="single" w:sz="4" w:space="0" w:color="auto"/>
              <w:bottom w:val="single" w:sz="4" w:space="0" w:color="auto"/>
            </w:tcBorders>
            <w:shd w:val="clear" w:color="auto" w:fill="auto"/>
          </w:tcPr>
          <w:p w14:paraId="077E18A5" w14:textId="77777777" w:rsidR="007D642D" w:rsidRPr="00961E0F" w:rsidRDefault="007D642D" w:rsidP="00B15424">
            <w:pPr>
              <w:pStyle w:val="TableCarCarCarCarCarCarCarCarCar"/>
              <w:keepLines w:val="0"/>
              <w:widowControl w:val="0"/>
              <w:tabs>
                <w:tab w:val="left" w:pos="0"/>
              </w:tabs>
              <w:rPr>
                <w:rFonts w:ascii="Times New Roman" w:hAnsi="Times New Roman"/>
                <w:color w:val="000000"/>
                <w:szCs w:val="22"/>
              </w:rPr>
            </w:pPr>
            <w:r w:rsidRPr="00961E0F">
              <w:rPr>
                <w:rFonts w:ascii="Times New Roman" w:hAnsi="Times New Roman"/>
                <w:color w:val="000000"/>
                <w:szCs w:val="22"/>
              </w:rPr>
              <w:t>Traitement de consolidation</w:t>
            </w:r>
          </w:p>
        </w:tc>
        <w:tc>
          <w:tcPr>
            <w:tcW w:w="6732" w:type="dxa"/>
            <w:gridSpan w:val="4"/>
            <w:tcBorders>
              <w:top w:val="single" w:sz="4" w:space="0" w:color="auto"/>
              <w:bottom w:val="single" w:sz="4" w:space="0" w:color="auto"/>
            </w:tcBorders>
            <w:shd w:val="clear" w:color="auto" w:fill="auto"/>
          </w:tcPr>
          <w:p w14:paraId="0B841FF3" w14:textId="77777777" w:rsidR="007D642D"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R</w:t>
            </w:r>
            <w:r w:rsidR="007D642D" w:rsidRPr="00961E0F">
              <w:rPr>
                <w:rFonts w:ascii="Times New Roman" w:hAnsi="Times New Roman"/>
                <w:color w:val="000000"/>
                <w:szCs w:val="22"/>
                <w:lang w:val="fr-FR"/>
              </w:rPr>
              <w:t xml:space="preserve">égime de chimiothérapie en alternance : chimiothérapie à hautes doses de </w:t>
            </w:r>
            <w:smartTag w:uri="urn:schemas-microsoft-com:office:smarttags" w:element="stockticker">
              <w:r w:rsidR="007D642D" w:rsidRPr="00961E0F">
                <w:rPr>
                  <w:rFonts w:ascii="Times New Roman" w:hAnsi="Times New Roman"/>
                  <w:color w:val="000000"/>
                  <w:szCs w:val="22"/>
                  <w:lang w:val="fr-FR"/>
                </w:rPr>
                <w:t>MTX</w:t>
              </w:r>
            </w:smartTag>
            <w:r w:rsidR="007D642D" w:rsidRPr="00961E0F">
              <w:rPr>
                <w:rFonts w:ascii="Times New Roman" w:hAnsi="Times New Roman"/>
                <w:color w:val="000000"/>
                <w:szCs w:val="22"/>
                <w:lang w:val="fr-FR"/>
              </w:rPr>
              <w:t xml:space="preserve"> 1 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(24 h), jour 1, et Ara-C 2 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(toutes les 12 h), jours 2 et 3, pour 4 cycles</w:t>
            </w:r>
          </w:p>
        </w:tc>
      </w:tr>
      <w:tr w:rsidR="007D642D" w:rsidRPr="00961E0F" w14:paraId="06C0F8C4" w14:textId="77777777" w:rsidTr="00B15424">
        <w:trPr>
          <w:cantSplit/>
        </w:trPr>
        <w:tc>
          <w:tcPr>
            <w:tcW w:w="2148" w:type="dxa"/>
            <w:tcBorders>
              <w:top w:val="single" w:sz="4" w:space="0" w:color="auto"/>
              <w:bottom w:val="single" w:sz="4" w:space="0" w:color="auto"/>
            </w:tcBorders>
            <w:shd w:val="clear" w:color="auto" w:fill="auto"/>
          </w:tcPr>
          <w:p w14:paraId="7FF6BADD" w14:textId="77777777" w:rsidR="007D642D" w:rsidRPr="00961E0F" w:rsidRDefault="007D642D" w:rsidP="00B15424">
            <w:pPr>
              <w:pStyle w:val="TableCarCarCarCarCarCarCarCarCar"/>
              <w:keepNext w:val="0"/>
              <w:keepLines w:val="0"/>
              <w:widowControl w:val="0"/>
              <w:tabs>
                <w:tab w:val="left" w:pos="0"/>
              </w:tabs>
              <w:rPr>
                <w:rFonts w:ascii="Times New Roman" w:hAnsi="Times New Roman"/>
                <w:color w:val="000000"/>
                <w:szCs w:val="22"/>
              </w:rPr>
            </w:pPr>
            <w:r w:rsidRPr="00961E0F">
              <w:rPr>
                <w:rFonts w:ascii="Times New Roman" w:hAnsi="Times New Roman"/>
                <w:color w:val="000000"/>
                <w:szCs w:val="22"/>
              </w:rPr>
              <w:t>Traitement d’entretien</w:t>
            </w:r>
          </w:p>
        </w:tc>
        <w:tc>
          <w:tcPr>
            <w:tcW w:w="6732" w:type="dxa"/>
            <w:gridSpan w:val="4"/>
            <w:tcBorders>
              <w:top w:val="single" w:sz="4" w:space="0" w:color="auto"/>
              <w:bottom w:val="single" w:sz="4" w:space="0" w:color="auto"/>
            </w:tcBorders>
            <w:shd w:val="clear" w:color="auto" w:fill="auto"/>
          </w:tcPr>
          <w:p w14:paraId="376BAFE4" w14:textId="77777777" w:rsidR="00213F69" w:rsidRPr="00961E0F" w:rsidRDefault="007D642D" w:rsidP="00B15424">
            <w:pPr>
              <w:pStyle w:val="TableCarCarCarCarCarCarCarCarCar"/>
              <w:keepNext w:val="0"/>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1,3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 1 ;</w:t>
            </w:r>
          </w:p>
          <w:p w14:paraId="39477E31" w14:textId="77777777" w:rsidR="007D642D" w:rsidRPr="00961E0F" w:rsidRDefault="00213F69"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w:t>
            </w:r>
            <w:r w:rsidR="007D642D" w:rsidRPr="00961E0F">
              <w:rPr>
                <w:rFonts w:ascii="Times New Roman" w:hAnsi="Times New Roman"/>
                <w:color w:val="000000"/>
                <w:szCs w:val="22"/>
                <w:lang w:val="fr-FR"/>
              </w:rPr>
              <w:t>rédnisolone 60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oral, jours 1 à 5</w:t>
            </w:r>
          </w:p>
        </w:tc>
      </w:tr>
      <w:tr w:rsidR="007D642D" w:rsidRPr="00961E0F" w14:paraId="0753936F" w14:textId="77777777" w:rsidTr="00B15424">
        <w:trPr>
          <w:cantSplit/>
        </w:trPr>
        <w:tc>
          <w:tcPr>
            <w:tcW w:w="4800" w:type="dxa"/>
            <w:gridSpan w:val="2"/>
            <w:tcBorders>
              <w:top w:val="single" w:sz="4" w:space="0" w:color="auto"/>
              <w:bottom w:val="single" w:sz="4" w:space="0" w:color="auto"/>
            </w:tcBorders>
            <w:shd w:val="clear" w:color="auto" w:fill="auto"/>
          </w:tcPr>
          <w:p w14:paraId="34143E50"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b/>
                <w:color w:val="000000"/>
                <w:szCs w:val="22"/>
              </w:rPr>
              <w:t>Etude AUS01</w:t>
            </w:r>
          </w:p>
        </w:tc>
        <w:tc>
          <w:tcPr>
            <w:tcW w:w="1080" w:type="dxa"/>
            <w:tcBorders>
              <w:top w:val="single" w:sz="4" w:space="0" w:color="auto"/>
              <w:bottom w:val="single" w:sz="4" w:space="0" w:color="auto"/>
            </w:tcBorders>
          </w:tcPr>
          <w:p w14:paraId="07A74501"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370EE4D8"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516E161F" w14:textId="77777777" w:rsidR="007D642D" w:rsidRPr="00961E0F" w:rsidRDefault="007D642D" w:rsidP="00B15424">
            <w:pPr>
              <w:pStyle w:val="TableCarCarCarCarCarCarCarCarCar"/>
              <w:keepLines w:val="0"/>
              <w:widowControl w:val="0"/>
              <w:rPr>
                <w:rFonts w:ascii="Times New Roman" w:hAnsi="Times New Roman"/>
                <w:color w:val="000000"/>
                <w:szCs w:val="22"/>
              </w:rPr>
            </w:pPr>
          </w:p>
        </w:tc>
      </w:tr>
      <w:tr w:rsidR="007D642D" w:rsidRPr="00961E0F" w14:paraId="11D5E199" w14:textId="77777777" w:rsidTr="00B15424">
        <w:trPr>
          <w:cantSplit/>
        </w:trPr>
        <w:tc>
          <w:tcPr>
            <w:tcW w:w="2148" w:type="dxa"/>
            <w:tcBorders>
              <w:top w:val="single" w:sz="4" w:space="0" w:color="auto"/>
              <w:bottom w:val="single" w:sz="4" w:space="0" w:color="auto"/>
            </w:tcBorders>
            <w:shd w:val="clear" w:color="auto" w:fill="auto"/>
          </w:tcPr>
          <w:p w14:paraId="2C4BB994"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et de consolidation</w:t>
            </w:r>
          </w:p>
        </w:tc>
        <w:tc>
          <w:tcPr>
            <w:tcW w:w="6732" w:type="dxa"/>
            <w:gridSpan w:val="4"/>
            <w:tcBorders>
              <w:top w:val="single" w:sz="4" w:space="0" w:color="auto"/>
              <w:bottom w:val="single" w:sz="4" w:space="0" w:color="auto"/>
            </w:tcBorders>
            <w:shd w:val="clear" w:color="auto" w:fill="auto"/>
          </w:tcPr>
          <w:p w14:paraId="701B3BB4"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Protocole Hyper-CVAD : CP 300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3 h, toutes les 12 h), jours 1 à 3 ;</w:t>
            </w:r>
          </w:p>
          <w:p w14:paraId="5FCE5988" w14:textId="77777777" w:rsidR="00213F69"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w:t>
            </w:r>
            <w:r w:rsidR="007D642D" w:rsidRPr="00961E0F">
              <w:rPr>
                <w:rFonts w:ascii="Times New Roman" w:hAnsi="Times New Roman"/>
                <w:color w:val="000000"/>
                <w:szCs w:val="22"/>
                <w:lang w:val="fr-FR"/>
              </w:rPr>
              <w:t>incristine 2 mg i.v., jours 4 et 11 ;</w:t>
            </w:r>
          </w:p>
          <w:p w14:paraId="0A4D9B0A" w14:textId="77777777" w:rsidR="007969B9"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w:t>
            </w:r>
            <w:r w:rsidR="007D642D" w:rsidRPr="00961E0F">
              <w:rPr>
                <w:rFonts w:ascii="Times New Roman" w:hAnsi="Times New Roman"/>
                <w:color w:val="000000"/>
                <w:szCs w:val="22"/>
                <w:lang w:val="fr-FR"/>
              </w:rPr>
              <w:t>oxorubicine 50 mg/m</w:t>
            </w:r>
            <w:r w:rsidR="007D642D" w:rsidRPr="00961E0F">
              <w:rPr>
                <w:rFonts w:ascii="Times New Roman" w:hAnsi="Times New Roman"/>
                <w:color w:val="000000"/>
                <w:szCs w:val="22"/>
                <w:vertAlign w:val="superscript"/>
                <w:lang w:val="fr-FR"/>
              </w:rPr>
              <w:t>2</w:t>
            </w:r>
            <w:r w:rsidR="007D642D" w:rsidRPr="00961E0F">
              <w:rPr>
                <w:rFonts w:ascii="Times New Roman" w:hAnsi="Times New Roman"/>
                <w:color w:val="000000"/>
                <w:szCs w:val="22"/>
                <w:lang w:val="fr-FR"/>
              </w:rPr>
              <w:t xml:space="preserve"> i.v. (24 h), jour 4 ;</w:t>
            </w:r>
          </w:p>
          <w:p w14:paraId="5E417FEF"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DEX 40 mg/day jours 1 à 4 et 11 à 14, en alternance avec </w:t>
            </w: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1, Ara-C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2 h, toutes les 12 h), jours 2 et 3 (pour un total de 8 cycles)</w:t>
            </w:r>
          </w:p>
        </w:tc>
      </w:tr>
      <w:tr w:rsidR="007D642D" w:rsidRPr="00961E0F" w14:paraId="130064A5" w14:textId="77777777" w:rsidTr="00B15424">
        <w:trPr>
          <w:cantSplit/>
        </w:trPr>
        <w:tc>
          <w:tcPr>
            <w:tcW w:w="2148" w:type="dxa"/>
            <w:tcBorders>
              <w:top w:val="single" w:sz="4" w:space="0" w:color="auto"/>
              <w:bottom w:val="single" w:sz="4" w:space="0" w:color="auto"/>
            </w:tcBorders>
            <w:shd w:val="clear" w:color="auto" w:fill="auto"/>
          </w:tcPr>
          <w:p w14:paraId="553C6207" w14:textId="77777777" w:rsidR="007D642D" w:rsidRPr="00961E0F" w:rsidRDefault="007D642D" w:rsidP="00B15424">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d’entretien</w:t>
            </w:r>
          </w:p>
        </w:tc>
        <w:tc>
          <w:tcPr>
            <w:tcW w:w="6732" w:type="dxa"/>
            <w:gridSpan w:val="4"/>
            <w:tcBorders>
              <w:top w:val="single" w:sz="4" w:space="0" w:color="auto"/>
              <w:bottom w:val="single" w:sz="4" w:space="0" w:color="auto"/>
            </w:tcBorders>
            <w:shd w:val="clear" w:color="auto" w:fill="auto"/>
          </w:tcPr>
          <w:p w14:paraId="08899045" w14:textId="77777777" w:rsidR="00213F69" w:rsidRPr="00961E0F" w:rsidRDefault="007D642D" w:rsidP="00B15424">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2 mg i.v. une fois par mois pendant 13 mois ;</w:t>
            </w:r>
          </w:p>
          <w:p w14:paraId="207065DC" w14:textId="77777777" w:rsidR="007D642D" w:rsidRPr="00961E0F" w:rsidRDefault="00213F69"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w:t>
            </w:r>
            <w:r w:rsidR="007D642D" w:rsidRPr="00961E0F">
              <w:rPr>
                <w:rFonts w:ascii="Times New Roman" w:hAnsi="Times New Roman"/>
                <w:color w:val="000000"/>
                <w:szCs w:val="22"/>
                <w:lang w:val="fr-FR"/>
              </w:rPr>
              <w:t>rédnisolone 200 mg oral, 5 jours par mois pendant 13 mois</w:t>
            </w:r>
          </w:p>
        </w:tc>
      </w:tr>
      <w:tr w:rsidR="007D642D" w:rsidRPr="00961E0F" w14:paraId="55AFE6EF" w14:textId="77777777" w:rsidTr="00B15424">
        <w:trPr>
          <w:cantSplit/>
        </w:trPr>
        <w:tc>
          <w:tcPr>
            <w:tcW w:w="8880" w:type="dxa"/>
            <w:gridSpan w:val="5"/>
            <w:tcBorders>
              <w:top w:val="single" w:sz="4" w:space="0" w:color="auto"/>
              <w:bottom w:val="single" w:sz="4" w:space="0" w:color="auto"/>
            </w:tcBorders>
            <w:shd w:val="clear" w:color="auto" w:fill="auto"/>
          </w:tcPr>
          <w:p w14:paraId="1121B881" w14:textId="77777777" w:rsidR="007D642D" w:rsidRPr="00961E0F" w:rsidRDefault="007D642D" w:rsidP="00B15424">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Tous les schémas thérapeutiques comprennent l’administration de corticoïdes en prophylaxie neuroméningée.</w:t>
            </w:r>
          </w:p>
        </w:tc>
      </w:tr>
      <w:tr w:rsidR="007D642D" w:rsidRPr="00961E0F" w14:paraId="71A9528F" w14:textId="77777777" w:rsidTr="00B15424">
        <w:trPr>
          <w:cantSplit/>
        </w:trPr>
        <w:tc>
          <w:tcPr>
            <w:tcW w:w="8880" w:type="dxa"/>
            <w:gridSpan w:val="5"/>
            <w:tcBorders>
              <w:top w:val="single" w:sz="4" w:space="0" w:color="auto"/>
              <w:bottom w:val="single" w:sz="4" w:space="0" w:color="auto"/>
            </w:tcBorders>
            <w:shd w:val="clear" w:color="auto" w:fill="auto"/>
          </w:tcPr>
          <w:p w14:paraId="583B2FE5" w14:textId="77777777" w:rsidR="007D642D" w:rsidRPr="00961E0F" w:rsidRDefault="007D642D" w:rsidP="00B15424">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Ara-C : cytarabine ; CP : cyclophosphamide ; DEX : dexaméthasone ; </w:t>
            </w: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 méthotrexate ; 6-MP : 6-mercaptopurine ; VM26 : téniposide ; </w:t>
            </w: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 vincristine ; </w:t>
            </w:r>
            <w:smartTag w:uri="urn:schemas-microsoft-com:office:smarttags" w:element="stockticker">
              <w:r w:rsidRPr="00961E0F">
                <w:rPr>
                  <w:rFonts w:ascii="Times New Roman" w:hAnsi="Times New Roman"/>
                  <w:color w:val="000000"/>
                  <w:szCs w:val="22"/>
                  <w:lang w:val="fr-FR"/>
                </w:rPr>
                <w:t>IDA</w:t>
              </w:r>
            </w:smartTag>
            <w:r w:rsidRPr="00961E0F">
              <w:rPr>
                <w:rFonts w:ascii="Times New Roman" w:hAnsi="Times New Roman"/>
                <w:color w:val="000000"/>
                <w:szCs w:val="22"/>
                <w:lang w:val="fr-FR"/>
              </w:rPr>
              <w:t> : idarubicine ; i.v. : intraveineux</w:t>
            </w:r>
          </w:p>
        </w:tc>
      </w:tr>
    </w:tbl>
    <w:p w14:paraId="07D12726" w14:textId="77777777" w:rsidR="007D642D" w:rsidRPr="00961E0F" w:rsidRDefault="007D642D">
      <w:pPr>
        <w:pStyle w:val="EndnoteText"/>
        <w:widowControl w:val="0"/>
        <w:rPr>
          <w:color w:val="000000"/>
          <w:szCs w:val="22"/>
          <w:lang w:val="fr-FR"/>
        </w:rPr>
      </w:pPr>
    </w:p>
    <w:p w14:paraId="7DD77F31" w14:textId="77777777" w:rsidR="002378D3" w:rsidRPr="00961E0F" w:rsidRDefault="007978C9">
      <w:pPr>
        <w:pStyle w:val="EndnoteText"/>
        <w:widowControl w:val="0"/>
        <w:rPr>
          <w:color w:val="000000"/>
          <w:szCs w:val="22"/>
          <w:lang w:val="fr-FR"/>
        </w:rPr>
      </w:pPr>
      <w:r w:rsidRPr="00961E0F">
        <w:rPr>
          <w:color w:val="000000"/>
          <w:szCs w:val="22"/>
          <w:lang w:val="fr-FR"/>
        </w:rPr>
        <w:t>P</w:t>
      </w:r>
      <w:r w:rsidR="00644669" w:rsidRPr="00961E0F">
        <w:rPr>
          <w:color w:val="000000"/>
          <w:szCs w:val="22"/>
          <w:lang w:val="fr-FR"/>
        </w:rPr>
        <w:t>opulation</w:t>
      </w:r>
      <w:r w:rsidRPr="00961E0F">
        <w:rPr>
          <w:color w:val="000000"/>
          <w:szCs w:val="22"/>
          <w:lang w:val="fr-FR"/>
        </w:rPr>
        <w:t xml:space="preserve"> pédiatrique</w:t>
      </w:r>
      <w:r w:rsidR="002378D3" w:rsidRPr="00961E0F">
        <w:rPr>
          <w:color w:val="000000"/>
          <w:szCs w:val="22"/>
          <w:lang w:val="fr-FR"/>
        </w:rPr>
        <w:t xml:space="preserve"> : </w:t>
      </w:r>
      <w:r w:rsidR="00376D2C" w:rsidRPr="00961E0F">
        <w:rPr>
          <w:color w:val="000000"/>
          <w:szCs w:val="22"/>
          <w:lang w:val="fr-FR"/>
        </w:rPr>
        <w:t>D</w:t>
      </w:r>
      <w:r w:rsidR="002378D3" w:rsidRPr="00961E0F">
        <w:rPr>
          <w:color w:val="000000"/>
          <w:szCs w:val="22"/>
          <w:lang w:val="fr-FR"/>
        </w:rPr>
        <w:t>ans l’étude I2301</w:t>
      </w:r>
      <w:r w:rsidR="00644669" w:rsidRPr="00961E0F">
        <w:rPr>
          <w:color w:val="000000"/>
          <w:szCs w:val="22"/>
          <w:lang w:val="fr-FR"/>
        </w:rPr>
        <w:t xml:space="preserve">, de phase III, </w:t>
      </w:r>
      <w:r w:rsidR="00376D2C" w:rsidRPr="00961E0F">
        <w:rPr>
          <w:color w:val="000000"/>
          <w:szCs w:val="22"/>
          <w:lang w:val="fr-FR"/>
        </w:rPr>
        <w:t>non randomisé</w:t>
      </w:r>
      <w:r w:rsidR="00F87971" w:rsidRPr="00961E0F">
        <w:rPr>
          <w:color w:val="000000"/>
          <w:szCs w:val="22"/>
          <w:lang w:val="fr-FR"/>
        </w:rPr>
        <w:t>e</w:t>
      </w:r>
      <w:r w:rsidR="00376D2C" w:rsidRPr="00961E0F">
        <w:rPr>
          <w:color w:val="000000"/>
          <w:szCs w:val="22"/>
          <w:lang w:val="fr-FR"/>
        </w:rPr>
        <w:t xml:space="preserve">, </w:t>
      </w:r>
      <w:r w:rsidR="00644669" w:rsidRPr="00961E0F">
        <w:rPr>
          <w:color w:val="000000"/>
          <w:szCs w:val="22"/>
          <w:lang w:val="fr-FR"/>
        </w:rPr>
        <w:t>en ouvert, multicentrique, en cohortes séquentielles</w:t>
      </w:r>
      <w:r w:rsidR="002378D3" w:rsidRPr="00961E0F">
        <w:rPr>
          <w:color w:val="000000"/>
          <w:szCs w:val="22"/>
          <w:lang w:val="fr-FR"/>
        </w:rPr>
        <w:t>, un total</w:t>
      </w:r>
      <w:r w:rsidR="003D2D72" w:rsidRPr="00961E0F">
        <w:rPr>
          <w:color w:val="000000"/>
          <w:szCs w:val="22"/>
          <w:lang w:val="fr-FR"/>
        </w:rPr>
        <w:t xml:space="preserve"> de 93 </w:t>
      </w:r>
      <w:r w:rsidR="00644669" w:rsidRPr="00961E0F">
        <w:rPr>
          <w:color w:val="000000"/>
          <w:szCs w:val="22"/>
          <w:lang w:val="fr-FR"/>
        </w:rPr>
        <w:t>enfants</w:t>
      </w:r>
      <w:r w:rsidR="002378D3" w:rsidRPr="00961E0F">
        <w:rPr>
          <w:color w:val="000000"/>
          <w:szCs w:val="22"/>
          <w:lang w:val="fr-FR"/>
        </w:rPr>
        <w:t>, adolescents et je</w:t>
      </w:r>
      <w:r w:rsidR="003D2D72" w:rsidRPr="00961E0F">
        <w:rPr>
          <w:color w:val="000000"/>
          <w:szCs w:val="22"/>
          <w:lang w:val="fr-FR"/>
        </w:rPr>
        <w:t>unes adultes (âgés de 1 à 22 </w:t>
      </w:r>
      <w:r w:rsidR="002378D3" w:rsidRPr="00961E0F">
        <w:rPr>
          <w:color w:val="000000"/>
          <w:szCs w:val="22"/>
          <w:lang w:val="fr-FR"/>
        </w:rPr>
        <w:t>ans) atteints d’une LAL Ph+ ont été inclus</w:t>
      </w:r>
      <w:r w:rsidR="009D1B0B" w:rsidRPr="00961E0F">
        <w:rPr>
          <w:color w:val="000000"/>
          <w:szCs w:val="22"/>
          <w:lang w:val="fr-FR"/>
        </w:rPr>
        <w:t xml:space="preserve"> et traités par Glivec (340</w:t>
      </w:r>
      <w:r w:rsidR="003D2D72" w:rsidRPr="00961E0F">
        <w:rPr>
          <w:color w:val="000000"/>
          <w:szCs w:val="22"/>
          <w:lang w:val="fr-FR"/>
        </w:rPr>
        <w:t> </w:t>
      </w:r>
      <w:r w:rsidR="009D1B0B" w:rsidRPr="00961E0F">
        <w:rPr>
          <w:color w:val="000000"/>
          <w:szCs w:val="22"/>
          <w:lang w:val="fr-FR"/>
        </w:rPr>
        <w:t>mg/m²/jour) en association avec une chimiothérapie d’intensification après une thérapie d’induction.</w:t>
      </w:r>
      <w:r w:rsidR="0066448E" w:rsidRPr="00961E0F">
        <w:rPr>
          <w:color w:val="000000"/>
          <w:szCs w:val="22"/>
          <w:lang w:val="fr-FR"/>
        </w:rPr>
        <w:t xml:space="preserve"> Glivec a été administré par intermitence dans les cohortes 1 à 5, avec une augmentation de la durée et une administration plus précoce de cohorte en cohorte : la cohorte </w:t>
      </w:r>
      <w:smartTag w:uri="urn:schemas-microsoft-com:office:smarttags" w:element="metricconverter">
        <w:smartTagPr>
          <w:attr w:name="ProductID" w:val="1 a"/>
        </w:smartTagPr>
        <w:r w:rsidR="0066448E" w:rsidRPr="00961E0F">
          <w:rPr>
            <w:color w:val="000000"/>
            <w:szCs w:val="22"/>
            <w:lang w:val="fr-FR"/>
          </w:rPr>
          <w:t>1 a</w:t>
        </w:r>
      </w:smartTag>
      <w:r w:rsidR="0066448E" w:rsidRPr="00961E0F">
        <w:rPr>
          <w:color w:val="000000"/>
          <w:szCs w:val="22"/>
          <w:lang w:val="fr-FR"/>
        </w:rPr>
        <w:t xml:space="preserve"> reçu la plus faible intensité et la coho</w:t>
      </w:r>
      <w:r w:rsidR="003D2D72" w:rsidRPr="00961E0F">
        <w:rPr>
          <w:color w:val="000000"/>
          <w:szCs w:val="22"/>
          <w:lang w:val="fr-FR"/>
        </w:rPr>
        <w:t xml:space="preserve">rte </w:t>
      </w:r>
      <w:smartTag w:uri="urn:schemas-microsoft-com:office:smarttags" w:element="metricconverter">
        <w:smartTagPr>
          <w:attr w:name="ProductID" w:val="5 a"/>
        </w:smartTagPr>
        <w:r w:rsidR="003D2D72" w:rsidRPr="00961E0F">
          <w:rPr>
            <w:color w:val="000000"/>
            <w:szCs w:val="22"/>
            <w:lang w:val="fr-FR"/>
          </w:rPr>
          <w:t xml:space="preserve">5 </w:t>
        </w:r>
        <w:r w:rsidR="0066448E" w:rsidRPr="00961E0F">
          <w:rPr>
            <w:color w:val="000000"/>
            <w:szCs w:val="22"/>
            <w:lang w:val="fr-FR"/>
          </w:rPr>
          <w:t>a</w:t>
        </w:r>
      </w:smartTag>
      <w:r w:rsidR="0066448E" w:rsidRPr="00961E0F">
        <w:rPr>
          <w:color w:val="000000"/>
          <w:szCs w:val="22"/>
          <w:lang w:val="fr-FR"/>
        </w:rPr>
        <w:t xml:space="preserve"> reçu la plus forte intensité de Glivec (</w:t>
      </w:r>
      <w:r w:rsidRPr="00961E0F">
        <w:rPr>
          <w:color w:val="000000"/>
          <w:szCs w:val="22"/>
          <w:lang w:val="fr-FR"/>
        </w:rPr>
        <w:t xml:space="preserve">la </w:t>
      </w:r>
      <w:r w:rsidR="0066448E" w:rsidRPr="00961E0F">
        <w:rPr>
          <w:color w:val="000000"/>
          <w:szCs w:val="22"/>
          <w:lang w:val="fr-FR"/>
        </w:rPr>
        <w:t>plus longue durée en jours avec une administration continue de la dose de Glivec durant l</w:t>
      </w:r>
      <w:r w:rsidRPr="00961E0F">
        <w:rPr>
          <w:color w:val="000000"/>
          <w:szCs w:val="22"/>
          <w:lang w:val="fr-FR"/>
        </w:rPr>
        <w:t>es</w:t>
      </w:r>
      <w:r w:rsidR="0066448E" w:rsidRPr="00961E0F">
        <w:rPr>
          <w:color w:val="000000"/>
          <w:szCs w:val="22"/>
          <w:lang w:val="fr-FR"/>
        </w:rPr>
        <w:t xml:space="preserve"> premi</w:t>
      </w:r>
      <w:r w:rsidR="00644669" w:rsidRPr="00961E0F">
        <w:rPr>
          <w:color w:val="000000"/>
          <w:szCs w:val="22"/>
          <w:lang w:val="fr-FR"/>
        </w:rPr>
        <w:t>e</w:t>
      </w:r>
      <w:r w:rsidR="0066448E" w:rsidRPr="00961E0F">
        <w:rPr>
          <w:color w:val="000000"/>
          <w:szCs w:val="22"/>
          <w:lang w:val="fr-FR"/>
        </w:rPr>
        <w:t>r</w:t>
      </w:r>
      <w:r w:rsidRPr="00961E0F">
        <w:rPr>
          <w:color w:val="000000"/>
          <w:szCs w:val="22"/>
          <w:lang w:val="fr-FR"/>
        </w:rPr>
        <w:t>s</w:t>
      </w:r>
      <w:r w:rsidR="0066448E" w:rsidRPr="00961E0F">
        <w:rPr>
          <w:color w:val="000000"/>
          <w:szCs w:val="22"/>
          <w:lang w:val="fr-FR"/>
        </w:rPr>
        <w:t xml:space="preserve"> c</w:t>
      </w:r>
      <w:r w:rsidR="00644669" w:rsidRPr="00961E0F">
        <w:rPr>
          <w:color w:val="000000"/>
          <w:szCs w:val="22"/>
          <w:lang w:val="fr-FR"/>
        </w:rPr>
        <w:t>ycle</w:t>
      </w:r>
      <w:r w:rsidRPr="00961E0F">
        <w:rPr>
          <w:color w:val="000000"/>
          <w:szCs w:val="22"/>
          <w:lang w:val="fr-FR"/>
        </w:rPr>
        <w:t>s</w:t>
      </w:r>
      <w:r w:rsidR="0066448E" w:rsidRPr="00961E0F">
        <w:rPr>
          <w:color w:val="000000"/>
          <w:szCs w:val="22"/>
          <w:lang w:val="fr-FR"/>
        </w:rPr>
        <w:t xml:space="preserve"> de chimiothérapie).</w:t>
      </w:r>
      <w:r w:rsidR="003329DC" w:rsidRPr="00961E0F">
        <w:rPr>
          <w:color w:val="000000"/>
          <w:szCs w:val="22"/>
          <w:lang w:val="fr-FR"/>
        </w:rPr>
        <w:t xml:space="preserve"> </w:t>
      </w:r>
      <w:r w:rsidR="00644669" w:rsidRPr="00961E0F">
        <w:rPr>
          <w:color w:val="000000"/>
          <w:szCs w:val="22"/>
          <w:lang w:val="fr-FR"/>
        </w:rPr>
        <w:t xml:space="preserve">Comparativement aux </w:t>
      </w:r>
      <w:r w:rsidR="00C65C9E" w:rsidRPr="00961E0F">
        <w:rPr>
          <w:color w:val="000000"/>
          <w:szCs w:val="22"/>
          <w:lang w:val="fr-FR"/>
        </w:rPr>
        <w:t xml:space="preserve">groupes </w:t>
      </w:r>
      <w:r w:rsidR="00644669" w:rsidRPr="00961E0F">
        <w:rPr>
          <w:color w:val="000000"/>
          <w:szCs w:val="22"/>
          <w:lang w:val="fr-FR"/>
        </w:rPr>
        <w:t>contrôles</w:t>
      </w:r>
      <w:r w:rsidR="00C65C9E" w:rsidRPr="00961E0F">
        <w:rPr>
          <w:color w:val="000000"/>
          <w:szCs w:val="22"/>
          <w:lang w:val="fr-FR"/>
        </w:rPr>
        <w:t xml:space="preserve"> </w:t>
      </w:r>
      <w:r w:rsidR="00B10098" w:rsidRPr="00961E0F">
        <w:rPr>
          <w:color w:val="000000"/>
          <w:szCs w:val="22"/>
          <w:lang w:val="fr-FR"/>
        </w:rPr>
        <w:t>historiques</w:t>
      </w:r>
      <w:r w:rsidR="00644669" w:rsidRPr="00961E0F">
        <w:rPr>
          <w:color w:val="000000"/>
          <w:szCs w:val="22"/>
          <w:lang w:val="fr-FR"/>
        </w:rPr>
        <w:t xml:space="preserve"> (n=120) qui avaient reçu une chimiothérapie standard sans Glivec, l</w:t>
      </w:r>
      <w:r w:rsidR="003329DC" w:rsidRPr="00961E0F">
        <w:rPr>
          <w:color w:val="000000"/>
          <w:szCs w:val="22"/>
          <w:lang w:val="fr-FR"/>
        </w:rPr>
        <w:t xml:space="preserve">’exposition journalière continue </w:t>
      </w:r>
      <w:r w:rsidR="00644669" w:rsidRPr="00961E0F">
        <w:rPr>
          <w:color w:val="000000"/>
          <w:szCs w:val="22"/>
          <w:lang w:val="fr-FR"/>
        </w:rPr>
        <w:t>et préco</w:t>
      </w:r>
      <w:r w:rsidR="008C612E" w:rsidRPr="00961E0F">
        <w:rPr>
          <w:color w:val="000000"/>
          <w:szCs w:val="22"/>
          <w:lang w:val="fr-FR"/>
        </w:rPr>
        <w:t>c</w:t>
      </w:r>
      <w:r w:rsidR="00644669" w:rsidRPr="00961E0F">
        <w:rPr>
          <w:color w:val="000000"/>
          <w:szCs w:val="22"/>
          <w:lang w:val="fr-FR"/>
        </w:rPr>
        <w:t>e à</w:t>
      </w:r>
      <w:r w:rsidR="003329DC" w:rsidRPr="00961E0F">
        <w:rPr>
          <w:color w:val="000000"/>
          <w:szCs w:val="22"/>
          <w:lang w:val="fr-FR"/>
        </w:rPr>
        <w:t xml:space="preserve"> Glivec dans l</w:t>
      </w:r>
      <w:r w:rsidR="00644669" w:rsidRPr="00961E0F">
        <w:rPr>
          <w:color w:val="000000"/>
          <w:szCs w:val="22"/>
          <w:lang w:val="fr-FR"/>
        </w:rPr>
        <w:t>e</w:t>
      </w:r>
      <w:r w:rsidR="003329DC" w:rsidRPr="00961E0F">
        <w:rPr>
          <w:color w:val="000000"/>
          <w:szCs w:val="22"/>
          <w:lang w:val="fr-FR"/>
        </w:rPr>
        <w:t xml:space="preserve"> c</w:t>
      </w:r>
      <w:r w:rsidR="00644669" w:rsidRPr="00961E0F">
        <w:rPr>
          <w:color w:val="000000"/>
          <w:szCs w:val="22"/>
          <w:lang w:val="fr-FR"/>
        </w:rPr>
        <w:t>ycle</w:t>
      </w:r>
      <w:r w:rsidR="003329DC" w:rsidRPr="00961E0F">
        <w:rPr>
          <w:color w:val="000000"/>
          <w:szCs w:val="22"/>
          <w:lang w:val="fr-FR"/>
        </w:rPr>
        <w:t xml:space="preserve"> de traitement en </w:t>
      </w:r>
      <w:r w:rsidRPr="00961E0F">
        <w:rPr>
          <w:color w:val="000000"/>
          <w:szCs w:val="22"/>
          <w:lang w:val="fr-FR"/>
        </w:rPr>
        <w:t>association</w:t>
      </w:r>
      <w:r w:rsidR="003329DC" w:rsidRPr="00961E0F">
        <w:rPr>
          <w:color w:val="000000"/>
          <w:szCs w:val="22"/>
          <w:lang w:val="fr-FR"/>
        </w:rPr>
        <w:t xml:space="preserve"> </w:t>
      </w:r>
      <w:r w:rsidR="00644669" w:rsidRPr="00961E0F">
        <w:rPr>
          <w:color w:val="000000"/>
          <w:szCs w:val="22"/>
          <w:lang w:val="fr-FR"/>
        </w:rPr>
        <w:t>à</w:t>
      </w:r>
      <w:r w:rsidR="003329DC" w:rsidRPr="00961E0F">
        <w:rPr>
          <w:color w:val="000000"/>
          <w:szCs w:val="22"/>
          <w:lang w:val="fr-FR"/>
        </w:rPr>
        <w:t xml:space="preserve"> la chimiothérapie chez les patients de la cohorte 5 (n=50) a augmenté la survie sans événement </w:t>
      </w:r>
      <w:r w:rsidRPr="00961E0F">
        <w:rPr>
          <w:color w:val="000000"/>
          <w:szCs w:val="22"/>
          <w:lang w:val="fr-FR"/>
        </w:rPr>
        <w:t xml:space="preserve">à 4 ans </w:t>
      </w:r>
      <w:r w:rsidR="003329DC" w:rsidRPr="00961E0F">
        <w:rPr>
          <w:color w:val="000000"/>
          <w:szCs w:val="22"/>
          <w:lang w:val="fr-FR"/>
        </w:rPr>
        <w:t xml:space="preserve">(69,6% vs. 31,6%, respectivement). </w:t>
      </w:r>
      <w:r w:rsidR="003D2D72" w:rsidRPr="00961E0F">
        <w:rPr>
          <w:color w:val="000000"/>
          <w:szCs w:val="22"/>
          <w:lang w:val="fr-FR"/>
        </w:rPr>
        <w:t>La survie globale estimée à 4 </w:t>
      </w:r>
      <w:r w:rsidR="003329DC" w:rsidRPr="00961E0F">
        <w:rPr>
          <w:color w:val="000000"/>
          <w:szCs w:val="22"/>
          <w:lang w:val="fr-FR"/>
        </w:rPr>
        <w:t xml:space="preserve">ans </w:t>
      </w:r>
      <w:r w:rsidR="00644669" w:rsidRPr="00961E0F">
        <w:rPr>
          <w:color w:val="000000"/>
          <w:szCs w:val="22"/>
          <w:lang w:val="fr-FR"/>
        </w:rPr>
        <w:t xml:space="preserve">était de 83,6% </w:t>
      </w:r>
      <w:r w:rsidR="003329DC" w:rsidRPr="00961E0F">
        <w:rPr>
          <w:color w:val="000000"/>
          <w:szCs w:val="22"/>
          <w:lang w:val="fr-FR"/>
        </w:rPr>
        <w:t xml:space="preserve">chez les patients de la cohorte 5 </w:t>
      </w:r>
      <w:r w:rsidR="00644669" w:rsidRPr="00961E0F">
        <w:rPr>
          <w:color w:val="000000"/>
          <w:szCs w:val="22"/>
          <w:lang w:val="fr-FR"/>
        </w:rPr>
        <w:t xml:space="preserve">versus </w:t>
      </w:r>
      <w:r w:rsidR="003329DC" w:rsidRPr="00961E0F">
        <w:rPr>
          <w:color w:val="000000"/>
          <w:szCs w:val="22"/>
          <w:lang w:val="fr-FR"/>
        </w:rPr>
        <w:t xml:space="preserve">44,8% </w:t>
      </w:r>
      <w:r w:rsidR="00376D2C" w:rsidRPr="00961E0F">
        <w:rPr>
          <w:color w:val="000000"/>
          <w:szCs w:val="22"/>
          <w:lang w:val="fr-FR"/>
        </w:rPr>
        <w:t>chez ceux des groupes contrôles</w:t>
      </w:r>
      <w:r w:rsidR="00C65C9E" w:rsidRPr="00961E0F">
        <w:rPr>
          <w:color w:val="000000"/>
          <w:szCs w:val="22"/>
          <w:lang w:val="fr-FR"/>
        </w:rPr>
        <w:t xml:space="preserve"> </w:t>
      </w:r>
      <w:r w:rsidR="00C67FED" w:rsidRPr="00961E0F">
        <w:rPr>
          <w:color w:val="000000"/>
          <w:szCs w:val="22"/>
          <w:lang w:val="fr-FR"/>
        </w:rPr>
        <w:t>historiques</w:t>
      </w:r>
      <w:r w:rsidR="003329DC" w:rsidRPr="00961E0F">
        <w:rPr>
          <w:color w:val="000000"/>
          <w:szCs w:val="22"/>
          <w:lang w:val="fr-FR"/>
        </w:rPr>
        <w:t xml:space="preserve">. </w:t>
      </w:r>
      <w:r w:rsidR="00644669" w:rsidRPr="00961E0F">
        <w:rPr>
          <w:color w:val="000000"/>
          <w:szCs w:val="22"/>
          <w:lang w:val="fr-FR"/>
        </w:rPr>
        <w:t>Vingt</w:t>
      </w:r>
      <w:r w:rsidR="00325FD1" w:rsidRPr="00961E0F">
        <w:rPr>
          <w:color w:val="000000"/>
          <w:szCs w:val="22"/>
          <w:lang w:val="fr-FR"/>
        </w:rPr>
        <w:t> </w:t>
      </w:r>
      <w:r w:rsidR="003329DC" w:rsidRPr="00961E0F">
        <w:rPr>
          <w:color w:val="000000"/>
          <w:szCs w:val="22"/>
          <w:lang w:val="fr-FR"/>
        </w:rPr>
        <w:t>pat</w:t>
      </w:r>
      <w:r w:rsidR="003D2D72" w:rsidRPr="00961E0F">
        <w:rPr>
          <w:color w:val="000000"/>
          <w:szCs w:val="22"/>
          <w:lang w:val="fr-FR"/>
        </w:rPr>
        <w:t xml:space="preserve">ients </w:t>
      </w:r>
      <w:r w:rsidR="00644669" w:rsidRPr="00961E0F">
        <w:rPr>
          <w:color w:val="000000"/>
          <w:szCs w:val="22"/>
          <w:lang w:val="fr-FR"/>
        </w:rPr>
        <w:t>sur</w:t>
      </w:r>
      <w:r w:rsidR="00C67FED" w:rsidRPr="00961E0F">
        <w:rPr>
          <w:color w:val="000000"/>
          <w:szCs w:val="22"/>
          <w:lang w:val="fr-FR"/>
        </w:rPr>
        <w:t xml:space="preserve"> </w:t>
      </w:r>
      <w:r w:rsidR="003D2D72" w:rsidRPr="00961E0F">
        <w:rPr>
          <w:color w:val="000000"/>
          <w:szCs w:val="22"/>
          <w:lang w:val="fr-FR"/>
        </w:rPr>
        <w:t>50 (40%) de la cohor</w:t>
      </w:r>
      <w:r w:rsidR="003329DC" w:rsidRPr="00961E0F">
        <w:rPr>
          <w:color w:val="000000"/>
          <w:szCs w:val="22"/>
          <w:lang w:val="fr-FR"/>
        </w:rPr>
        <w:t xml:space="preserve">te 5 ont reçu une </w:t>
      </w:r>
      <w:r w:rsidR="003D2D72" w:rsidRPr="00961E0F">
        <w:rPr>
          <w:color w:val="000000"/>
          <w:szCs w:val="22"/>
          <w:lang w:val="fr-FR"/>
        </w:rPr>
        <w:t>transplantation de cellules souches hématopoïétiques.</w:t>
      </w:r>
    </w:p>
    <w:p w14:paraId="4F378950" w14:textId="77777777" w:rsidR="009D7C59" w:rsidRPr="00961E0F" w:rsidRDefault="009D7C59">
      <w:pPr>
        <w:pStyle w:val="EndnoteText"/>
        <w:widowControl w:val="0"/>
        <w:rPr>
          <w:color w:val="000000"/>
          <w:szCs w:val="22"/>
          <w:lang w:val="fr-FR"/>
        </w:rPr>
      </w:pPr>
    </w:p>
    <w:p w14:paraId="209BAE7C" w14:textId="77777777" w:rsidR="009D7C59" w:rsidRPr="00961E0F" w:rsidRDefault="009D7C59" w:rsidP="00B15424">
      <w:pPr>
        <w:pStyle w:val="EndnoteText"/>
        <w:keepNext/>
        <w:keepLines/>
        <w:widowControl w:val="0"/>
        <w:tabs>
          <w:tab w:val="clear" w:pos="567"/>
        </w:tabs>
        <w:ind w:left="1134" w:hanging="1134"/>
        <w:rPr>
          <w:b/>
          <w:color w:val="000000"/>
          <w:lang w:val="fr-FR"/>
        </w:rPr>
      </w:pPr>
      <w:r w:rsidRPr="00961E0F">
        <w:rPr>
          <w:b/>
          <w:color w:val="000000"/>
          <w:lang w:val="fr-FR"/>
        </w:rPr>
        <w:t>Tableau </w:t>
      </w:r>
      <w:r w:rsidR="00C0508D" w:rsidRPr="00961E0F">
        <w:rPr>
          <w:b/>
          <w:color w:val="000000"/>
          <w:lang w:val="fr-FR"/>
        </w:rPr>
        <w:t>5</w:t>
      </w:r>
      <w:r w:rsidRPr="00961E0F">
        <w:rPr>
          <w:b/>
          <w:color w:val="000000"/>
          <w:lang w:val="fr-FR"/>
        </w:rPr>
        <w:tab/>
      </w:r>
      <w:r w:rsidRPr="00961E0F">
        <w:rPr>
          <w:b/>
          <w:bCs/>
          <w:color w:val="000000"/>
          <w:szCs w:val="22"/>
          <w:lang w:val="fr-FR"/>
        </w:rPr>
        <w:t>Schéma des chimiothérapies</w:t>
      </w:r>
      <w:r w:rsidRPr="00961E0F">
        <w:rPr>
          <w:b/>
          <w:color w:val="000000"/>
          <w:szCs w:val="22"/>
          <w:lang w:val="fr-FR"/>
        </w:rPr>
        <w:t xml:space="preserve"> utilisées en association avec l’imatinib</w:t>
      </w:r>
      <w:r w:rsidRPr="00961E0F">
        <w:rPr>
          <w:b/>
          <w:color w:val="000000"/>
          <w:lang w:val="fr-FR"/>
        </w:rPr>
        <w:t xml:space="preserve"> dans l’étude I2301</w:t>
      </w:r>
    </w:p>
    <w:p w14:paraId="0F819E85" w14:textId="77777777" w:rsidR="009D7C59" w:rsidRPr="00961E0F" w:rsidRDefault="009D7C59" w:rsidP="00384046">
      <w:pPr>
        <w:pStyle w:val="EndnoteText"/>
        <w:keepNext/>
        <w:widowControl w:val="0"/>
        <w:rPr>
          <w:color w:val="00000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6724"/>
      </w:tblGrid>
      <w:tr w:rsidR="009D7C59" w:rsidRPr="00961E0F" w14:paraId="4AC5B25F" w14:textId="77777777" w:rsidTr="00B15424">
        <w:trPr>
          <w:cantSplit/>
        </w:trPr>
        <w:tc>
          <w:tcPr>
            <w:tcW w:w="2358" w:type="dxa"/>
            <w:shd w:val="clear" w:color="auto" w:fill="auto"/>
          </w:tcPr>
          <w:p w14:paraId="7AAB1520" w14:textId="77777777" w:rsidR="009D7C59" w:rsidRPr="00961E0F" w:rsidRDefault="009D7C59" w:rsidP="00C02374">
            <w:pPr>
              <w:pStyle w:val="EndnoteText"/>
              <w:widowControl w:val="0"/>
              <w:rPr>
                <w:color w:val="000000"/>
              </w:rPr>
            </w:pPr>
            <w:r w:rsidRPr="00961E0F">
              <w:rPr>
                <w:color w:val="000000"/>
              </w:rPr>
              <w:t>Bloc de consolidation</w:t>
            </w:r>
            <w:r w:rsidR="0061572E" w:rsidRPr="00961E0F">
              <w:rPr>
                <w:color w:val="000000"/>
              </w:rPr>
              <w:t> </w:t>
            </w:r>
            <w:r w:rsidRPr="00961E0F">
              <w:rPr>
                <w:color w:val="000000"/>
              </w:rPr>
              <w:t>1 (3 semaines)</w:t>
            </w:r>
          </w:p>
        </w:tc>
        <w:tc>
          <w:tcPr>
            <w:tcW w:w="6928" w:type="dxa"/>
            <w:shd w:val="clear" w:color="auto" w:fill="auto"/>
          </w:tcPr>
          <w:p w14:paraId="10567167" w14:textId="77777777" w:rsidR="009D7C59" w:rsidRPr="00961E0F" w:rsidRDefault="009D7C59" w:rsidP="00C02374">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/jour, IV)</w:t>
            </w:r>
            <w:r w:rsidR="00B32B8D" w:rsidRPr="00961E0F">
              <w:rPr>
                <w:color w:val="000000"/>
                <w:lang w:val="fr-FR"/>
              </w:rPr>
              <w:t> </w:t>
            </w:r>
            <w:r w:rsidRPr="00961E0F">
              <w:rPr>
                <w:color w:val="000000"/>
                <w:lang w:val="fr-FR"/>
              </w:rPr>
              <w:t>: jour</w:t>
            </w:r>
            <w:r w:rsidR="0037219F" w:rsidRPr="00961E0F">
              <w:rPr>
                <w:color w:val="000000"/>
                <w:lang w:val="fr-FR"/>
              </w:rPr>
              <w:t>s</w:t>
            </w:r>
            <w:r w:rsidRPr="00961E0F">
              <w:rPr>
                <w:color w:val="000000"/>
                <w:lang w:val="fr-FR"/>
              </w:rPr>
              <w:t> 1</w:t>
            </w:r>
            <w:r w:rsidRPr="00961E0F">
              <w:rPr>
                <w:color w:val="000000"/>
                <w:lang w:val="fr-FR"/>
              </w:rPr>
              <w:noBreakHyphen/>
              <w:t>5</w:t>
            </w:r>
          </w:p>
          <w:p w14:paraId="5F492ACC" w14:textId="77777777" w:rsidR="009D7C59" w:rsidRPr="00961E0F" w:rsidRDefault="009D7C59" w:rsidP="00C02374">
            <w:pPr>
              <w:pStyle w:val="EndnoteText"/>
              <w:widowControl w:val="0"/>
              <w:rPr>
                <w:color w:val="000000"/>
                <w:lang w:val="fr-FR"/>
              </w:rPr>
            </w:pPr>
            <w:r w:rsidRPr="00961E0F">
              <w:rPr>
                <w:color w:val="000000"/>
                <w:lang w:val="fr-FR"/>
              </w:rPr>
              <w:t>Ifosfamide (1</w:t>
            </w:r>
            <w:r w:rsidR="00325FD1" w:rsidRPr="00961E0F">
              <w:rPr>
                <w:color w:val="000000"/>
                <w:lang w:val="fr-FR"/>
              </w:rPr>
              <w:t>,</w:t>
            </w:r>
            <w:r w:rsidRPr="00961E0F">
              <w:rPr>
                <w:color w:val="000000"/>
                <w:lang w:val="fr-FR"/>
              </w:rPr>
              <w:t>8 g/m</w:t>
            </w:r>
            <w:r w:rsidRPr="00961E0F">
              <w:rPr>
                <w:color w:val="000000"/>
                <w:vertAlign w:val="superscript"/>
                <w:lang w:val="fr-FR"/>
              </w:rPr>
              <w:t>2</w:t>
            </w:r>
            <w:r w:rsidRPr="00961E0F">
              <w:rPr>
                <w:color w:val="000000"/>
                <w:lang w:val="fr-FR"/>
              </w:rPr>
              <w:t>/jour, IV)</w:t>
            </w:r>
            <w:r w:rsidR="00B32B8D" w:rsidRPr="00961E0F">
              <w:rPr>
                <w:color w:val="000000"/>
                <w:lang w:val="fr-FR"/>
              </w:rPr>
              <w:t> </w:t>
            </w:r>
            <w:r w:rsidRPr="00961E0F">
              <w:rPr>
                <w:color w:val="000000"/>
                <w:lang w:val="fr-FR"/>
              </w:rPr>
              <w:t>: jour</w:t>
            </w:r>
            <w:r w:rsidR="0037219F" w:rsidRPr="00961E0F">
              <w:rPr>
                <w:color w:val="000000"/>
                <w:lang w:val="fr-FR"/>
              </w:rPr>
              <w:t>s</w:t>
            </w:r>
            <w:r w:rsidRPr="00961E0F">
              <w:rPr>
                <w:color w:val="000000"/>
                <w:lang w:val="fr-FR"/>
              </w:rPr>
              <w:t> 1</w:t>
            </w:r>
            <w:r w:rsidRPr="00961E0F">
              <w:rPr>
                <w:color w:val="000000"/>
                <w:lang w:val="fr-FR"/>
              </w:rPr>
              <w:noBreakHyphen/>
              <w:t>5</w:t>
            </w:r>
          </w:p>
          <w:p w14:paraId="14FBBEA9" w14:textId="77777777" w:rsidR="009D7C59" w:rsidRPr="00961E0F" w:rsidRDefault="009D7C59" w:rsidP="00C02374">
            <w:pPr>
              <w:pStyle w:val="EndnoteText"/>
              <w:widowControl w:val="0"/>
              <w:rPr>
                <w:color w:val="000000"/>
                <w:lang w:val="fr-FR"/>
              </w:rPr>
            </w:pPr>
            <w:r w:rsidRPr="00961E0F">
              <w:rPr>
                <w:color w:val="000000"/>
                <w:lang w:val="fr-FR"/>
              </w:rPr>
              <w:t>MESNA (360 mg/m</w:t>
            </w:r>
            <w:r w:rsidRPr="00961E0F">
              <w:rPr>
                <w:color w:val="000000"/>
                <w:vertAlign w:val="superscript"/>
                <w:lang w:val="fr-FR"/>
              </w:rPr>
              <w:t>2</w:t>
            </w:r>
            <w:r w:rsidRPr="00961E0F">
              <w:rPr>
                <w:color w:val="000000"/>
                <w:lang w:val="fr-FR"/>
              </w:rPr>
              <w:t xml:space="preserve">/dose </w:t>
            </w:r>
            <w:r w:rsidR="0037219F" w:rsidRPr="00961E0F">
              <w:rPr>
                <w:color w:val="000000"/>
                <w:lang w:val="fr-FR"/>
              </w:rPr>
              <w:t>en 3 heures</w:t>
            </w:r>
            <w:r w:rsidRPr="00961E0F">
              <w:rPr>
                <w:color w:val="000000"/>
                <w:lang w:val="fr-FR"/>
              </w:rPr>
              <w:t>, x 8</w:t>
            </w:r>
            <w:r w:rsidR="00571676" w:rsidRPr="00961E0F">
              <w:rPr>
                <w:color w:val="000000"/>
                <w:lang w:val="fr-FR"/>
              </w:rPr>
              <w:t> </w:t>
            </w:r>
            <w:r w:rsidRPr="00961E0F">
              <w:rPr>
                <w:color w:val="000000"/>
                <w:lang w:val="fr-FR"/>
              </w:rPr>
              <w:t>doses/</w:t>
            </w:r>
            <w:r w:rsidR="0037219F" w:rsidRPr="00961E0F">
              <w:rPr>
                <w:color w:val="000000"/>
                <w:lang w:val="fr-FR"/>
              </w:rPr>
              <w:t>jour</w:t>
            </w:r>
            <w:r w:rsidRPr="00961E0F">
              <w:rPr>
                <w:color w:val="000000"/>
                <w:lang w:val="fr-FR"/>
              </w:rPr>
              <w:t>, IV)</w:t>
            </w:r>
            <w:r w:rsidR="00B32B8D" w:rsidRPr="00961E0F">
              <w:rPr>
                <w:color w:val="000000"/>
                <w:lang w:val="fr-FR"/>
              </w:rPr>
              <w:t> </w:t>
            </w:r>
            <w:r w:rsidRPr="00961E0F">
              <w:rPr>
                <w:color w:val="000000"/>
                <w:lang w:val="fr-FR"/>
              </w:rPr>
              <w:t xml:space="preserve">: </w:t>
            </w:r>
            <w:r w:rsidR="0037219F" w:rsidRPr="00961E0F">
              <w:rPr>
                <w:color w:val="000000"/>
                <w:lang w:val="fr-FR"/>
              </w:rPr>
              <w:t>jours</w:t>
            </w:r>
            <w:r w:rsidRPr="00961E0F">
              <w:rPr>
                <w:color w:val="000000"/>
                <w:lang w:val="fr-FR"/>
              </w:rPr>
              <w:t> 1</w:t>
            </w:r>
            <w:r w:rsidRPr="00961E0F">
              <w:rPr>
                <w:color w:val="000000"/>
                <w:lang w:val="fr-FR"/>
              </w:rPr>
              <w:noBreakHyphen/>
              <w:t>5</w:t>
            </w:r>
          </w:p>
          <w:p w14:paraId="18CE181D" w14:textId="77777777" w:rsidR="009D7C59" w:rsidRPr="00961E0F" w:rsidRDefault="009D7C59" w:rsidP="00C02374">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B32B8D" w:rsidRPr="00961E0F">
              <w:rPr>
                <w:color w:val="000000"/>
                <w:lang w:val="fr-FR"/>
              </w:rPr>
              <w:t> </w:t>
            </w:r>
            <w:r w:rsidRPr="00961E0F">
              <w:rPr>
                <w:color w:val="000000"/>
                <w:lang w:val="fr-FR"/>
              </w:rPr>
              <w:t xml:space="preserve">: </w:t>
            </w:r>
            <w:r w:rsidR="0037219F" w:rsidRPr="00961E0F">
              <w:rPr>
                <w:color w:val="000000"/>
                <w:lang w:val="fr-FR"/>
              </w:rPr>
              <w:t>jours</w:t>
            </w:r>
            <w:r w:rsidRPr="00961E0F">
              <w:rPr>
                <w:color w:val="000000"/>
                <w:lang w:val="fr-FR"/>
              </w:rPr>
              <w:t> 6</w:t>
            </w:r>
            <w:r w:rsidRPr="00961E0F">
              <w:rPr>
                <w:color w:val="000000"/>
                <w:lang w:val="fr-FR"/>
              </w:rPr>
              <w:noBreakHyphen/>
              <w:t xml:space="preserve">15 </w:t>
            </w:r>
            <w:r w:rsidR="0037219F" w:rsidRPr="00961E0F">
              <w:rPr>
                <w:color w:val="000000"/>
                <w:lang w:val="fr-FR"/>
              </w:rPr>
              <w:t>ou jusqu’à</w:t>
            </w:r>
            <w:r w:rsidRPr="00961E0F">
              <w:rPr>
                <w:color w:val="000000"/>
                <w:lang w:val="fr-FR"/>
              </w:rPr>
              <w:t xml:space="preserve"> </w:t>
            </w:r>
            <w:r w:rsidR="0037219F" w:rsidRPr="00961E0F">
              <w:rPr>
                <w:color w:val="000000"/>
                <w:lang w:val="fr-FR"/>
              </w:rPr>
              <w:t xml:space="preserve">un taux de neutrophile absolu </w:t>
            </w:r>
            <w:r w:rsidRPr="00961E0F">
              <w:rPr>
                <w:color w:val="000000"/>
                <w:lang w:val="fr-FR"/>
              </w:rPr>
              <w:t>&gt; 1500 post nadir</w:t>
            </w:r>
          </w:p>
          <w:p w14:paraId="357FC549" w14:textId="77777777" w:rsidR="009D7C59" w:rsidRPr="00961E0F" w:rsidRDefault="009D7C59" w:rsidP="00C02374">
            <w:pPr>
              <w:pStyle w:val="EndnoteText"/>
              <w:widowControl w:val="0"/>
              <w:rPr>
                <w:color w:val="000000"/>
                <w:lang w:val="fr-FR"/>
              </w:rPr>
            </w:pPr>
            <w:r w:rsidRPr="00961E0F">
              <w:rPr>
                <w:color w:val="000000"/>
                <w:lang w:val="fr-FR"/>
              </w:rPr>
              <w:t xml:space="preserve">Methotrexate </w:t>
            </w:r>
            <w:r w:rsidR="0037219F" w:rsidRPr="00961E0F">
              <w:rPr>
                <w:color w:val="000000"/>
                <w:lang w:val="fr-FR"/>
              </w:rPr>
              <w:t xml:space="preserve">IT </w:t>
            </w:r>
            <w:r w:rsidRPr="00961E0F">
              <w:rPr>
                <w:color w:val="000000"/>
                <w:lang w:val="fr-FR"/>
              </w:rPr>
              <w:t>(</w:t>
            </w:r>
            <w:r w:rsidR="0037219F" w:rsidRPr="00961E0F">
              <w:rPr>
                <w:color w:val="000000"/>
                <w:lang w:val="fr-FR"/>
              </w:rPr>
              <w:t>ajusté à l’âge</w:t>
            </w:r>
            <w:r w:rsidRPr="00961E0F">
              <w:rPr>
                <w:color w:val="000000"/>
                <w:lang w:val="fr-FR"/>
              </w:rPr>
              <w:t>)</w:t>
            </w:r>
            <w:r w:rsidR="00B32B8D" w:rsidRPr="00961E0F">
              <w:rPr>
                <w:color w:val="000000"/>
                <w:lang w:val="fr-FR"/>
              </w:rPr>
              <w:t> </w:t>
            </w:r>
            <w:r w:rsidRPr="00961E0F">
              <w:rPr>
                <w:color w:val="000000"/>
                <w:lang w:val="fr-FR"/>
              </w:rPr>
              <w:t xml:space="preserve">: </w:t>
            </w:r>
            <w:r w:rsidR="0037219F" w:rsidRPr="00961E0F">
              <w:rPr>
                <w:color w:val="000000"/>
                <w:lang w:val="fr-FR"/>
              </w:rPr>
              <w:t>jour</w:t>
            </w:r>
            <w:r w:rsidRPr="00961E0F">
              <w:rPr>
                <w:color w:val="000000"/>
                <w:lang w:val="fr-FR"/>
              </w:rPr>
              <w:t xml:space="preserve"> 1 </w:t>
            </w:r>
            <w:r w:rsidR="004E3E23" w:rsidRPr="00961E0F">
              <w:rPr>
                <w:color w:val="000000"/>
                <w:lang w:val="fr-FR"/>
              </w:rPr>
              <w:t>SEULEMENT</w:t>
            </w:r>
          </w:p>
          <w:p w14:paraId="01C05691" w14:textId="77777777" w:rsidR="009D7C59" w:rsidRPr="00961E0F" w:rsidRDefault="0037219F" w:rsidP="00A94878">
            <w:pPr>
              <w:pStyle w:val="EndnoteText"/>
              <w:widowControl w:val="0"/>
              <w:rPr>
                <w:color w:val="000000"/>
                <w:lang w:val="fr-FR"/>
              </w:rPr>
            </w:pPr>
            <w:r w:rsidRPr="00961E0F">
              <w:rPr>
                <w:color w:val="000000"/>
                <w:lang w:val="fr-FR"/>
              </w:rPr>
              <w:t xml:space="preserve">Triple thérapie intrathécale </w:t>
            </w:r>
            <w:r w:rsidR="009D7C59" w:rsidRPr="00961E0F">
              <w:rPr>
                <w:color w:val="000000"/>
                <w:lang w:val="fr-FR"/>
              </w:rPr>
              <w:t>(</w:t>
            </w:r>
            <w:r w:rsidRPr="00961E0F">
              <w:rPr>
                <w:color w:val="000000"/>
                <w:lang w:val="fr-FR"/>
              </w:rPr>
              <w:t>ajustée à l’âge</w:t>
            </w:r>
            <w:r w:rsidR="009D7C59" w:rsidRPr="00961E0F">
              <w:rPr>
                <w:color w:val="000000"/>
                <w:lang w:val="fr-FR"/>
              </w:rPr>
              <w:t>)</w:t>
            </w:r>
            <w:r w:rsidR="00B32B8D" w:rsidRPr="00961E0F">
              <w:rPr>
                <w:color w:val="000000"/>
                <w:lang w:val="fr-FR"/>
              </w:rPr>
              <w:t> </w:t>
            </w:r>
            <w:r w:rsidR="009D7C59" w:rsidRPr="00961E0F">
              <w:rPr>
                <w:color w:val="000000"/>
                <w:lang w:val="fr-FR"/>
              </w:rPr>
              <w:t xml:space="preserve">: </w:t>
            </w:r>
            <w:r w:rsidRPr="00961E0F">
              <w:rPr>
                <w:color w:val="000000"/>
                <w:lang w:val="fr-FR"/>
              </w:rPr>
              <w:t>jour</w:t>
            </w:r>
            <w:r w:rsidR="00A94878" w:rsidRPr="00961E0F">
              <w:rPr>
                <w:color w:val="000000"/>
                <w:lang w:val="fr-FR"/>
              </w:rPr>
              <w:t>s</w:t>
            </w:r>
            <w:r w:rsidR="009D7C59" w:rsidRPr="00961E0F">
              <w:rPr>
                <w:color w:val="000000"/>
                <w:lang w:val="fr-FR"/>
              </w:rPr>
              <w:t> 8</w:t>
            </w:r>
            <w:r w:rsidR="00A94878" w:rsidRPr="00961E0F">
              <w:rPr>
                <w:color w:val="000000"/>
                <w:lang w:val="fr-FR"/>
              </w:rPr>
              <w:t xml:space="preserve"> et</w:t>
            </w:r>
            <w:r w:rsidR="009D7C59" w:rsidRPr="00961E0F">
              <w:rPr>
                <w:color w:val="000000"/>
                <w:lang w:val="fr-FR"/>
              </w:rPr>
              <w:t xml:space="preserve"> 15</w:t>
            </w:r>
          </w:p>
        </w:tc>
      </w:tr>
      <w:tr w:rsidR="009D7C59" w:rsidRPr="00961E0F" w14:paraId="7E1742E7" w14:textId="77777777" w:rsidTr="00B15424">
        <w:trPr>
          <w:cantSplit/>
        </w:trPr>
        <w:tc>
          <w:tcPr>
            <w:tcW w:w="2358" w:type="dxa"/>
            <w:shd w:val="clear" w:color="auto" w:fill="auto"/>
          </w:tcPr>
          <w:p w14:paraId="1D58BB1C" w14:textId="77777777" w:rsidR="009D7C59" w:rsidRPr="00961E0F" w:rsidRDefault="004E3E23" w:rsidP="00C02374">
            <w:pPr>
              <w:pStyle w:val="EndnoteText"/>
              <w:widowControl w:val="0"/>
              <w:rPr>
                <w:color w:val="000000"/>
              </w:rPr>
            </w:pPr>
            <w:r w:rsidRPr="00961E0F">
              <w:rPr>
                <w:color w:val="000000"/>
              </w:rPr>
              <w:lastRenderedPageBreak/>
              <w:t>Bloc de consolidation</w:t>
            </w:r>
            <w:r w:rsidR="0061572E" w:rsidRPr="00961E0F">
              <w:rPr>
                <w:color w:val="000000"/>
              </w:rPr>
              <w:t> </w:t>
            </w:r>
            <w:r w:rsidRPr="00961E0F">
              <w:rPr>
                <w:color w:val="000000"/>
              </w:rPr>
              <w:t>2 (3 semaines)</w:t>
            </w:r>
          </w:p>
        </w:tc>
        <w:tc>
          <w:tcPr>
            <w:tcW w:w="6928" w:type="dxa"/>
            <w:shd w:val="clear" w:color="auto" w:fill="auto"/>
          </w:tcPr>
          <w:p w14:paraId="700EEE6C" w14:textId="77777777" w:rsidR="009D7C59" w:rsidRPr="00961E0F" w:rsidRDefault="009D7C59" w:rsidP="00C02374">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004E3E23" w:rsidRPr="00961E0F">
              <w:rPr>
                <w:color w:val="000000"/>
                <w:lang w:val="fr-FR"/>
              </w:rPr>
              <w:t xml:space="preserve"> sur 24 heures</w:t>
            </w:r>
            <w:r w:rsidRPr="00961E0F">
              <w:rPr>
                <w:color w:val="000000"/>
                <w:lang w:val="fr-FR"/>
              </w:rPr>
              <w:t>, IV)</w:t>
            </w:r>
            <w:r w:rsidR="00B32B8D" w:rsidRPr="00961E0F">
              <w:rPr>
                <w:color w:val="000000"/>
                <w:lang w:val="fr-FR"/>
              </w:rPr>
              <w:t> </w:t>
            </w:r>
            <w:r w:rsidRPr="00961E0F">
              <w:rPr>
                <w:color w:val="000000"/>
                <w:lang w:val="fr-FR"/>
              </w:rPr>
              <w:t xml:space="preserve">: </w:t>
            </w:r>
            <w:r w:rsidR="004E3E23" w:rsidRPr="00961E0F">
              <w:rPr>
                <w:color w:val="000000"/>
                <w:lang w:val="fr-FR"/>
              </w:rPr>
              <w:t>jour</w:t>
            </w:r>
            <w:r w:rsidRPr="00961E0F">
              <w:rPr>
                <w:color w:val="000000"/>
                <w:lang w:val="fr-FR"/>
              </w:rPr>
              <w:t> 1</w:t>
            </w:r>
          </w:p>
          <w:p w14:paraId="07DD897E" w14:textId="77777777" w:rsidR="009D7C59" w:rsidRPr="00961E0F" w:rsidRDefault="009D7C59" w:rsidP="00C02374">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w:t>
            </w:r>
            <w:r w:rsidR="004E3E23" w:rsidRPr="00961E0F">
              <w:rPr>
                <w:color w:val="000000"/>
                <w:lang w:val="fr-FR"/>
              </w:rPr>
              <w:t>à heure</w:t>
            </w:r>
            <w:r w:rsidRPr="00961E0F">
              <w:rPr>
                <w:color w:val="000000"/>
                <w:lang w:val="fr-FR"/>
              </w:rPr>
              <w:t> 36, IV; 15 mg/m</w:t>
            </w:r>
            <w:r w:rsidRPr="00961E0F">
              <w:rPr>
                <w:color w:val="000000"/>
                <w:vertAlign w:val="superscript"/>
                <w:lang w:val="fr-FR"/>
              </w:rPr>
              <w:t>2</w:t>
            </w:r>
            <w:r w:rsidRPr="00961E0F">
              <w:rPr>
                <w:color w:val="000000"/>
                <w:lang w:val="fr-FR"/>
              </w:rPr>
              <w:t xml:space="preserve"> IV </w:t>
            </w:r>
            <w:r w:rsidR="004E3E23" w:rsidRPr="00961E0F">
              <w:rPr>
                <w:color w:val="000000"/>
                <w:lang w:val="fr-FR"/>
              </w:rPr>
              <w:t>ou</w:t>
            </w:r>
            <w:r w:rsidRPr="00961E0F">
              <w:rPr>
                <w:color w:val="000000"/>
                <w:lang w:val="fr-FR"/>
              </w:rPr>
              <w:t xml:space="preserve"> PO </w:t>
            </w:r>
            <w:r w:rsidR="004E3E23" w:rsidRPr="00961E0F">
              <w:rPr>
                <w:color w:val="000000"/>
                <w:lang w:val="fr-FR"/>
              </w:rPr>
              <w:t>toutes les 6</w:t>
            </w:r>
            <w:r w:rsidR="00571676" w:rsidRPr="00961E0F">
              <w:rPr>
                <w:color w:val="000000"/>
                <w:lang w:val="fr-FR"/>
              </w:rPr>
              <w:t> </w:t>
            </w:r>
            <w:r w:rsidR="004E3E23" w:rsidRPr="00961E0F">
              <w:rPr>
                <w:color w:val="000000"/>
                <w:lang w:val="fr-FR"/>
              </w:rPr>
              <w:t>heures</w:t>
            </w:r>
            <w:r w:rsidRPr="00961E0F">
              <w:rPr>
                <w:color w:val="000000"/>
                <w:lang w:val="fr-FR"/>
              </w:rPr>
              <w:t xml:space="preserve"> x 6 doses)</w:t>
            </w:r>
            <w:r w:rsidR="00F56D29" w:rsidRPr="00961E0F">
              <w:rPr>
                <w:color w:val="000000"/>
                <w:lang w:val="fr-FR"/>
              </w:rPr>
              <w:t xml:space="preserve"> </w:t>
            </w:r>
            <w:r w:rsidRPr="00961E0F">
              <w:rPr>
                <w:color w:val="000000"/>
                <w:lang w:val="fr-FR"/>
              </w:rPr>
              <w:t xml:space="preserve">iii: </w:t>
            </w:r>
            <w:r w:rsidR="004E3E23" w:rsidRPr="00961E0F">
              <w:rPr>
                <w:color w:val="000000"/>
                <w:lang w:val="fr-FR"/>
              </w:rPr>
              <w:t>jour</w:t>
            </w:r>
            <w:r w:rsidRPr="00961E0F">
              <w:rPr>
                <w:color w:val="000000"/>
                <w:lang w:val="fr-FR"/>
              </w:rPr>
              <w:t xml:space="preserve"> 2 </w:t>
            </w:r>
            <w:r w:rsidR="004E3E23" w:rsidRPr="00961E0F">
              <w:rPr>
                <w:color w:val="000000"/>
                <w:lang w:val="fr-FR"/>
              </w:rPr>
              <w:t>et</w:t>
            </w:r>
            <w:r w:rsidRPr="00961E0F">
              <w:rPr>
                <w:color w:val="000000"/>
                <w:lang w:val="fr-FR"/>
              </w:rPr>
              <w:t xml:space="preserve"> 3</w:t>
            </w:r>
          </w:p>
          <w:p w14:paraId="58F05BBF" w14:textId="77777777" w:rsidR="009D7C59" w:rsidRPr="00961E0F" w:rsidRDefault="004E3E23" w:rsidP="00C02374">
            <w:pPr>
              <w:pStyle w:val="EndnoteText"/>
              <w:widowControl w:val="0"/>
              <w:rPr>
                <w:color w:val="000000"/>
                <w:lang w:val="fr-FR"/>
              </w:rPr>
            </w:pPr>
            <w:r w:rsidRPr="00961E0F">
              <w:rPr>
                <w:color w:val="000000"/>
                <w:lang w:val="fr-FR"/>
              </w:rPr>
              <w:t>Triple thérapie intrathécale (ajustée à l’âge) : jour</w:t>
            </w:r>
            <w:r w:rsidR="009D7C59" w:rsidRPr="00961E0F">
              <w:rPr>
                <w:color w:val="000000"/>
                <w:lang w:val="fr-FR"/>
              </w:rPr>
              <w:t> 1</w:t>
            </w:r>
          </w:p>
          <w:p w14:paraId="17FC9857" w14:textId="77777777" w:rsidR="009D7C59" w:rsidRPr="00961E0F" w:rsidRDefault="009D7C59" w:rsidP="00C02374">
            <w:pPr>
              <w:pStyle w:val="EndnoteText"/>
              <w:widowControl w:val="0"/>
              <w:rPr>
                <w:color w:val="000000"/>
                <w:lang w:val="fr-FR"/>
              </w:rPr>
            </w:pPr>
            <w:r w:rsidRPr="00961E0F">
              <w:rPr>
                <w:color w:val="000000"/>
                <w:lang w:val="fr-FR"/>
              </w:rPr>
              <w:t>ARA-C (3 g/m</w:t>
            </w:r>
            <w:r w:rsidRPr="00961E0F">
              <w:rPr>
                <w:color w:val="000000"/>
                <w:vertAlign w:val="superscript"/>
                <w:lang w:val="fr-FR"/>
              </w:rPr>
              <w:t>2</w:t>
            </w:r>
            <w:r w:rsidRPr="00961E0F">
              <w:rPr>
                <w:color w:val="000000"/>
                <w:lang w:val="fr-FR"/>
              </w:rPr>
              <w:t xml:space="preserve">/dose </w:t>
            </w:r>
            <w:r w:rsidR="004E3E23" w:rsidRPr="00961E0F">
              <w:rPr>
                <w:color w:val="000000"/>
                <w:lang w:val="fr-FR"/>
              </w:rPr>
              <w:t>toutes les 12 heures</w:t>
            </w:r>
            <w:r w:rsidRPr="00961E0F">
              <w:rPr>
                <w:color w:val="000000"/>
                <w:lang w:val="fr-FR"/>
              </w:rPr>
              <w:t xml:space="preserve"> x 4, IV)</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xml:space="preserve"> 2 </w:t>
            </w:r>
            <w:r w:rsidR="004E3E23" w:rsidRPr="00961E0F">
              <w:rPr>
                <w:color w:val="000000"/>
                <w:lang w:val="fr-FR"/>
              </w:rPr>
              <w:t>et</w:t>
            </w:r>
            <w:r w:rsidRPr="00961E0F">
              <w:rPr>
                <w:color w:val="000000"/>
                <w:lang w:val="fr-FR"/>
              </w:rPr>
              <w:t xml:space="preserve"> 3</w:t>
            </w:r>
          </w:p>
          <w:p w14:paraId="506CEEF0" w14:textId="77777777" w:rsidR="009D7C59" w:rsidRPr="00961E0F" w:rsidRDefault="009D7C59" w:rsidP="004E3E23">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4</w:t>
            </w:r>
            <w:r w:rsidR="00571676" w:rsidRPr="00961E0F">
              <w:rPr>
                <w:color w:val="000000"/>
                <w:lang w:val="fr-FR"/>
              </w:rPr>
              <w:noBreakHyphen/>
            </w:r>
            <w:r w:rsidRPr="00961E0F">
              <w:rPr>
                <w:color w:val="000000"/>
                <w:lang w:val="fr-FR"/>
              </w:rPr>
              <w:t xml:space="preserve">13 </w:t>
            </w:r>
            <w:r w:rsidR="004E3E23" w:rsidRPr="00961E0F">
              <w:rPr>
                <w:color w:val="000000"/>
                <w:lang w:val="fr-FR"/>
              </w:rPr>
              <w:t xml:space="preserve">ou jusqu’à un taux de neutrophile absolu </w:t>
            </w:r>
            <w:r w:rsidRPr="00961E0F">
              <w:rPr>
                <w:color w:val="000000"/>
                <w:lang w:val="fr-FR"/>
              </w:rPr>
              <w:t>&gt; 1500 post nadir</w:t>
            </w:r>
          </w:p>
        </w:tc>
      </w:tr>
      <w:tr w:rsidR="009D7C59" w:rsidRPr="00961E0F" w14:paraId="21711017" w14:textId="77777777" w:rsidTr="00B15424">
        <w:trPr>
          <w:cantSplit/>
        </w:trPr>
        <w:tc>
          <w:tcPr>
            <w:tcW w:w="2358" w:type="dxa"/>
            <w:shd w:val="clear" w:color="auto" w:fill="auto"/>
          </w:tcPr>
          <w:p w14:paraId="5D6E9054" w14:textId="77777777" w:rsidR="009D7C59" w:rsidRPr="00961E0F" w:rsidRDefault="004E3E23" w:rsidP="00C02374">
            <w:pPr>
              <w:pStyle w:val="EndnoteText"/>
              <w:widowControl w:val="0"/>
              <w:rPr>
                <w:color w:val="000000"/>
              </w:rPr>
            </w:pPr>
            <w:r w:rsidRPr="00961E0F">
              <w:rPr>
                <w:color w:val="000000"/>
              </w:rPr>
              <w:t>Bloc de réinduction</w:t>
            </w:r>
            <w:r w:rsidR="0061572E" w:rsidRPr="00961E0F">
              <w:rPr>
                <w:color w:val="000000"/>
              </w:rPr>
              <w:t> </w:t>
            </w:r>
            <w:r w:rsidRPr="00961E0F">
              <w:rPr>
                <w:color w:val="000000"/>
              </w:rPr>
              <w:t>1 (3 semaines)</w:t>
            </w:r>
          </w:p>
        </w:tc>
        <w:tc>
          <w:tcPr>
            <w:tcW w:w="6928" w:type="dxa"/>
            <w:shd w:val="clear" w:color="auto" w:fill="auto"/>
          </w:tcPr>
          <w:p w14:paraId="75A3BC75" w14:textId="77777777" w:rsidR="009D7C59" w:rsidRPr="00961E0F" w:rsidRDefault="009D7C59" w:rsidP="00C02374">
            <w:pPr>
              <w:pStyle w:val="EndnoteText"/>
              <w:widowControl w:val="0"/>
              <w:rPr>
                <w:color w:val="000000"/>
                <w:lang w:val="fr-FR"/>
              </w:rPr>
            </w:pPr>
            <w:r w:rsidRPr="00961E0F">
              <w:rPr>
                <w:color w:val="000000"/>
                <w:lang w:val="fr-FR"/>
              </w:rPr>
              <w:t>VCR (1</w:t>
            </w:r>
            <w:r w:rsidR="004A615E" w:rsidRPr="00961E0F">
              <w:rPr>
                <w:color w:val="000000"/>
                <w:lang w:val="fr-FR"/>
              </w:rPr>
              <w:t>,</w:t>
            </w:r>
            <w:r w:rsidRPr="00961E0F">
              <w:rPr>
                <w:color w:val="000000"/>
                <w:lang w:val="fr-FR"/>
              </w:rPr>
              <w:t>5 mg/m</w:t>
            </w:r>
            <w:r w:rsidRPr="00961E0F">
              <w:rPr>
                <w:color w:val="000000"/>
                <w:vertAlign w:val="superscript"/>
                <w:lang w:val="fr-FR"/>
              </w:rPr>
              <w:t>2</w:t>
            </w:r>
            <w:r w:rsidRPr="00961E0F">
              <w:rPr>
                <w:color w:val="000000"/>
                <w:lang w:val="fr-FR"/>
              </w:rPr>
              <w:t>/</w:t>
            </w:r>
            <w:r w:rsidR="004E3E23" w:rsidRPr="00961E0F">
              <w:rPr>
                <w:color w:val="000000"/>
                <w:lang w:val="fr-FR"/>
              </w:rPr>
              <w:t>jour</w:t>
            </w:r>
            <w:r w:rsidRPr="00961E0F">
              <w:rPr>
                <w:color w:val="000000"/>
                <w:lang w:val="fr-FR"/>
              </w:rPr>
              <w:t>, IV)</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xml:space="preserve"> 1, 8, </w:t>
            </w:r>
            <w:r w:rsidR="00A94878" w:rsidRPr="00961E0F">
              <w:rPr>
                <w:color w:val="000000"/>
                <w:lang w:val="fr-FR"/>
              </w:rPr>
              <w:t>et</w:t>
            </w:r>
            <w:r w:rsidRPr="00961E0F">
              <w:rPr>
                <w:color w:val="000000"/>
                <w:lang w:val="fr-FR"/>
              </w:rPr>
              <w:t xml:space="preserve"> 15</w:t>
            </w:r>
          </w:p>
          <w:p w14:paraId="2581BB75" w14:textId="77777777" w:rsidR="009D7C59" w:rsidRPr="00961E0F" w:rsidRDefault="009D7C59" w:rsidP="00C02374">
            <w:pPr>
              <w:pStyle w:val="EndnoteText"/>
              <w:widowControl w:val="0"/>
              <w:rPr>
                <w:color w:val="000000"/>
                <w:lang w:val="fr-FR"/>
              </w:rPr>
            </w:pPr>
            <w:r w:rsidRPr="00961E0F">
              <w:rPr>
                <w:color w:val="000000"/>
                <w:lang w:val="fr-FR"/>
              </w:rPr>
              <w:t>DAUN (45 mg/m</w:t>
            </w:r>
            <w:r w:rsidRPr="00961E0F">
              <w:rPr>
                <w:color w:val="000000"/>
                <w:vertAlign w:val="superscript"/>
                <w:lang w:val="fr-FR"/>
              </w:rPr>
              <w:t>2</w:t>
            </w:r>
            <w:r w:rsidRPr="00961E0F">
              <w:rPr>
                <w:color w:val="000000"/>
                <w:lang w:val="fr-FR"/>
              </w:rPr>
              <w:t>/</w:t>
            </w:r>
            <w:r w:rsidR="004E3E23" w:rsidRPr="00961E0F">
              <w:rPr>
                <w:color w:val="000000"/>
                <w:lang w:val="fr-FR"/>
              </w:rPr>
              <w:t>jour</w:t>
            </w:r>
            <w:r w:rsidRPr="00961E0F">
              <w:rPr>
                <w:color w:val="000000"/>
                <w:lang w:val="fr-FR"/>
              </w:rPr>
              <w:t xml:space="preserve"> bolus, IV)</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xml:space="preserve"> 1 </w:t>
            </w:r>
            <w:r w:rsidR="00A94878" w:rsidRPr="00961E0F">
              <w:rPr>
                <w:color w:val="000000"/>
                <w:lang w:val="fr-FR"/>
              </w:rPr>
              <w:t>et</w:t>
            </w:r>
            <w:r w:rsidRPr="00961E0F">
              <w:rPr>
                <w:color w:val="000000"/>
                <w:lang w:val="fr-FR"/>
              </w:rPr>
              <w:t xml:space="preserve"> 2</w:t>
            </w:r>
          </w:p>
          <w:p w14:paraId="7D014128" w14:textId="77777777" w:rsidR="009D7C59" w:rsidRPr="00961E0F" w:rsidRDefault="009D7C59" w:rsidP="00C02374">
            <w:pPr>
              <w:pStyle w:val="EndnoteText"/>
              <w:widowControl w:val="0"/>
              <w:rPr>
                <w:color w:val="000000"/>
                <w:lang w:val="fr-FR"/>
              </w:rPr>
            </w:pPr>
            <w:r w:rsidRPr="00961E0F">
              <w:rPr>
                <w:color w:val="000000"/>
                <w:lang w:val="fr-FR"/>
              </w:rPr>
              <w:t>CPM (250 mg/m</w:t>
            </w:r>
            <w:r w:rsidRPr="00961E0F">
              <w:rPr>
                <w:color w:val="000000"/>
                <w:vertAlign w:val="superscript"/>
                <w:lang w:val="fr-FR"/>
              </w:rPr>
              <w:t>2</w:t>
            </w:r>
            <w:r w:rsidRPr="00961E0F">
              <w:rPr>
                <w:color w:val="000000"/>
                <w:lang w:val="fr-FR"/>
              </w:rPr>
              <w:t xml:space="preserve">/dose </w:t>
            </w:r>
            <w:r w:rsidR="004E3E23" w:rsidRPr="00961E0F">
              <w:rPr>
                <w:color w:val="000000"/>
                <w:lang w:val="fr-FR"/>
              </w:rPr>
              <w:t>toutes les 12</w:t>
            </w:r>
            <w:r w:rsidR="00571676" w:rsidRPr="00961E0F">
              <w:rPr>
                <w:color w:val="000000"/>
                <w:lang w:val="fr-FR"/>
              </w:rPr>
              <w:t> </w:t>
            </w:r>
            <w:r w:rsidR="004E3E23" w:rsidRPr="00961E0F">
              <w:rPr>
                <w:color w:val="000000"/>
                <w:lang w:val="fr-FR"/>
              </w:rPr>
              <w:t>heures</w:t>
            </w:r>
            <w:r w:rsidRPr="00961E0F">
              <w:rPr>
                <w:color w:val="000000"/>
                <w:lang w:val="fr-FR"/>
              </w:rPr>
              <w:t xml:space="preserve"> x 4 doses, IV)</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3 and 4</w:t>
            </w:r>
          </w:p>
          <w:p w14:paraId="342D8A93" w14:textId="77777777" w:rsidR="009D7C59" w:rsidRPr="00961E0F" w:rsidRDefault="009D7C59" w:rsidP="00C02374">
            <w:pPr>
              <w:pStyle w:val="EndnoteText"/>
              <w:widowControl w:val="0"/>
              <w:rPr>
                <w:color w:val="000000"/>
                <w:lang w:val="de-DE"/>
              </w:rPr>
            </w:pPr>
            <w:r w:rsidRPr="00961E0F">
              <w:rPr>
                <w:color w:val="000000"/>
                <w:lang w:val="de-DE"/>
              </w:rPr>
              <w:t>PEG-ASP (2500 U</w:t>
            </w:r>
            <w:r w:rsidR="004A615E" w:rsidRPr="00961E0F">
              <w:rPr>
                <w:color w:val="000000"/>
                <w:lang w:val="de-DE"/>
              </w:rPr>
              <w:t>I</w:t>
            </w:r>
            <w:r w:rsidRPr="00961E0F">
              <w:rPr>
                <w:color w:val="000000"/>
                <w:lang w:val="de-DE"/>
              </w:rPr>
              <w:t>/m</w:t>
            </w:r>
            <w:r w:rsidRPr="00961E0F">
              <w:rPr>
                <w:color w:val="000000"/>
                <w:vertAlign w:val="superscript"/>
                <w:lang w:val="de-DE"/>
              </w:rPr>
              <w:t>2</w:t>
            </w:r>
            <w:r w:rsidRPr="00961E0F">
              <w:rPr>
                <w:color w:val="000000"/>
                <w:lang w:val="de-DE"/>
              </w:rPr>
              <w:t>, IM)</w:t>
            </w:r>
            <w:r w:rsidR="00B32B8D" w:rsidRPr="00961E0F">
              <w:rPr>
                <w:color w:val="000000"/>
                <w:lang w:val="de-DE"/>
              </w:rPr>
              <w:t> </w:t>
            </w:r>
            <w:r w:rsidRPr="00961E0F">
              <w:rPr>
                <w:color w:val="000000"/>
                <w:lang w:val="de-DE"/>
              </w:rPr>
              <w:t xml:space="preserve">: </w:t>
            </w:r>
            <w:r w:rsidR="004E3E23" w:rsidRPr="00961E0F">
              <w:rPr>
                <w:color w:val="000000"/>
                <w:lang w:val="de-DE"/>
              </w:rPr>
              <w:t>jour</w:t>
            </w:r>
            <w:r w:rsidRPr="00961E0F">
              <w:rPr>
                <w:color w:val="000000"/>
                <w:lang w:val="de-DE"/>
              </w:rPr>
              <w:t> 4</w:t>
            </w:r>
          </w:p>
          <w:p w14:paraId="522A0ABC" w14:textId="77777777" w:rsidR="009D7C59" w:rsidRPr="00961E0F" w:rsidRDefault="009D7C59" w:rsidP="00C02374">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5</w:t>
            </w:r>
            <w:r w:rsidRPr="00961E0F">
              <w:rPr>
                <w:color w:val="000000"/>
                <w:lang w:val="fr-FR"/>
              </w:rPr>
              <w:noBreakHyphen/>
              <w:t xml:space="preserve">14 </w:t>
            </w:r>
            <w:r w:rsidR="004E3E23" w:rsidRPr="00961E0F">
              <w:rPr>
                <w:color w:val="000000"/>
                <w:lang w:val="fr-FR"/>
              </w:rPr>
              <w:t xml:space="preserve">ou jusqu’à un taux de neutrophile absolu </w:t>
            </w:r>
            <w:r w:rsidRPr="00961E0F">
              <w:rPr>
                <w:color w:val="000000"/>
                <w:lang w:val="fr-FR"/>
              </w:rPr>
              <w:t>&gt; 1500 post nadir</w:t>
            </w:r>
          </w:p>
          <w:p w14:paraId="31EAA644" w14:textId="77777777" w:rsidR="009D7C59" w:rsidRPr="00961E0F" w:rsidRDefault="004E3E23" w:rsidP="00C02374">
            <w:pPr>
              <w:pStyle w:val="EndnoteText"/>
              <w:widowControl w:val="0"/>
              <w:rPr>
                <w:color w:val="000000"/>
                <w:lang w:val="fr-FR"/>
              </w:rPr>
            </w:pPr>
            <w:r w:rsidRPr="00961E0F">
              <w:rPr>
                <w:color w:val="000000"/>
                <w:lang w:val="fr-FR"/>
              </w:rPr>
              <w:t>Triple thérapie intrathécale (ajustée à l’âge)</w:t>
            </w:r>
            <w:r w:rsidR="00B32B8D" w:rsidRPr="00961E0F">
              <w:rPr>
                <w:color w:val="000000"/>
                <w:lang w:val="fr-FR"/>
              </w:rPr>
              <w:t xml:space="preserve"> : </w:t>
            </w:r>
            <w:r w:rsidRPr="00961E0F">
              <w:rPr>
                <w:color w:val="000000"/>
                <w:lang w:val="fr-FR"/>
              </w:rPr>
              <w:t>jours</w:t>
            </w:r>
            <w:r w:rsidR="009D7C59" w:rsidRPr="00961E0F">
              <w:rPr>
                <w:color w:val="000000"/>
                <w:lang w:val="fr-FR"/>
              </w:rPr>
              <w:t xml:space="preserve"> 1 </w:t>
            </w:r>
            <w:r w:rsidRPr="00961E0F">
              <w:rPr>
                <w:color w:val="000000"/>
                <w:lang w:val="fr-FR"/>
              </w:rPr>
              <w:t>et</w:t>
            </w:r>
            <w:r w:rsidR="009D7C59" w:rsidRPr="00961E0F">
              <w:rPr>
                <w:color w:val="000000"/>
                <w:lang w:val="fr-FR"/>
              </w:rPr>
              <w:t xml:space="preserve"> 15</w:t>
            </w:r>
          </w:p>
          <w:p w14:paraId="11F93B9F" w14:textId="77777777" w:rsidR="009D7C59" w:rsidRPr="00961E0F" w:rsidRDefault="009D7C59" w:rsidP="004E3E23">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w:t>
            </w:r>
            <w:r w:rsidR="004E3E23" w:rsidRPr="00961E0F">
              <w:rPr>
                <w:color w:val="000000"/>
                <w:lang w:val="fr-FR"/>
              </w:rPr>
              <w:t>jour</w:t>
            </w:r>
            <w:r w:rsidRPr="00961E0F">
              <w:rPr>
                <w:color w:val="000000"/>
                <w:lang w:val="fr-FR"/>
              </w:rPr>
              <w:t>, PO)</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1</w:t>
            </w:r>
            <w:r w:rsidRPr="00961E0F">
              <w:rPr>
                <w:color w:val="000000"/>
                <w:lang w:val="fr-FR"/>
              </w:rPr>
              <w:noBreakHyphen/>
              <w:t xml:space="preserve">7 </w:t>
            </w:r>
            <w:r w:rsidR="004E3E23" w:rsidRPr="00961E0F">
              <w:rPr>
                <w:color w:val="000000"/>
                <w:lang w:val="fr-FR"/>
              </w:rPr>
              <w:t>et</w:t>
            </w:r>
            <w:r w:rsidRPr="00961E0F">
              <w:rPr>
                <w:color w:val="000000"/>
                <w:lang w:val="fr-FR"/>
              </w:rPr>
              <w:t xml:space="preserve"> 15</w:t>
            </w:r>
            <w:r w:rsidRPr="00961E0F">
              <w:rPr>
                <w:color w:val="000000"/>
                <w:lang w:val="fr-FR"/>
              </w:rPr>
              <w:noBreakHyphen/>
              <w:t>21</w:t>
            </w:r>
          </w:p>
        </w:tc>
      </w:tr>
      <w:tr w:rsidR="009D7C59" w:rsidRPr="00961E0F" w14:paraId="30116A1B" w14:textId="77777777" w:rsidTr="00B15424">
        <w:trPr>
          <w:cantSplit/>
        </w:trPr>
        <w:tc>
          <w:tcPr>
            <w:tcW w:w="2358" w:type="dxa"/>
            <w:shd w:val="clear" w:color="auto" w:fill="auto"/>
          </w:tcPr>
          <w:p w14:paraId="09830738" w14:textId="77777777" w:rsidR="009D7C59" w:rsidRPr="00961E0F" w:rsidRDefault="004E3E23" w:rsidP="0061572E">
            <w:pPr>
              <w:pStyle w:val="EndnoteText"/>
              <w:widowControl w:val="0"/>
              <w:rPr>
                <w:color w:val="000000"/>
              </w:rPr>
            </w:pPr>
            <w:r w:rsidRPr="00961E0F">
              <w:rPr>
                <w:color w:val="000000"/>
              </w:rPr>
              <w:t>Bloc d’intensification</w:t>
            </w:r>
            <w:r w:rsidR="0061572E" w:rsidRPr="00961E0F">
              <w:rPr>
                <w:color w:val="000000"/>
              </w:rPr>
              <w:t> </w:t>
            </w:r>
            <w:r w:rsidRPr="00961E0F">
              <w:rPr>
                <w:color w:val="000000"/>
              </w:rPr>
              <w:t>1 (</w:t>
            </w:r>
            <w:r w:rsidR="0088160C" w:rsidRPr="00961E0F">
              <w:rPr>
                <w:color w:val="000000"/>
              </w:rPr>
              <w:t>9</w:t>
            </w:r>
            <w:r w:rsidRPr="00961E0F">
              <w:rPr>
                <w:color w:val="000000"/>
              </w:rPr>
              <w:t> semaines)</w:t>
            </w:r>
          </w:p>
        </w:tc>
        <w:tc>
          <w:tcPr>
            <w:tcW w:w="6928" w:type="dxa"/>
            <w:shd w:val="clear" w:color="auto" w:fill="auto"/>
          </w:tcPr>
          <w:p w14:paraId="02B8A00D" w14:textId="77777777" w:rsidR="009D7C59" w:rsidRPr="00961E0F" w:rsidRDefault="009D7C59" w:rsidP="00C02374">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Pr="00961E0F">
              <w:rPr>
                <w:color w:val="000000"/>
                <w:lang w:val="fr-FR"/>
              </w:rPr>
              <w:t xml:space="preserve"> </w:t>
            </w:r>
            <w:r w:rsidR="004E3E23" w:rsidRPr="00961E0F">
              <w:rPr>
                <w:color w:val="000000"/>
                <w:lang w:val="fr-FR"/>
              </w:rPr>
              <w:t>sur 24 heures</w:t>
            </w:r>
            <w:r w:rsidRPr="00961E0F">
              <w:rPr>
                <w:color w:val="000000"/>
                <w:lang w:val="fr-FR"/>
              </w:rPr>
              <w:t>, IV)</w:t>
            </w:r>
            <w:r w:rsidR="00B32B8D" w:rsidRPr="00961E0F">
              <w:rPr>
                <w:color w:val="000000"/>
                <w:lang w:val="fr-FR"/>
              </w:rPr>
              <w:t> </w:t>
            </w:r>
            <w:r w:rsidRPr="00961E0F">
              <w:rPr>
                <w:color w:val="000000"/>
                <w:lang w:val="fr-FR"/>
              </w:rPr>
              <w:t xml:space="preserve">: </w:t>
            </w:r>
            <w:r w:rsidR="004E3E23" w:rsidRPr="00961E0F">
              <w:rPr>
                <w:color w:val="000000"/>
                <w:lang w:val="fr-FR"/>
              </w:rPr>
              <w:t>jours</w:t>
            </w:r>
            <w:r w:rsidRPr="00961E0F">
              <w:rPr>
                <w:color w:val="000000"/>
                <w:lang w:val="fr-FR"/>
              </w:rPr>
              <w:t xml:space="preserve"> 1 </w:t>
            </w:r>
            <w:r w:rsidR="004E3E23" w:rsidRPr="00961E0F">
              <w:rPr>
                <w:color w:val="000000"/>
                <w:lang w:val="fr-FR"/>
              </w:rPr>
              <w:t>et</w:t>
            </w:r>
            <w:r w:rsidRPr="00961E0F">
              <w:rPr>
                <w:color w:val="000000"/>
                <w:lang w:val="fr-FR"/>
              </w:rPr>
              <w:t xml:space="preserve"> 15</w:t>
            </w:r>
          </w:p>
          <w:p w14:paraId="7FE0C8BE" w14:textId="77777777" w:rsidR="009D7C59" w:rsidRPr="00961E0F" w:rsidRDefault="009D7C59" w:rsidP="00C02374">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w:t>
            </w:r>
            <w:r w:rsidR="004E3E23" w:rsidRPr="00961E0F">
              <w:rPr>
                <w:color w:val="000000"/>
                <w:lang w:val="fr-FR"/>
              </w:rPr>
              <w:t>à heure</w:t>
            </w:r>
            <w:r w:rsidRPr="00961E0F">
              <w:rPr>
                <w:color w:val="000000"/>
                <w:lang w:val="fr-FR"/>
              </w:rPr>
              <w:t> 36, IV; 15 mg/m</w:t>
            </w:r>
            <w:r w:rsidRPr="00961E0F">
              <w:rPr>
                <w:color w:val="000000"/>
                <w:vertAlign w:val="superscript"/>
                <w:lang w:val="fr-FR"/>
              </w:rPr>
              <w:t>2</w:t>
            </w:r>
            <w:r w:rsidRPr="00961E0F">
              <w:rPr>
                <w:color w:val="000000"/>
                <w:lang w:val="fr-FR"/>
              </w:rPr>
              <w:t xml:space="preserve"> IV </w:t>
            </w:r>
            <w:r w:rsidR="004E3E23" w:rsidRPr="00961E0F">
              <w:rPr>
                <w:color w:val="000000"/>
                <w:lang w:val="fr-FR"/>
              </w:rPr>
              <w:t>ou</w:t>
            </w:r>
            <w:r w:rsidRPr="00961E0F">
              <w:rPr>
                <w:color w:val="000000"/>
                <w:lang w:val="fr-FR"/>
              </w:rPr>
              <w:t xml:space="preserve"> PO </w:t>
            </w:r>
            <w:r w:rsidR="004E3E23" w:rsidRPr="00961E0F">
              <w:rPr>
                <w:color w:val="000000"/>
                <w:lang w:val="fr-FR"/>
              </w:rPr>
              <w:t>toutes les 6</w:t>
            </w:r>
            <w:r w:rsidR="00571676" w:rsidRPr="00961E0F">
              <w:rPr>
                <w:color w:val="000000"/>
                <w:lang w:val="fr-FR"/>
              </w:rPr>
              <w:t> </w:t>
            </w:r>
            <w:r w:rsidR="004E3E23" w:rsidRPr="00961E0F">
              <w:rPr>
                <w:color w:val="000000"/>
                <w:lang w:val="fr-FR"/>
              </w:rPr>
              <w:t>heures</w:t>
            </w:r>
            <w:r w:rsidRPr="00961E0F">
              <w:rPr>
                <w:color w:val="000000"/>
                <w:lang w:val="fr-FR"/>
              </w:rPr>
              <w:t xml:space="preserve"> x 6 doses)</w:t>
            </w:r>
            <w:r w:rsidR="00F56D29" w:rsidRPr="00961E0F">
              <w:rPr>
                <w:color w:val="000000"/>
                <w:lang w:val="fr-FR"/>
              </w:rPr>
              <w:t xml:space="preserve"> </w:t>
            </w:r>
            <w:r w:rsidRPr="00961E0F">
              <w:rPr>
                <w:color w:val="000000"/>
                <w:lang w:val="fr-FR"/>
              </w:rPr>
              <w:t xml:space="preserve">iii: </w:t>
            </w:r>
            <w:r w:rsidR="004E3E23" w:rsidRPr="00961E0F">
              <w:rPr>
                <w:color w:val="000000"/>
                <w:lang w:val="fr-FR"/>
              </w:rPr>
              <w:t>jours</w:t>
            </w:r>
            <w:r w:rsidRPr="00961E0F">
              <w:rPr>
                <w:color w:val="000000"/>
                <w:lang w:val="fr-FR"/>
              </w:rPr>
              <w:t xml:space="preserve"> 2, 3, 16, </w:t>
            </w:r>
            <w:r w:rsidR="004E3E23" w:rsidRPr="00961E0F">
              <w:rPr>
                <w:color w:val="000000"/>
                <w:lang w:val="fr-FR"/>
              </w:rPr>
              <w:t>et</w:t>
            </w:r>
            <w:r w:rsidRPr="00961E0F">
              <w:rPr>
                <w:color w:val="000000"/>
                <w:lang w:val="fr-FR"/>
              </w:rPr>
              <w:t xml:space="preserve"> 17</w:t>
            </w:r>
          </w:p>
          <w:p w14:paraId="6D821FCD" w14:textId="77777777" w:rsidR="009D7C59" w:rsidRPr="00961E0F" w:rsidRDefault="00FC2B65" w:rsidP="00C02374">
            <w:pPr>
              <w:pStyle w:val="EndnoteText"/>
              <w:widowControl w:val="0"/>
              <w:rPr>
                <w:color w:val="000000"/>
                <w:lang w:val="fr-FR"/>
              </w:rPr>
            </w:pPr>
            <w:r w:rsidRPr="00961E0F">
              <w:rPr>
                <w:color w:val="000000"/>
                <w:lang w:val="fr-FR"/>
              </w:rPr>
              <w:t>Triple thérapie intrathécale (ajustée à l’âge)</w:t>
            </w:r>
            <w:r w:rsidR="00B32B8D" w:rsidRPr="00961E0F">
              <w:rPr>
                <w:color w:val="000000"/>
                <w:lang w:val="fr-FR"/>
              </w:rPr>
              <w:t> </w:t>
            </w:r>
            <w:r w:rsidR="009D7C59" w:rsidRPr="00961E0F">
              <w:rPr>
                <w:color w:val="000000"/>
                <w:lang w:val="fr-FR"/>
              </w:rPr>
              <w:t xml:space="preserve">: </w:t>
            </w:r>
            <w:r w:rsidRPr="00961E0F">
              <w:rPr>
                <w:color w:val="000000"/>
                <w:lang w:val="fr-FR"/>
              </w:rPr>
              <w:t>jours</w:t>
            </w:r>
            <w:r w:rsidR="009D7C59" w:rsidRPr="00961E0F">
              <w:rPr>
                <w:color w:val="000000"/>
                <w:lang w:val="fr-FR"/>
              </w:rPr>
              <w:t> 1</w:t>
            </w:r>
            <w:r w:rsidRPr="00961E0F">
              <w:rPr>
                <w:color w:val="000000"/>
                <w:lang w:val="fr-FR"/>
              </w:rPr>
              <w:t xml:space="preserve"> et </w:t>
            </w:r>
            <w:r w:rsidR="009D7C59" w:rsidRPr="00961E0F">
              <w:rPr>
                <w:color w:val="000000"/>
                <w:lang w:val="fr-FR"/>
              </w:rPr>
              <w:t>22</w:t>
            </w:r>
          </w:p>
          <w:p w14:paraId="340AF947" w14:textId="77777777" w:rsidR="009D7C59" w:rsidRPr="00961E0F" w:rsidRDefault="009D7C59" w:rsidP="00C02374">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w:t>
            </w:r>
            <w:r w:rsidR="00FC2B65" w:rsidRPr="00961E0F">
              <w:rPr>
                <w:color w:val="000000"/>
                <w:lang w:val="fr-FR"/>
              </w:rPr>
              <w:t>jour</w:t>
            </w:r>
            <w:r w:rsidRPr="00961E0F">
              <w:rPr>
                <w:color w:val="000000"/>
                <w:lang w:val="fr-FR"/>
              </w:rPr>
              <w:t>, IV)</w:t>
            </w:r>
            <w:r w:rsidR="00B32B8D" w:rsidRPr="00961E0F">
              <w:rPr>
                <w:color w:val="000000"/>
                <w:lang w:val="fr-FR"/>
              </w:rPr>
              <w:t> </w:t>
            </w:r>
            <w:r w:rsidRPr="00961E0F">
              <w:rPr>
                <w:color w:val="000000"/>
                <w:lang w:val="fr-FR"/>
              </w:rPr>
              <w:t xml:space="preserve">: </w:t>
            </w:r>
            <w:r w:rsidR="00FC2B65" w:rsidRPr="00961E0F">
              <w:rPr>
                <w:color w:val="000000"/>
                <w:lang w:val="fr-FR"/>
              </w:rPr>
              <w:t>jours</w:t>
            </w:r>
            <w:r w:rsidRPr="00961E0F">
              <w:rPr>
                <w:color w:val="000000"/>
                <w:lang w:val="fr-FR"/>
              </w:rPr>
              <w:t> 22</w:t>
            </w:r>
            <w:r w:rsidRPr="00961E0F">
              <w:rPr>
                <w:color w:val="000000"/>
                <w:lang w:val="fr-FR"/>
              </w:rPr>
              <w:noBreakHyphen/>
              <w:t>26</w:t>
            </w:r>
          </w:p>
          <w:p w14:paraId="2409F1BC" w14:textId="77777777" w:rsidR="009D7C59" w:rsidRPr="00961E0F" w:rsidRDefault="009D7C59" w:rsidP="00C02374">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w:t>
            </w:r>
            <w:r w:rsidR="00FC2B65" w:rsidRPr="00961E0F">
              <w:rPr>
                <w:color w:val="000000"/>
                <w:lang w:val="fr-FR"/>
              </w:rPr>
              <w:t>jour</w:t>
            </w:r>
            <w:r w:rsidRPr="00961E0F">
              <w:rPr>
                <w:color w:val="000000"/>
                <w:lang w:val="fr-FR"/>
              </w:rPr>
              <w:t>, IV)</w:t>
            </w:r>
            <w:r w:rsidR="00B32B8D" w:rsidRPr="00961E0F">
              <w:rPr>
                <w:color w:val="000000"/>
                <w:lang w:val="fr-FR"/>
              </w:rPr>
              <w:t> </w:t>
            </w:r>
            <w:r w:rsidRPr="00961E0F">
              <w:rPr>
                <w:color w:val="000000"/>
                <w:lang w:val="fr-FR"/>
              </w:rPr>
              <w:t xml:space="preserve">: </w:t>
            </w:r>
            <w:r w:rsidR="00FC2B65" w:rsidRPr="00961E0F">
              <w:rPr>
                <w:color w:val="000000"/>
                <w:lang w:val="fr-FR"/>
              </w:rPr>
              <w:t>jours</w:t>
            </w:r>
            <w:r w:rsidRPr="00961E0F">
              <w:rPr>
                <w:color w:val="000000"/>
                <w:lang w:val="fr-FR"/>
              </w:rPr>
              <w:t> 22</w:t>
            </w:r>
            <w:r w:rsidRPr="00961E0F">
              <w:rPr>
                <w:color w:val="000000"/>
                <w:lang w:val="fr-FR"/>
              </w:rPr>
              <w:noBreakHyphen/>
              <w:t>26</w:t>
            </w:r>
          </w:p>
          <w:p w14:paraId="2C8B8414" w14:textId="77777777" w:rsidR="009D7C59" w:rsidRPr="00961E0F" w:rsidRDefault="009D7C59" w:rsidP="00C02374">
            <w:pPr>
              <w:pStyle w:val="EndnoteText"/>
              <w:widowControl w:val="0"/>
              <w:rPr>
                <w:color w:val="000000"/>
                <w:lang w:val="fr-FR"/>
              </w:rPr>
            </w:pPr>
            <w:r w:rsidRPr="00961E0F">
              <w:rPr>
                <w:color w:val="000000"/>
                <w:lang w:val="fr-FR"/>
              </w:rPr>
              <w:t>MESNA (150 mg/m</w:t>
            </w:r>
            <w:r w:rsidRPr="00961E0F">
              <w:rPr>
                <w:color w:val="000000"/>
                <w:vertAlign w:val="superscript"/>
                <w:lang w:val="fr-FR"/>
              </w:rPr>
              <w:t>2</w:t>
            </w:r>
            <w:r w:rsidRPr="00961E0F">
              <w:rPr>
                <w:color w:val="000000"/>
                <w:lang w:val="fr-FR"/>
              </w:rPr>
              <w:t>/</w:t>
            </w:r>
            <w:r w:rsidR="00FC2B65" w:rsidRPr="00961E0F">
              <w:rPr>
                <w:color w:val="000000"/>
                <w:lang w:val="fr-FR"/>
              </w:rPr>
              <w:t>jour</w:t>
            </w:r>
            <w:r w:rsidRPr="00961E0F">
              <w:rPr>
                <w:color w:val="000000"/>
                <w:lang w:val="fr-FR"/>
              </w:rPr>
              <w:t>, IV)</w:t>
            </w:r>
            <w:r w:rsidR="00B32B8D" w:rsidRPr="00961E0F">
              <w:rPr>
                <w:color w:val="000000"/>
                <w:lang w:val="fr-FR"/>
              </w:rPr>
              <w:t> </w:t>
            </w:r>
            <w:r w:rsidRPr="00961E0F">
              <w:rPr>
                <w:color w:val="000000"/>
                <w:lang w:val="fr-FR"/>
              </w:rPr>
              <w:t xml:space="preserve">: </w:t>
            </w:r>
            <w:r w:rsidR="00FC2B65" w:rsidRPr="00961E0F">
              <w:rPr>
                <w:color w:val="000000"/>
                <w:lang w:val="fr-FR"/>
              </w:rPr>
              <w:t>jours</w:t>
            </w:r>
            <w:r w:rsidRPr="00961E0F">
              <w:rPr>
                <w:color w:val="000000"/>
                <w:lang w:val="fr-FR"/>
              </w:rPr>
              <w:t> 22</w:t>
            </w:r>
            <w:r w:rsidRPr="00961E0F">
              <w:rPr>
                <w:color w:val="000000"/>
                <w:lang w:val="fr-FR"/>
              </w:rPr>
              <w:noBreakHyphen/>
              <w:t>26</w:t>
            </w:r>
          </w:p>
          <w:p w14:paraId="7F56B161" w14:textId="77777777" w:rsidR="009D7C59" w:rsidRPr="00961E0F" w:rsidRDefault="009D7C59" w:rsidP="00C02374">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B32B8D" w:rsidRPr="00961E0F">
              <w:rPr>
                <w:color w:val="000000"/>
                <w:lang w:val="fr-FR"/>
              </w:rPr>
              <w:t> </w:t>
            </w:r>
            <w:r w:rsidRPr="00961E0F">
              <w:rPr>
                <w:color w:val="000000"/>
                <w:lang w:val="fr-FR"/>
              </w:rPr>
              <w:t xml:space="preserve">: </w:t>
            </w:r>
            <w:r w:rsidR="00FC2B65" w:rsidRPr="00961E0F">
              <w:rPr>
                <w:color w:val="000000"/>
                <w:lang w:val="fr-FR"/>
              </w:rPr>
              <w:t>jours</w:t>
            </w:r>
            <w:r w:rsidRPr="00961E0F">
              <w:rPr>
                <w:color w:val="000000"/>
                <w:lang w:val="fr-FR"/>
              </w:rPr>
              <w:t> 27</w:t>
            </w:r>
            <w:r w:rsidR="00571676" w:rsidRPr="00961E0F">
              <w:rPr>
                <w:color w:val="000000"/>
                <w:lang w:val="fr-FR"/>
              </w:rPr>
              <w:noBreakHyphen/>
            </w:r>
            <w:r w:rsidRPr="00961E0F">
              <w:rPr>
                <w:color w:val="000000"/>
                <w:lang w:val="fr-FR"/>
              </w:rPr>
              <w:t xml:space="preserve">36 </w:t>
            </w:r>
            <w:r w:rsidR="00FC2B65" w:rsidRPr="00961E0F">
              <w:rPr>
                <w:color w:val="000000"/>
                <w:lang w:val="fr-FR"/>
              </w:rPr>
              <w:t xml:space="preserve">ou jusqu’à un taux de neutrophile absolu </w:t>
            </w:r>
            <w:r w:rsidRPr="00961E0F">
              <w:rPr>
                <w:color w:val="000000"/>
                <w:lang w:val="fr-FR"/>
              </w:rPr>
              <w:t>&gt; 1500 post nadir</w:t>
            </w:r>
          </w:p>
          <w:p w14:paraId="3BDFC655" w14:textId="77777777" w:rsidR="009D7C59" w:rsidRPr="00961E0F" w:rsidRDefault="009D7C59" w:rsidP="00C02374">
            <w:pPr>
              <w:pStyle w:val="EndnoteText"/>
              <w:widowControl w:val="0"/>
              <w:rPr>
                <w:color w:val="000000"/>
                <w:lang w:val="fr-FR"/>
              </w:rPr>
            </w:pPr>
            <w:r w:rsidRPr="00961E0F">
              <w:rPr>
                <w:color w:val="000000"/>
                <w:lang w:val="fr-FR"/>
              </w:rPr>
              <w:t>ARA-C (3 g/m</w:t>
            </w:r>
            <w:r w:rsidRPr="00961E0F">
              <w:rPr>
                <w:color w:val="000000"/>
                <w:vertAlign w:val="superscript"/>
                <w:lang w:val="fr-FR"/>
              </w:rPr>
              <w:t>2</w:t>
            </w:r>
            <w:r w:rsidRPr="00961E0F">
              <w:rPr>
                <w:color w:val="000000"/>
                <w:lang w:val="fr-FR"/>
              </w:rPr>
              <w:t xml:space="preserve">, </w:t>
            </w:r>
            <w:r w:rsidR="00FC2B65" w:rsidRPr="00961E0F">
              <w:rPr>
                <w:color w:val="000000"/>
                <w:lang w:val="fr-FR"/>
              </w:rPr>
              <w:t>toutes les 12</w:t>
            </w:r>
            <w:r w:rsidR="00571676" w:rsidRPr="00961E0F">
              <w:rPr>
                <w:color w:val="000000"/>
                <w:lang w:val="fr-FR"/>
              </w:rPr>
              <w:t> </w:t>
            </w:r>
            <w:r w:rsidR="00FC2B65" w:rsidRPr="00961E0F">
              <w:rPr>
                <w:color w:val="000000"/>
                <w:lang w:val="fr-FR"/>
              </w:rPr>
              <w:t>heures</w:t>
            </w:r>
            <w:r w:rsidRPr="00961E0F">
              <w:rPr>
                <w:color w:val="000000"/>
                <w:lang w:val="fr-FR"/>
              </w:rPr>
              <w:t>, IV)</w:t>
            </w:r>
            <w:r w:rsidR="00B32B8D" w:rsidRPr="00961E0F">
              <w:rPr>
                <w:color w:val="000000"/>
                <w:lang w:val="fr-FR"/>
              </w:rPr>
              <w:t> </w:t>
            </w:r>
            <w:r w:rsidRPr="00961E0F">
              <w:rPr>
                <w:color w:val="000000"/>
                <w:lang w:val="fr-FR"/>
              </w:rPr>
              <w:t xml:space="preserve">: </w:t>
            </w:r>
            <w:r w:rsidR="00FC2B65" w:rsidRPr="00961E0F">
              <w:rPr>
                <w:color w:val="000000"/>
                <w:lang w:val="fr-FR"/>
              </w:rPr>
              <w:t>jours</w:t>
            </w:r>
            <w:r w:rsidRPr="00961E0F">
              <w:rPr>
                <w:color w:val="000000"/>
                <w:lang w:val="fr-FR"/>
              </w:rPr>
              <w:t> 43</w:t>
            </w:r>
            <w:r w:rsidR="00A94878" w:rsidRPr="00961E0F">
              <w:rPr>
                <w:color w:val="000000"/>
                <w:lang w:val="fr-FR"/>
              </w:rPr>
              <w:t xml:space="preserve"> et</w:t>
            </w:r>
            <w:r w:rsidRPr="00961E0F">
              <w:rPr>
                <w:color w:val="000000"/>
                <w:lang w:val="fr-FR"/>
              </w:rPr>
              <w:t xml:space="preserve"> 44</w:t>
            </w:r>
          </w:p>
          <w:p w14:paraId="12C87A88" w14:textId="77777777" w:rsidR="009D7C59" w:rsidRPr="00961E0F" w:rsidRDefault="009D7C59" w:rsidP="00A94878">
            <w:pPr>
              <w:pStyle w:val="EndnoteText"/>
              <w:widowControl w:val="0"/>
              <w:rPr>
                <w:color w:val="000000"/>
                <w:lang w:val="fr-FR"/>
              </w:rPr>
            </w:pPr>
            <w:r w:rsidRPr="00961E0F">
              <w:rPr>
                <w:color w:val="000000"/>
                <w:lang w:val="fr-FR"/>
              </w:rPr>
              <w:t>L-ASP (6000 U</w:t>
            </w:r>
            <w:r w:rsidR="004A615E" w:rsidRPr="00961E0F">
              <w:rPr>
                <w:color w:val="000000"/>
                <w:lang w:val="fr-FR"/>
              </w:rPr>
              <w:t>I</w:t>
            </w:r>
            <w:r w:rsidRPr="00961E0F">
              <w:rPr>
                <w:color w:val="000000"/>
                <w:lang w:val="fr-FR"/>
              </w:rPr>
              <w:t>/m</w:t>
            </w:r>
            <w:r w:rsidRPr="00961E0F">
              <w:rPr>
                <w:color w:val="000000"/>
                <w:vertAlign w:val="superscript"/>
                <w:lang w:val="fr-FR"/>
              </w:rPr>
              <w:t>2</w:t>
            </w:r>
            <w:r w:rsidRPr="00961E0F">
              <w:rPr>
                <w:color w:val="000000"/>
                <w:lang w:val="fr-FR"/>
              </w:rPr>
              <w:t>, IM)</w:t>
            </w:r>
            <w:r w:rsidR="00B32B8D" w:rsidRPr="00961E0F">
              <w:rPr>
                <w:color w:val="000000"/>
                <w:lang w:val="fr-FR"/>
              </w:rPr>
              <w:t> </w:t>
            </w:r>
            <w:r w:rsidRPr="00961E0F">
              <w:rPr>
                <w:color w:val="000000"/>
                <w:lang w:val="fr-FR"/>
              </w:rPr>
              <w:t xml:space="preserve">: </w:t>
            </w:r>
            <w:r w:rsidR="00FC2B65" w:rsidRPr="00961E0F">
              <w:rPr>
                <w:color w:val="000000"/>
                <w:lang w:val="fr-FR"/>
              </w:rPr>
              <w:t>jour</w:t>
            </w:r>
            <w:r w:rsidRPr="00961E0F">
              <w:rPr>
                <w:color w:val="000000"/>
                <w:lang w:val="fr-FR"/>
              </w:rPr>
              <w:t> 44</w:t>
            </w:r>
          </w:p>
        </w:tc>
      </w:tr>
      <w:tr w:rsidR="000D6A91" w:rsidRPr="00961E0F" w14:paraId="6C2169AC" w14:textId="77777777" w:rsidTr="00B15424">
        <w:trPr>
          <w:cantSplit/>
        </w:trPr>
        <w:tc>
          <w:tcPr>
            <w:tcW w:w="2358" w:type="dxa"/>
            <w:shd w:val="clear" w:color="auto" w:fill="auto"/>
          </w:tcPr>
          <w:p w14:paraId="27205837" w14:textId="77777777" w:rsidR="000D6A91" w:rsidRPr="00961E0F" w:rsidRDefault="000D6A91" w:rsidP="000D6A91">
            <w:pPr>
              <w:pStyle w:val="EndnoteText"/>
              <w:widowControl w:val="0"/>
              <w:rPr>
                <w:color w:val="000000"/>
              </w:rPr>
            </w:pPr>
            <w:r w:rsidRPr="00961E0F">
              <w:rPr>
                <w:color w:val="000000"/>
              </w:rPr>
              <w:t>Bloc de réinduction</w:t>
            </w:r>
            <w:r w:rsidR="0061572E" w:rsidRPr="00961E0F">
              <w:rPr>
                <w:color w:val="000000"/>
              </w:rPr>
              <w:t> </w:t>
            </w:r>
            <w:r w:rsidRPr="00961E0F">
              <w:rPr>
                <w:color w:val="000000"/>
              </w:rPr>
              <w:t>2 (3 semaines)</w:t>
            </w:r>
          </w:p>
        </w:tc>
        <w:tc>
          <w:tcPr>
            <w:tcW w:w="6928" w:type="dxa"/>
            <w:shd w:val="clear" w:color="auto" w:fill="auto"/>
          </w:tcPr>
          <w:p w14:paraId="1EE4F79F" w14:textId="77777777" w:rsidR="000D6A91" w:rsidRPr="00961E0F" w:rsidRDefault="000D6A91" w:rsidP="000D6A91">
            <w:pPr>
              <w:pStyle w:val="EndnoteText"/>
              <w:widowControl w:val="0"/>
              <w:rPr>
                <w:color w:val="000000"/>
                <w:lang w:val="fr-FR"/>
              </w:rPr>
            </w:pPr>
            <w:r w:rsidRPr="00961E0F">
              <w:rPr>
                <w:color w:val="000000"/>
                <w:lang w:val="fr-FR"/>
              </w:rPr>
              <w:t>VCR (1</w:t>
            </w:r>
            <w:r w:rsidR="004A615E" w:rsidRPr="00961E0F">
              <w:rPr>
                <w:color w:val="000000"/>
                <w:lang w:val="fr-FR"/>
              </w:rPr>
              <w:t>,</w:t>
            </w:r>
            <w:r w:rsidRPr="00961E0F">
              <w:rPr>
                <w:color w:val="000000"/>
                <w:lang w:val="fr-FR"/>
              </w:rPr>
              <w:t>5 mg/m</w:t>
            </w:r>
            <w:r w:rsidRPr="00961E0F">
              <w:rPr>
                <w:color w:val="000000"/>
                <w:vertAlign w:val="superscript"/>
                <w:lang w:val="fr-FR"/>
              </w:rPr>
              <w:t>2</w:t>
            </w:r>
            <w:r w:rsidRPr="00961E0F">
              <w:rPr>
                <w:color w:val="000000"/>
                <w:lang w:val="fr-FR"/>
              </w:rPr>
              <w:t>/jour, IV)</w:t>
            </w:r>
            <w:r w:rsidR="00B32B8D" w:rsidRPr="00961E0F">
              <w:rPr>
                <w:color w:val="000000"/>
                <w:lang w:val="fr-FR"/>
              </w:rPr>
              <w:t> </w:t>
            </w:r>
            <w:r w:rsidRPr="00961E0F">
              <w:rPr>
                <w:color w:val="000000"/>
                <w:lang w:val="fr-FR"/>
              </w:rPr>
              <w:t>: jours 1, 8 et 15</w:t>
            </w:r>
          </w:p>
          <w:p w14:paraId="50FC46BC" w14:textId="77777777" w:rsidR="000D6A91" w:rsidRPr="00961E0F" w:rsidRDefault="000D6A91" w:rsidP="000D6A91">
            <w:pPr>
              <w:pStyle w:val="EndnoteText"/>
              <w:widowControl w:val="0"/>
              <w:rPr>
                <w:color w:val="000000"/>
                <w:lang w:val="fr-FR"/>
              </w:rPr>
            </w:pPr>
            <w:r w:rsidRPr="00961E0F">
              <w:rPr>
                <w:color w:val="000000"/>
                <w:lang w:val="fr-FR"/>
              </w:rPr>
              <w:t>DAUN (45 mg/m</w:t>
            </w:r>
            <w:r w:rsidRPr="00961E0F">
              <w:rPr>
                <w:color w:val="000000"/>
                <w:vertAlign w:val="superscript"/>
                <w:lang w:val="fr-FR"/>
              </w:rPr>
              <w:t>2</w:t>
            </w:r>
            <w:r w:rsidRPr="00961E0F">
              <w:rPr>
                <w:color w:val="000000"/>
                <w:lang w:val="fr-FR"/>
              </w:rPr>
              <w:t>/jour bolus, IV)</w:t>
            </w:r>
            <w:r w:rsidR="00CF27E1" w:rsidRPr="00961E0F">
              <w:rPr>
                <w:color w:val="000000"/>
                <w:lang w:val="fr-FR"/>
              </w:rPr>
              <w:t> </w:t>
            </w:r>
            <w:r w:rsidRPr="00961E0F">
              <w:rPr>
                <w:color w:val="000000"/>
                <w:lang w:val="fr-FR"/>
              </w:rPr>
              <w:t xml:space="preserve">: jours 1 </w:t>
            </w:r>
            <w:r w:rsidR="00A94878" w:rsidRPr="00961E0F">
              <w:rPr>
                <w:color w:val="000000"/>
                <w:lang w:val="fr-FR"/>
              </w:rPr>
              <w:t>et</w:t>
            </w:r>
            <w:r w:rsidRPr="00961E0F">
              <w:rPr>
                <w:color w:val="000000"/>
                <w:lang w:val="fr-FR"/>
              </w:rPr>
              <w:t xml:space="preserve"> 2</w:t>
            </w:r>
          </w:p>
          <w:p w14:paraId="79326812" w14:textId="77777777" w:rsidR="000D6A91" w:rsidRPr="00961E0F" w:rsidRDefault="000D6A91" w:rsidP="000D6A91">
            <w:pPr>
              <w:pStyle w:val="EndnoteText"/>
              <w:widowControl w:val="0"/>
              <w:rPr>
                <w:color w:val="000000"/>
                <w:lang w:val="fr-FR"/>
              </w:rPr>
            </w:pPr>
            <w:r w:rsidRPr="00961E0F">
              <w:rPr>
                <w:color w:val="000000"/>
                <w:lang w:val="fr-FR"/>
              </w:rPr>
              <w:t>CPM (250 mg/m</w:t>
            </w:r>
            <w:r w:rsidRPr="00961E0F">
              <w:rPr>
                <w:color w:val="000000"/>
                <w:vertAlign w:val="superscript"/>
                <w:lang w:val="fr-FR"/>
              </w:rPr>
              <w:t>2</w:t>
            </w:r>
            <w:r w:rsidRPr="00961E0F">
              <w:rPr>
                <w:color w:val="000000"/>
                <w:lang w:val="fr-FR"/>
              </w:rPr>
              <w:t>/dose toutes les 12 heures x 4 doses, iv)</w:t>
            </w:r>
            <w:r w:rsidR="00CF27E1" w:rsidRPr="00961E0F">
              <w:rPr>
                <w:color w:val="000000"/>
                <w:lang w:val="fr-FR"/>
              </w:rPr>
              <w:t> </w:t>
            </w:r>
            <w:r w:rsidRPr="00961E0F">
              <w:rPr>
                <w:color w:val="000000"/>
                <w:lang w:val="fr-FR"/>
              </w:rPr>
              <w:t>: jours 3 et 4</w:t>
            </w:r>
          </w:p>
          <w:p w14:paraId="1DCF6936" w14:textId="77777777" w:rsidR="000D6A91" w:rsidRPr="00961E0F" w:rsidRDefault="000D6A91" w:rsidP="000D6A91">
            <w:pPr>
              <w:pStyle w:val="EndnoteText"/>
              <w:widowControl w:val="0"/>
              <w:rPr>
                <w:color w:val="000000"/>
                <w:lang w:val="de-DE"/>
              </w:rPr>
            </w:pPr>
            <w:r w:rsidRPr="00961E0F">
              <w:rPr>
                <w:color w:val="000000"/>
                <w:lang w:val="de-DE"/>
              </w:rPr>
              <w:t>PEG-ASP (2500 U</w:t>
            </w:r>
            <w:r w:rsidR="004A615E" w:rsidRPr="00961E0F">
              <w:rPr>
                <w:color w:val="000000"/>
                <w:lang w:val="de-DE"/>
              </w:rPr>
              <w:t>I</w:t>
            </w:r>
            <w:r w:rsidRPr="00961E0F">
              <w:rPr>
                <w:color w:val="000000"/>
                <w:lang w:val="de-DE"/>
              </w:rPr>
              <w:t>/m</w:t>
            </w:r>
            <w:r w:rsidRPr="00961E0F">
              <w:rPr>
                <w:color w:val="000000"/>
                <w:vertAlign w:val="superscript"/>
                <w:lang w:val="de-DE"/>
              </w:rPr>
              <w:t>2</w:t>
            </w:r>
            <w:r w:rsidRPr="00961E0F">
              <w:rPr>
                <w:color w:val="000000"/>
                <w:lang w:val="de-DE"/>
              </w:rPr>
              <w:t>, IM)</w:t>
            </w:r>
            <w:r w:rsidR="00CF27E1" w:rsidRPr="00961E0F">
              <w:rPr>
                <w:color w:val="000000"/>
                <w:lang w:val="de-DE"/>
              </w:rPr>
              <w:t> </w:t>
            </w:r>
            <w:r w:rsidRPr="00961E0F">
              <w:rPr>
                <w:color w:val="000000"/>
                <w:lang w:val="de-DE"/>
              </w:rPr>
              <w:t>: jour 4</w:t>
            </w:r>
          </w:p>
          <w:p w14:paraId="3903FB09" w14:textId="77777777" w:rsidR="003B487D" w:rsidRPr="00961E0F" w:rsidRDefault="003B487D" w:rsidP="003B487D">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CF27E1" w:rsidRPr="00961E0F">
              <w:rPr>
                <w:color w:val="000000"/>
                <w:lang w:val="fr-FR"/>
              </w:rPr>
              <w:t> </w:t>
            </w:r>
            <w:r w:rsidRPr="00961E0F">
              <w:rPr>
                <w:color w:val="000000"/>
                <w:lang w:val="fr-FR"/>
              </w:rPr>
              <w:t>: jours 5</w:t>
            </w:r>
            <w:r w:rsidRPr="00961E0F">
              <w:rPr>
                <w:color w:val="000000"/>
                <w:lang w:val="fr-FR"/>
              </w:rPr>
              <w:noBreakHyphen/>
              <w:t>14 ou jusqu’à un taux de neutrophile absolu &gt; 1500 post nadir</w:t>
            </w:r>
          </w:p>
          <w:p w14:paraId="68C24782" w14:textId="77777777" w:rsidR="0088160C" w:rsidRPr="00961E0F" w:rsidRDefault="0088160C" w:rsidP="0088160C">
            <w:pPr>
              <w:pStyle w:val="EndnoteText"/>
              <w:widowControl w:val="0"/>
              <w:rPr>
                <w:color w:val="000000"/>
                <w:lang w:val="fr-FR"/>
              </w:rPr>
            </w:pPr>
            <w:r w:rsidRPr="00961E0F">
              <w:rPr>
                <w:color w:val="000000"/>
                <w:lang w:val="fr-FR"/>
              </w:rPr>
              <w:t>Triple thérapie intrathécale (ajustée à l’âge)</w:t>
            </w:r>
            <w:r w:rsidR="00CF27E1" w:rsidRPr="00961E0F">
              <w:rPr>
                <w:color w:val="000000"/>
                <w:lang w:val="fr-FR"/>
              </w:rPr>
              <w:t xml:space="preserve"> : </w:t>
            </w:r>
            <w:r w:rsidRPr="00961E0F">
              <w:rPr>
                <w:color w:val="000000"/>
                <w:lang w:val="fr-FR"/>
              </w:rPr>
              <w:t>jours 1 et 15</w:t>
            </w:r>
          </w:p>
          <w:p w14:paraId="003E2BC2" w14:textId="77777777" w:rsidR="000D6A91" w:rsidRPr="00961E0F" w:rsidRDefault="000D6A91" w:rsidP="0088160C">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w:t>
            </w:r>
            <w:r w:rsidRPr="00961E0F">
              <w:rPr>
                <w:color w:val="000000"/>
                <w:lang w:val="fr-FR"/>
              </w:rPr>
              <w:noBreakHyphen/>
              <w:t xml:space="preserve">7 </w:t>
            </w:r>
            <w:r w:rsidR="0088160C" w:rsidRPr="00961E0F">
              <w:rPr>
                <w:color w:val="000000"/>
                <w:lang w:val="fr-FR"/>
              </w:rPr>
              <w:t>et</w:t>
            </w:r>
            <w:r w:rsidRPr="00961E0F">
              <w:rPr>
                <w:color w:val="000000"/>
                <w:lang w:val="fr-FR"/>
              </w:rPr>
              <w:t xml:space="preserve"> 15</w:t>
            </w:r>
            <w:r w:rsidRPr="00961E0F">
              <w:rPr>
                <w:color w:val="000000"/>
                <w:lang w:val="fr-FR"/>
              </w:rPr>
              <w:noBreakHyphen/>
              <w:t>21</w:t>
            </w:r>
          </w:p>
        </w:tc>
      </w:tr>
      <w:tr w:rsidR="000D6A91" w:rsidRPr="00961E0F" w14:paraId="3E02BB2F" w14:textId="77777777" w:rsidTr="00B15424">
        <w:trPr>
          <w:cantSplit/>
        </w:trPr>
        <w:tc>
          <w:tcPr>
            <w:tcW w:w="2358" w:type="dxa"/>
            <w:shd w:val="clear" w:color="auto" w:fill="auto"/>
          </w:tcPr>
          <w:p w14:paraId="58DFCE2A" w14:textId="77777777" w:rsidR="000D6A91" w:rsidRPr="00961E0F" w:rsidRDefault="0088160C" w:rsidP="0061572E">
            <w:pPr>
              <w:pStyle w:val="EndnoteText"/>
              <w:widowControl w:val="0"/>
              <w:rPr>
                <w:color w:val="000000"/>
              </w:rPr>
            </w:pPr>
            <w:r w:rsidRPr="00961E0F">
              <w:rPr>
                <w:color w:val="000000"/>
              </w:rPr>
              <w:t>Bloc d’intensification</w:t>
            </w:r>
            <w:r w:rsidR="0061572E" w:rsidRPr="00961E0F">
              <w:rPr>
                <w:color w:val="000000"/>
              </w:rPr>
              <w:t> </w:t>
            </w:r>
            <w:r w:rsidRPr="00961E0F">
              <w:rPr>
                <w:color w:val="000000"/>
              </w:rPr>
              <w:t>2 (9 semaines)</w:t>
            </w:r>
          </w:p>
        </w:tc>
        <w:tc>
          <w:tcPr>
            <w:tcW w:w="6928" w:type="dxa"/>
            <w:shd w:val="clear" w:color="auto" w:fill="auto"/>
          </w:tcPr>
          <w:p w14:paraId="1CF51207" w14:textId="77777777" w:rsidR="000D6A91" w:rsidRPr="00961E0F" w:rsidRDefault="000D6A91" w:rsidP="00C02374">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Pr="00961E0F">
              <w:rPr>
                <w:color w:val="000000"/>
                <w:lang w:val="fr-FR"/>
              </w:rPr>
              <w:t xml:space="preserve"> </w:t>
            </w:r>
            <w:r w:rsidR="0088160C" w:rsidRPr="00961E0F">
              <w:rPr>
                <w:color w:val="000000"/>
                <w:lang w:val="fr-FR"/>
              </w:rPr>
              <w:t>sur 24 heures</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xml:space="preserve"> 1 </w:t>
            </w:r>
            <w:r w:rsidR="0088160C" w:rsidRPr="00961E0F">
              <w:rPr>
                <w:color w:val="000000"/>
                <w:lang w:val="fr-FR"/>
              </w:rPr>
              <w:t>et</w:t>
            </w:r>
            <w:r w:rsidRPr="00961E0F">
              <w:rPr>
                <w:color w:val="000000"/>
                <w:lang w:val="fr-FR"/>
              </w:rPr>
              <w:t xml:space="preserve"> 15</w:t>
            </w:r>
          </w:p>
          <w:p w14:paraId="00C1582F" w14:textId="77777777" w:rsidR="0088160C" w:rsidRPr="00961E0F" w:rsidRDefault="0088160C" w:rsidP="0088160C">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à heure 36, IV; 15 mg/m</w:t>
            </w:r>
            <w:r w:rsidRPr="00961E0F">
              <w:rPr>
                <w:color w:val="000000"/>
                <w:vertAlign w:val="superscript"/>
                <w:lang w:val="fr-FR"/>
              </w:rPr>
              <w:t>2</w:t>
            </w:r>
            <w:r w:rsidRPr="00961E0F">
              <w:rPr>
                <w:color w:val="000000"/>
                <w:lang w:val="fr-FR"/>
              </w:rPr>
              <w:t xml:space="preserve"> IV ou PO toutes les 6 heures x 6 doses)</w:t>
            </w:r>
            <w:r w:rsidR="00F279B9" w:rsidRPr="00961E0F">
              <w:rPr>
                <w:color w:val="000000"/>
                <w:lang w:val="fr-FR"/>
              </w:rPr>
              <w:t xml:space="preserve"> </w:t>
            </w:r>
            <w:r w:rsidRPr="00961E0F">
              <w:rPr>
                <w:color w:val="000000"/>
                <w:lang w:val="fr-FR"/>
              </w:rPr>
              <w:t>iii: jours 2, 3, 16, et 17</w:t>
            </w:r>
          </w:p>
          <w:p w14:paraId="1460BB0C" w14:textId="77777777" w:rsidR="000D6A91" w:rsidRPr="00961E0F" w:rsidRDefault="0088160C" w:rsidP="00C02374">
            <w:pPr>
              <w:pStyle w:val="EndnoteText"/>
              <w:widowControl w:val="0"/>
              <w:rPr>
                <w:color w:val="000000"/>
                <w:lang w:val="fr-FR"/>
              </w:rPr>
            </w:pPr>
            <w:r w:rsidRPr="00961E0F">
              <w:rPr>
                <w:color w:val="000000"/>
                <w:lang w:val="fr-FR"/>
              </w:rPr>
              <w:t>Triple thérapie intrathécale (ajustée à l’âge) : jours</w:t>
            </w:r>
            <w:r w:rsidR="000D6A91" w:rsidRPr="00961E0F">
              <w:rPr>
                <w:color w:val="000000"/>
                <w:lang w:val="fr-FR"/>
              </w:rPr>
              <w:t xml:space="preserve"> 1 </w:t>
            </w:r>
            <w:r w:rsidRPr="00961E0F">
              <w:rPr>
                <w:color w:val="000000"/>
                <w:lang w:val="fr-FR"/>
              </w:rPr>
              <w:t>et</w:t>
            </w:r>
            <w:r w:rsidR="000D6A91" w:rsidRPr="00961E0F">
              <w:rPr>
                <w:color w:val="000000"/>
                <w:lang w:val="fr-FR"/>
              </w:rPr>
              <w:t xml:space="preserve"> 22</w:t>
            </w:r>
          </w:p>
          <w:p w14:paraId="5DF48922" w14:textId="77777777" w:rsidR="000D6A91" w:rsidRPr="00961E0F" w:rsidRDefault="000D6A91" w:rsidP="00C02374">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22</w:t>
            </w:r>
            <w:r w:rsidRPr="00961E0F">
              <w:rPr>
                <w:color w:val="000000"/>
                <w:lang w:val="fr-FR"/>
              </w:rPr>
              <w:noBreakHyphen/>
              <w:t>26</w:t>
            </w:r>
          </w:p>
          <w:p w14:paraId="093DD787" w14:textId="77777777" w:rsidR="000D6A91" w:rsidRPr="00961E0F" w:rsidRDefault="000D6A91" w:rsidP="00C02374">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22</w:t>
            </w:r>
            <w:r w:rsidRPr="00961E0F">
              <w:rPr>
                <w:color w:val="000000"/>
                <w:lang w:val="fr-FR"/>
              </w:rPr>
              <w:noBreakHyphen/>
              <w:t>26</w:t>
            </w:r>
          </w:p>
          <w:p w14:paraId="2481FCB5" w14:textId="77777777" w:rsidR="0088160C" w:rsidRPr="00961E0F" w:rsidRDefault="000D6A91" w:rsidP="00C02374">
            <w:pPr>
              <w:pStyle w:val="EndnoteText"/>
              <w:widowControl w:val="0"/>
              <w:rPr>
                <w:color w:val="000000"/>
                <w:lang w:val="fr-FR"/>
              </w:rPr>
            </w:pPr>
            <w:r w:rsidRPr="00961E0F">
              <w:rPr>
                <w:color w:val="000000"/>
                <w:lang w:val="fr-FR"/>
              </w:rPr>
              <w:t>MESNA (150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22</w:t>
            </w:r>
            <w:r w:rsidRPr="00961E0F">
              <w:rPr>
                <w:color w:val="000000"/>
                <w:lang w:val="fr-FR"/>
              </w:rPr>
              <w:noBreakHyphen/>
              <w:t>26</w:t>
            </w:r>
            <w:r w:rsidR="0088160C" w:rsidRPr="00961E0F">
              <w:rPr>
                <w:color w:val="000000"/>
                <w:lang w:val="fr-FR"/>
              </w:rPr>
              <w:t xml:space="preserve"> </w:t>
            </w:r>
          </w:p>
          <w:p w14:paraId="29C87B1B" w14:textId="77777777" w:rsidR="003B487D" w:rsidRPr="00961E0F" w:rsidRDefault="003B487D" w:rsidP="003B487D">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CF27E1" w:rsidRPr="00961E0F">
              <w:rPr>
                <w:color w:val="000000"/>
                <w:lang w:val="fr-FR"/>
              </w:rPr>
              <w:t> </w:t>
            </w:r>
            <w:r w:rsidRPr="00961E0F">
              <w:rPr>
                <w:color w:val="000000"/>
                <w:lang w:val="fr-FR"/>
              </w:rPr>
              <w:t>: jours 27</w:t>
            </w:r>
            <w:r w:rsidRPr="00961E0F">
              <w:rPr>
                <w:color w:val="000000"/>
                <w:lang w:val="fr-FR"/>
              </w:rPr>
              <w:noBreakHyphen/>
              <w:t>36 ou jusqu’à un taux de neutrophile absolu &gt; 1500 post nadir</w:t>
            </w:r>
          </w:p>
          <w:p w14:paraId="0B277C00" w14:textId="77777777" w:rsidR="000D6A91" w:rsidRPr="00961E0F" w:rsidRDefault="000D6A91" w:rsidP="00C02374">
            <w:pPr>
              <w:pStyle w:val="EndnoteText"/>
              <w:widowControl w:val="0"/>
              <w:rPr>
                <w:color w:val="000000"/>
                <w:lang w:val="fr-FR"/>
              </w:rPr>
            </w:pPr>
            <w:r w:rsidRPr="00961E0F">
              <w:rPr>
                <w:color w:val="000000"/>
                <w:lang w:val="fr-FR"/>
              </w:rPr>
              <w:t>ARA-C (3</w:t>
            </w:r>
            <w:r w:rsidR="00571676" w:rsidRPr="00961E0F">
              <w:rPr>
                <w:color w:val="000000"/>
                <w:lang w:val="fr-FR"/>
              </w:rPr>
              <w:t> </w:t>
            </w:r>
            <w:r w:rsidRPr="00961E0F">
              <w:rPr>
                <w:color w:val="000000"/>
                <w:lang w:val="fr-FR"/>
              </w:rPr>
              <w:t>g/m</w:t>
            </w:r>
            <w:r w:rsidRPr="00961E0F">
              <w:rPr>
                <w:color w:val="000000"/>
                <w:vertAlign w:val="superscript"/>
                <w:lang w:val="fr-FR"/>
              </w:rPr>
              <w:t>2</w:t>
            </w:r>
            <w:r w:rsidRPr="00961E0F">
              <w:rPr>
                <w:color w:val="000000"/>
                <w:lang w:val="fr-FR"/>
              </w:rPr>
              <w:t xml:space="preserve">, </w:t>
            </w:r>
            <w:r w:rsidR="0088160C" w:rsidRPr="00961E0F">
              <w:rPr>
                <w:color w:val="000000"/>
                <w:lang w:val="fr-FR"/>
              </w:rPr>
              <w:t>toutes les 12 heures</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43</w:t>
            </w:r>
            <w:r w:rsidR="00A94878" w:rsidRPr="00961E0F">
              <w:rPr>
                <w:color w:val="000000"/>
                <w:lang w:val="fr-FR"/>
              </w:rPr>
              <w:t xml:space="preserve"> et</w:t>
            </w:r>
            <w:r w:rsidRPr="00961E0F">
              <w:rPr>
                <w:color w:val="000000"/>
                <w:lang w:val="fr-FR"/>
              </w:rPr>
              <w:t xml:space="preserve"> 44</w:t>
            </w:r>
          </w:p>
          <w:p w14:paraId="04CCC087" w14:textId="77777777" w:rsidR="000D6A91" w:rsidRPr="00961E0F" w:rsidRDefault="000D6A91" w:rsidP="00A94878">
            <w:pPr>
              <w:pStyle w:val="EndnoteText"/>
              <w:widowControl w:val="0"/>
              <w:rPr>
                <w:color w:val="000000"/>
                <w:lang w:val="fr-FR"/>
              </w:rPr>
            </w:pPr>
            <w:r w:rsidRPr="00961E0F">
              <w:rPr>
                <w:color w:val="000000"/>
                <w:lang w:val="fr-FR"/>
              </w:rPr>
              <w:t>L-ASP (6000 U</w:t>
            </w:r>
            <w:r w:rsidR="004A615E" w:rsidRPr="00961E0F">
              <w:rPr>
                <w:color w:val="000000"/>
                <w:lang w:val="fr-FR"/>
              </w:rPr>
              <w:t>I</w:t>
            </w:r>
            <w:r w:rsidRPr="00961E0F">
              <w:rPr>
                <w:color w:val="000000"/>
                <w:lang w:val="fr-FR"/>
              </w:rPr>
              <w:t>/m</w:t>
            </w:r>
            <w:r w:rsidRPr="00961E0F">
              <w:rPr>
                <w:color w:val="000000"/>
                <w:vertAlign w:val="superscript"/>
                <w:lang w:val="fr-FR"/>
              </w:rPr>
              <w:t>2</w:t>
            </w:r>
            <w:r w:rsidRPr="00961E0F">
              <w:rPr>
                <w:color w:val="000000"/>
                <w:lang w:val="fr-FR"/>
              </w:rPr>
              <w:t>, IM)</w:t>
            </w:r>
            <w:r w:rsidR="00CF27E1" w:rsidRPr="00961E0F">
              <w:rPr>
                <w:color w:val="000000"/>
                <w:lang w:val="fr-FR"/>
              </w:rPr>
              <w:t> </w:t>
            </w:r>
            <w:r w:rsidRPr="00961E0F">
              <w:rPr>
                <w:color w:val="000000"/>
                <w:lang w:val="fr-FR"/>
              </w:rPr>
              <w:t xml:space="preserve">: </w:t>
            </w:r>
            <w:r w:rsidR="0088160C" w:rsidRPr="00961E0F">
              <w:rPr>
                <w:color w:val="000000"/>
                <w:lang w:val="fr-FR"/>
              </w:rPr>
              <w:t>jour</w:t>
            </w:r>
            <w:r w:rsidRPr="00961E0F">
              <w:rPr>
                <w:color w:val="000000"/>
                <w:lang w:val="fr-FR"/>
              </w:rPr>
              <w:t> 44</w:t>
            </w:r>
          </w:p>
        </w:tc>
      </w:tr>
      <w:tr w:rsidR="000D6A91" w:rsidRPr="00961E0F" w14:paraId="4A5F5E55" w14:textId="77777777" w:rsidTr="00B15424">
        <w:trPr>
          <w:cantSplit/>
        </w:trPr>
        <w:tc>
          <w:tcPr>
            <w:tcW w:w="2358" w:type="dxa"/>
            <w:shd w:val="clear" w:color="auto" w:fill="auto"/>
          </w:tcPr>
          <w:p w14:paraId="09D3C023" w14:textId="77777777" w:rsidR="0088160C" w:rsidRPr="00961E0F" w:rsidRDefault="0088160C" w:rsidP="00C02374">
            <w:pPr>
              <w:pStyle w:val="EndnoteText"/>
              <w:widowControl w:val="0"/>
              <w:rPr>
                <w:color w:val="000000"/>
                <w:lang w:val="fr-FR"/>
              </w:rPr>
            </w:pPr>
            <w:r w:rsidRPr="00961E0F">
              <w:rPr>
                <w:color w:val="000000"/>
                <w:lang w:val="fr-FR"/>
              </w:rPr>
              <w:t>Maintenance (cycles de 8 semaines)</w:t>
            </w:r>
          </w:p>
          <w:p w14:paraId="1B7EABD3" w14:textId="77777777" w:rsidR="0088160C" w:rsidRPr="00961E0F" w:rsidRDefault="0088160C" w:rsidP="00C02374">
            <w:pPr>
              <w:pStyle w:val="EndnoteText"/>
              <w:widowControl w:val="0"/>
              <w:rPr>
                <w:color w:val="000000"/>
                <w:lang w:val="fr-FR"/>
              </w:rPr>
            </w:pPr>
            <w:r w:rsidRPr="00961E0F">
              <w:rPr>
                <w:color w:val="000000"/>
                <w:lang w:val="fr-FR"/>
              </w:rPr>
              <w:t>Cycles 1-4</w:t>
            </w:r>
          </w:p>
        </w:tc>
        <w:tc>
          <w:tcPr>
            <w:tcW w:w="6928" w:type="dxa"/>
            <w:shd w:val="clear" w:color="auto" w:fill="auto"/>
          </w:tcPr>
          <w:p w14:paraId="65927E77" w14:textId="77777777" w:rsidR="000D6A91" w:rsidRPr="00961E0F" w:rsidRDefault="000D6A91" w:rsidP="00C02374">
            <w:pPr>
              <w:pStyle w:val="EndnoteText"/>
              <w:widowControl w:val="0"/>
              <w:rPr>
                <w:color w:val="000000"/>
                <w:lang w:val="fr-FR"/>
              </w:rPr>
            </w:pPr>
            <w:r w:rsidRPr="00961E0F">
              <w:rPr>
                <w:color w:val="000000"/>
                <w:lang w:val="fr-FR"/>
              </w:rPr>
              <w:t>MTX (5 g/m</w:t>
            </w:r>
            <w:r w:rsidRPr="00961E0F">
              <w:rPr>
                <w:color w:val="000000"/>
                <w:vertAlign w:val="superscript"/>
                <w:lang w:val="fr-FR"/>
              </w:rPr>
              <w:t>2</w:t>
            </w:r>
            <w:r w:rsidRPr="00961E0F">
              <w:rPr>
                <w:color w:val="000000"/>
                <w:lang w:val="fr-FR"/>
              </w:rPr>
              <w:t xml:space="preserve"> </w:t>
            </w:r>
            <w:r w:rsidR="0088160C" w:rsidRPr="00961E0F">
              <w:rPr>
                <w:color w:val="000000"/>
                <w:lang w:val="fr-FR"/>
              </w:rPr>
              <w:t>sur 24 heures</w:t>
            </w:r>
            <w:r w:rsidRPr="00961E0F">
              <w:rPr>
                <w:color w:val="000000"/>
                <w:lang w:val="fr-FR"/>
              </w:rPr>
              <w:t>, IV)</w:t>
            </w:r>
            <w:r w:rsidR="00CF27E1" w:rsidRPr="00961E0F">
              <w:rPr>
                <w:color w:val="000000"/>
                <w:lang w:val="fr-FR"/>
              </w:rPr>
              <w:t> </w:t>
            </w:r>
            <w:r w:rsidRPr="00961E0F">
              <w:rPr>
                <w:color w:val="000000"/>
                <w:lang w:val="fr-FR"/>
              </w:rPr>
              <w:t xml:space="preserve">: </w:t>
            </w:r>
            <w:r w:rsidR="00A94878" w:rsidRPr="00961E0F">
              <w:rPr>
                <w:color w:val="000000"/>
                <w:lang w:val="fr-FR"/>
              </w:rPr>
              <w:t>jour</w:t>
            </w:r>
            <w:r w:rsidRPr="00961E0F">
              <w:rPr>
                <w:color w:val="000000"/>
                <w:lang w:val="fr-FR"/>
              </w:rPr>
              <w:t> 1</w:t>
            </w:r>
          </w:p>
          <w:p w14:paraId="400A79A4" w14:textId="77777777" w:rsidR="000D6A91" w:rsidRPr="00961E0F" w:rsidRDefault="000D6A91" w:rsidP="00C02374">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w:t>
            </w:r>
            <w:r w:rsidR="0088160C" w:rsidRPr="00961E0F">
              <w:rPr>
                <w:color w:val="000000"/>
                <w:lang w:val="fr-FR"/>
              </w:rPr>
              <w:t>à heure 36</w:t>
            </w:r>
            <w:r w:rsidRPr="00961E0F">
              <w:rPr>
                <w:color w:val="000000"/>
                <w:lang w:val="fr-FR"/>
              </w:rPr>
              <w:t>, IV; 15 mg/m</w:t>
            </w:r>
            <w:r w:rsidRPr="00961E0F">
              <w:rPr>
                <w:color w:val="000000"/>
                <w:vertAlign w:val="superscript"/>
                <w:lang w:val="fr-FR"/>
              </w:rPr>
              <w:t>2</w:t>
            </w:r>
            <w:r w:rsidRPr="00961E0F">
              <w:rPr>
                <w:color w:val="000000"/>
                <w:lang w:val="fr-FR"/>
              </w:rPr>
              <w:t xml:space="preserve"> IV </w:t>
            </w:r>
            <w:r w:rsidR="0088160C" w:rsidRPr="00961E0F">
              <w:rPr>
                <w:color w:val="000000"/>
                <w:lang w:val="fr-FR"/>
              </w:rPr>
              <w:t>ou</w:t>
            </w:r>
            <w:r w:rsidRPr="00961E0F">
              <w:rPr>
                <w:color w:val="000000"/>
                <w:lang w:val="fr-FR"/>
              </w:rPr>
              <w:t xml:space="preserve"> PO </w:t>
            </w:r>
            <w:r w:rsidR="0088160C" w:rsidRPr="00961E0F">
              <w:rPr>
                <w:color w:val="000000"/>
                <w:lang w:val="fr-FR"/>
              </w:rPr>
              <w:t>toutes les 6 heures</w:t>
            </w:r>
            <w:r w:rsidRPr="00961E0F">
              <w:rPr>
                <w:color w:val="000000"/>
                <w:lang w:val="fr-FR"/>
              </w:rPr>
              <w:t xml:space="preserve"> x 6 doses)</w:t>
            </w:r>
            <w:r w:rsidR="00F279B9" w:rsidRPr="00961E0F">
              <w:rPr>
                <w:color w:val="000000"/>
                <w:lang w:val="fr-FR"/>
              </w:rPr>
              <w:t xml:space="preserve"> </w:t>
            </w:r>
            <w:r w:rsidRPr="00961E0F">
              <w:rPr>
                <w:color w:val="000000"/>
                <w:lang w:val="fr-FR"/>
              </w:rPr>
              <w:t xml:space="preserve">iii: </w:t>
            </w:r>
            <w:r w:rsidR="0088160C" w:rsidRPr="00961E0F">
              <w:rPr>
                <w:color w:val="000000"/>
                <w:lang w:val="fr-FR"/>
              </w:rPr>
              <w:t>jours</w:t>
            </w:r>
            <w:r w:rsidRPr="00961E0F">
              <w:rPr>
                <w:color w:val="000000"/>
                <w:lang w:val="fr-FR"/>
              </w:rPr>
              <w:t xml:space="preserve"> 2 </w:t>
            </w:r>
            <w:r w:rsidR="0088160C" w:rsidRPr="00961E0F">
              <w:rPr>
                <w:color w:val="000000"/>
                <w:lang w:val="fr-FR"/>
              </w:rPr>
              <w:t>et</w:t>
            </w:r>
            <w:r w:rsidRPr="00961E0F">
              <w:rPr>
                <w:color w:val="000000"/>
                <w:lang w:val="fr-FR"/>
              </w:rPr>
              <w:t xml:space="preserve"> 3</w:t>
            </w:r>
          </w:p>
          <w:p w14:paraId="6CE95D52" w14:textId="77777777" w:rsidR="000D6A91" w:rsidRPr="00961E0F" w:rsidRDefault="0088160C" w:rsidP="00C02374">
            <w:pPr>
              <w:pStyle w:val="EndnoteText"/>
              <w:widowControl w:val="0"/>
              <w:rPr>
                <w:color w:val="000000"/>
                <w:lang w:val="fr-FR"/>
              </w:rPr>
            </w:pPr>
            <w:r w:rsidRPr="00961E0F">
              <w:rPr>
                <w:color w:val="000000"/>
                <w:lang w:val="fr-FR"/>
              </w:rPr>
              <w:t>Triple thérapie intrathécale (ajustée à l’âge) : jours</w:t>
            </w:r>
            <w:r w:rsidR="000D6A91" w:rsidRPr="00961E0F">
              <w:rPr>
                <w:color w:val="000000"/>
                <w:lang w:val="fr-FR"/>
              </w:rPr>
              <w:t> 1</w:t>
            </w:r>
            <w:r w:rsidR="00A94878" w:rsidRPr="00961E0F">
              <w:rPr>
                <w:color w:val="000000"/>
                <w:lang w:val="fr-FR"/>
              </w:rPr>
              <w:t xml:space="preserve"> et</w:t>
            </w:r>
            <w:r w:rsidR="000D6A91" w:rsidRPr="00961E0F">
              <w:rPr>
                <w:color w:val="000000"/>
                <w:lang w:val="fr-FR"/>
              </w:rPr>
              <w:t xml:space="preserve"> 29</w:t>
            </w:r>
          </w:p>
          <w:p w14:paraId="4FADFD56" w14:textId="77777777" w:rsidR="000D6A91" w:rsidRPr="00961E0F" w:rsidRDefault="000D6A91" w:rsidP="00C02374">
            <w:pPr>
              <w:pStyle w:val="EndnoteText"/>
              <w:widowControl w:val="0"/>
              <w:rPr>
                <w:color w:val="000000"/>
                <w:lang w:val="fr-FR"/>
              </w:rPr>
            </w:pPr>
            <w:r w:rsidRPr="00961E0F">
              <w:rPr>
                <w:color w:val="000000"/>
                <w:lang w:val="fr-FR"/>
              </w:rPr>
              <w:t>VCR (1</w:t>
            </w:r>
            <w:r w:rsidR="004A615E" w:rsidRPr="00961E0F">
              <w:rPr>
                <w:color w:val="000000"/>
                <w:lang w:val="fr-FR"/>
              </w:rPr>
              <w:t>,</w:t>
            </w:r>
            <w:r w:rsidRPr="00961E0F">
              <w:rPr>
                <w:color w:val="000000"/>
                <w:lang w:val="fr-FR"/>
              </w:rPr>
              <w:t>5 mg/m</w:t>
            </w:r>
            <w:r w:rsidRPr="00961E0F">
              <w:rPr>
                <w:color w:val="000000"/>
                <w:vertAlign w:val="superscript"/>
                <w:lang w:val="fr-FR"/>
              </w:rPr>
              <w:t>2</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w:t>
            </w:r>
            <w:r w:rsidR="00A94878" w:rsidRPr="00961E0F">
              <w:rPr>
                <w:color w:val="000000"/>
                <w:lang w:val="fr-FR"/>
              </w:rPr>
              <w:t xml:space="preserve"> et</w:t>
            </w:r>
            <w:r w:rsidRPr="00961E0F">
              <w:rPr>
                <w:color w:val="000000"/>
                <w:lang w:val="fr-FR"/>
              </w:rPr>
              <w:t xml:space="preserve"> 29</w:t>
            </w:r>
          </w:p>
          <w:p w14:paraId="60DCB178" w14:textId="77777777" w:rsidR="000D6A91" w:rsidRPr="00961E0F" w:rsidRDefault="000D6A91" w:rsidP="00C02374">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xml:space="preserve">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w:t>
            </w:r>
            <w:r w:rsidRPr="00961E0F">
              <w:rPr>
                <w:color w:val="000000"/>
                <w:lang w:val="fr-FR"/>
              </w:rPr>
              <w:noBreakHyphen/>
              <w:t>5; 29</w:t>
            </w:r>
            <w:r w:rsidRPr="00961E0F">
              <w:rPr>
                <w:color w:val="000000"/>
                <w:lang w:val="fr-FR"/>
              </w:rPr>
              <w:noBreakHyphen/>
              <w:t>33</w:t>
            </w:r>
          </w:p>
          <w:p w14:paraId="0D9131A6" w14:textId="77777777" w:rsidR="000D6A91" w:rsidRPr="00961E0F" w:rsidRDefault="000D6A91" w:rsidP="00C02374">
            <w:pPr>
              <w:pStyle w:val="EndnoteT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8-28</w:t>
            </w:r>
          </w:p>
          <w:p w14:paraId="162A53BF" w14:textId="77777777" w:rsidR="000D6A91" w:rsidRPr="00961E0F" w:rsidRDefault="000D6A91" w:rsidP="00C02374">
            <w:pPr>
              <w:pStyle w:val="EndnoteT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w:t>
            </w:r>
            <w:r w:rsidR="0088160C" w:rsidRPr="00961E0F">
              <w:rPr>
                <w:color w:val="000000"/>
                <w:lang w:val="fr-FR"/>
              </w:rPr>
              <w:t>semaine</w:t>
            </w:r>
            <w:r w:rsidRPr="00961E0F">
              <w:rPr>
                <w:color w:val="000000"/>
                <w:lang w:val="fr-FR"/>
              </w:rPr>
              <w:t>,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8, 15, 22</w:t>
            </w:r>
          </w:p>
          <w:p w14:paraId="70DB80D4" w14:textId="77777777" w:rsidR="000D6A91" w:rsidRPr="00961E0F" w:rsidRDefault="000D6A91" w:rsidP="00C02374">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29</w:t>
            </w:r>
            <w:r w:rsidRPr="00961E0F">
              <w:rPr>
                <w:color w:val="000000"/>
                <w:lang w:val="fr-FR"/>
              </w:rPr>
              <w:noBreakHyphen/>
              <w:t>33</w:t>
            </w:r>
          </w:p>
          <w:p w14:paraId="2FEA38EE" w14:textId="77777777" w:rsidR="000D6A91" w:rsidRPr="00961E0F" w:rsidRDefault="000D6A91" w:rsidP="00C02374">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29</w:t>
            </w:r>
            <w:r w:rsidRPr="00961E0F">
              <w:rPr>
                <w:color w:val="000000"/>
                <w:lang w:val="fr-FR"/>
              </w:rPr>
              <w:noBreakHyphen/>
              <w:t>33</w:t>
            </w:r>
          </w:p>
          <w:p w14:paraId="4796DC4D" w14:textId="77777777" w:rsidR="000D6A91" w:rsidRPr="00961E0F" w:rsidRDefault="000D6A91" w:rsidP="00C02374">
            <w:pPr>
              <w:pStyle w:val="EndnoteText"/>
              <w:widowControl w:val="0"/>
              <w:rPr>
                <w:color w:val="000000"/>
                <w:lang w:val="fr-FR"/>
              </w:rPr>
            </w:pPr>
            <w:r w:rsidRPr="00961E0F">
              <w:rPr>
                <w:color w:val="000000"/>
                <w:lang w:val="fr-FR"/>
              </w:rPr>
              <w:t>M</w:t>
            </w:r>
            <w:r w:rsidR="00883C70" w:rsidRPr="00961E0F">
              <w:rPr>
                <w:color w:val="000000"/>
                <w:lang w:val="fr-FR"/>
              </w:rPr>
              <w:t>ESNA</w:t>
            </w:r>
            <w:r w:rsidRPr="00961E0F">
              <w:rPr>
                <w:color w:val="000000"/>
                <w:lang w:val="fr-FR"/>
              </w:rPr>
              <w:t xml:space="preserve"> </w:t>
            </w:r>
            <w:r w:rsidR="00F279B9" w:rsidRPr="00961E0F">
              <w:rPr>
                <w:color w:val="000000"/>
                <w:lang w:val="fr-FR"/>
              </w:rPr>
              <w:t>(</w:t>
            </w:r>
            <w:r w:rsidRPr="00961E0F">
              <w:rPr>
                <w:color w:val="000000"/>
                <w:lang w:val="fr-FR"/>
              </w:rPr>
              <w:t>IV</w:t>
            </w:r>
            <w:r w:rsidR="00F279B9"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29</w:t>
            </w:r>
            <w:r w:rsidRPr="00961E0F">
              <w:rPr>
                <w:color w:val="000000"/>
                <w:lang w:val="fr-FR"/>
              </w:rPr>
              <w:noBreakHyphen/>
              <w:t>33</w:t>
            </w:r>
          </w:p>
          <w:p w14:paraId="018E47A6" w14:textId="77777777" w:rsidR="000D6A91" w:rsidRPr="00961E0F" w:rsidRDefault="000D6A91" w:rsidP="0088160C">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34</w:t>
            </w:r>
            <w:r w:rsidRPr="00961E0F">
              <w:rPr>
                <w:color w:val="000000"/>
                <w:lang w:val="fr-FR"/>
              </w:rPr>
              <w:noBreakHyphen/>
              <w:t>43</w:t>
            </w:r>
          </w:p>
        </w:tc>
      </w:tr>
      <w:tr w:rsidR="000D6A91" w:rsidRPr="00961E0F" w14:paraId="4E6B1B44" w14:textId="77777777" w:rsidTr="00B15424">
        <w:trPr>
          <w:cantSplit/>
        </w:trPr>
        <w:tc>
          <w:tcPr>
            <w:tcW w:w="2358" w:type="dxa"/>
            <w:shd w:val="clear" w:color="auto" w:fill="auto"/>
          </w:tcPr>
          <w:p w14:paraId="47B2B11B" w14:textId="77777777" w:rsidR="0088160C" w:rsidRPr="00961E0F" w:rsidRDefault="000D6A91" w:rsidP="0088160C">
            <w:pPr>
              <w:pStyle w:val="EndnoteText"/>
              <w:widowControl w:val="0"/>
              <w:rPr>
                <w:color w:val="000000"/>
                <w:lang w:val="fr-FR"/>
              </w:rPr>
            </w:pPr>
            <w:r w:rsidRPr="00961E0F">
              <w:rPr>
                <w:color w:val="000000"/>
                <w:lang w:val="fr-FR"/>
              </w:rPr>
              <w:lastRenderedPageBreak/>
              <w:t>Maintenance</w:t>
            </w:r>
            <w:r w:rsidR="0088160C" w:rsidRPr="00961E0F">
              <w:rPr>
                <w:color w:val="000000"/>
                <w:lang w:val="fr-FR"/>
              </w:rPr>
              <w:t xml:space="preserve"> (cycles de 8 semaines)</w:t>
            </w:r>
          </w:p>
          <w:p w14:paraId="2D413007" w14:textId="77777777" w:rsidR="000D6A91" w:rsidRPr="00961E0F" w:rsidRDefault="0088160C" w:rsidP="00C02374">
            <w:pPr>
              <w:pStyle w:val="EndnoteText"/>
              <w:widowControl w:val="0"/>
              <w:rPr>
                <w:color w:val="000000"/>
                <w:lang w:val="fr-FR"/>
              </w:rPr>
            </w:pPr>
            <w:r w:rsidRPr="00961E0F">
              <w:rPr>
                <w:color w:val="000000"/>
                <w:lang w:val="fr-FR"/>
              </w:rPr>
              <w:t>Cycle 5</w:t>
            </w:r>
          </w:p>
        </w:tc>
        <w:tc>
          <w:tcPr>
            <w:tcW w:w="6928" w:type="dxa"/>
            <w:shd w:val="clear" w:color="auto" w:fill="auto"/>
          </w:tcPr>
          <w:p w14:paraId="38DC4081" w14:textId="77777777" w:rsidR="000D6A91" w:rsidRPr="00961E0F" w:rsidRDefault="0088160C" w:rsidP="00C02374">
            <w:pPr>
              <w:pStyle w:val="EndnoteText"/>
              <w:widowControl w:val="0"/>
              <w:rPr>
                <w:color w:val="000000"/>
                <w:lang w:val="fr-FR"/>
              </w:rPr>
            </w:pPr>
            <w:r w:rsidRPr="00961E0F">
              <w:rPr>
                <w:color w:val="000000"/>
                <w:lang w:val="fr-FR"/>
              </w:rPr>
              <w:t>Irradiation crânienne</w:t>
            </w:r>
            <w:r w:rsidR="000D6A91" w:rsidRPr="00961E0F">
              <w:rPr>
                <w:color w:val="000000"/>
                <w:lang w:val="fr-FR"/>
              </w:rPr>
              <w:t xml:space="preserve"> (</w:t>
            </w:r>
            <w:r w:rsidRPr="00961E0F">
              <w:rPr>
                <w:color w:val="000000"/>
                <w:lang w:val="fr-FR"/>
              </w:rPr>
              <w:t>c</w:t>
            </w:r>
            <w:r w:rsidR="00A94878" w:rsidRPr="00961E0F">
              <w:rPr>
                <w:color w:val="000000"/>
                <w:lang w:val="fr-FR"/>
              </w:rPr>
              <w:t>ycle</w:t>
            </w:r>
            <w:r w:rsidR="00A63751" w:rsidRPr="00961E0F">
              <w:rPr>
                <w:color w:val="000000"/>
                <w:lang w:val="fr-FR"/>
              </w:rPr>
              <w:t> </w:t>
            </w:r>
            <w:r w:rsidR="000D6A91" w:rsidRPr="00961E0F">
              <w:rPr>
                <w:color w:val="000000"/>
                <w:lang w:val="fr-FR"/>
              </w:rPr>
              <w:t xml:space="preserve">5 </w:t>
            </w:r>
            <w:r w:rsidRPr="00961E0F">
              <w:rPr>
                <w:color w:val="000000"/>
                <w:lang w:val="fr-FR"/>
              </w:rPr>
              <w:t>uniquement</w:t>
            </w:r>
            <w:r w:rsidR="000D6A91" w:rsidRPr="00961E0F">
              <w:rPr>
                <w:color w:val="000000"/>
                <w:lang w:val="fr-FR"/>
              </w:rPr>
              <w:t>)</w:t>
            </w:r>
          </w:p>
          <w:p w14:paraId="74A36509" w14:textId="77777777" w:rsidR="000D6A91" w:rsidRPr="00961E0F" w:rsidRDefault="0088160C" w:rsidP="00C02374">
            <w:pPr>
              <w:pStyle w:val="EndnoteText"/>
              <w:widowControl w:val="0"/>
              <w:rPr>
                <w:color w:val="000000"/>
                <w:lang w:val="fr-FR"/>
              </w:rPr>
            </w:pPr>
            <w:r w:rsidRPr="00961E0F">
              <w:rPr>
                <w:color w:val="000000"/>
                <w:lang w:val="fr-FR"/>
              </w:rPr>
              <w:t>12 Gy en</w:t>
            </w:r>
            <w:r w:rsidR="000D6A91" w:rsidRPr="00961E0F">
              <w:rPr>
                <w:color w:val="000000"/>
                <w:lang w:val="fr-FR"/>
              </w:rPr>
              <w:t xml:space="preserve"> 8 fractions </w:t>
            </w:r>
            <w:r w:rsidRPr="00961E0F">
              <w:rPr>
                <w:color w:val="000000"/>
                <w:lang w:val="fr-FR"/>
              </w:rPr>
              <w:t>pour tou</w:t>
            </w:r>
            <w:r w:rsidR="004A615E" w:rsidRPr="00961E0F">
              <w:rPr>
                <w:color w:val="000000"/>
                <w:lang w:val="fr-FR"/>
              </w:rPr>
              <w:t>s</w:t>
            </w:r>
            <w:r w:rsidRPr="00961E0F">
              <w:rPr>
                <w:color w:val="000000"/>
                <w:lang w:val="fr-FR"/>
              </w:rPr>
              <w:t xml:space="preserve"> les patients étant</w:t>
            </w:r>
            <w:r w:rsidR="000D6A91" w:rsidRPr="00961E0F">
              <w:rPr>
                <w:color w:val="000000"/>
                <w:lang w:val="fr-FR"/>
              </w:rPr>
              <w:t xml:space="preserve"> </w:t>
            </w:r>
            <w:r w:rsidR="00A94878" w:rsidRPr="00961E0F">
              <w:rPr>
                <w:color w:val="000000"/>
                <w:lang w:val="fr-FR"/>
              </w:rPr>
              <w:t>SNC</w:t>
            </w:r>
            <w:r w:rsidR="000D6A91" w:rsidRPr="00961E0F">
              <w:rPr>
                <w:color w:val="000000"/>
                <w:lang w:val="fr-FR"/>
              </w:rPr>
              <w:t xml:space="preserve">1 </w:t>
            </w:r>
            <w:r w:rsidRPr="00961E0F">
              <w:rPr>
                <w:color w:val="000000"/>
                <w:lang w:val="fr-FR"/>
              </w:rPr>
              <w:t>et</w:t>
            </w:r>
            <w:r w:rsidR="000D6A91" w:rsidRPr="00961E0F">
              <w:rPr>
                <w:color w:val="000000"/>
                <w:lang w:val="fr-FR"/>
              </w:rPr>
              <w:t xml:space="preserve"> </w:t>
            </w:r>
            <w:r w:rsidR="00A94878" w:rsidRPr="00961E0F">
              <w:rPr>
                <w:color w:val="000000"/>
                <w:lang w:val="fr-FR"/>
              </w:rPr>
              <w:t>SNC</w:t>
            </w:r>
            <w:r w:rsidR="000D6A91" w:rsidRPr="00961E0F">
              <w:rPr>
                <w:color w:val="000000"/>
                <w:lang w:val="fr-FR"/>
              </w:rPr>
              <w:t xml:space="preserve">2 </w:t>
            </w:r>
            <w:r w:rsidRPr="00961E0F">
              <w:rPr>
                <w:color w:val="000000"/>
                <w:lang w:val="fr-FR"/>
              </w:rPr>
              <w:t>au diagnostic</w:t>
            </w:r>
          </w:p>
          <w:p w14:paraId="3B67F1BF" w14:textId="77777777" w:rsidR="000D6A91" w:rsidRPr="00961E0F" w:rsidRDefault="000D6A91" w:rsidP="00C02374">
            <w:pPr>
              <w:pStyle w:val="EndnoteText"/>
              <w:widowControl w:val="0"/>
              <w:rPr>
                <w:color w:val="000000"/>
                <w:lang w:val="fr-FR"/>
              </w:rPr>
            </w:pPr>
            <w:r w:rsidRPr="00961E0F">
              <w:rPr>
                <w:color w:val="000000"/>
                <w:lang w:val="fr-FR"/>
              </w:rPr>
              <w:t xml:space="preserve">18 Gy </w:t>
            </w:r>
            <w:r w:rsidR="0088160C" w:rsidRPr="00961E0F">
              <w:rPr>
                <w:color w:val="000000"/>
                <w:lang w:val="fr-FR"/>
              </w:rPr>
              <w:t>en</w:t>
            </w:r>
            <w:r w:rsidRPr="00961E0F">
              <w:rPr>
                <w:color w:val="000000"/>
                <w:lang w:val="fr-FR"/>
              </w:rPr>
              <w:t xml:space="preserve"> 10 fractions </w:t>
            </w:r>
            <w:r w:rsidR="0088160C" w:rsidRPr="00961E0F">
              <w:rPr>
                <w:color w:val="000000"/>
                <w:lang w:val="fr-FR"/>
              </w:rPr>
              <w:t xml:space="preserve">pour les patients étant </w:t>
            </w:r>
            <w:r w:rsidR="00A94878" w:rsidRPr="00961E0F">
              <w:rPr>
                <w:color w:val="000000"/>
                <w:lang w:val="fr-FR"/>
              </w:rPr>
              <w:t>SNC</w:t>
            </w:r>
            <w:r w:rsidRPr="00961E0F">
              <w:rPr>
                <w:color w:val="000000"/>
                <w:lang w:val="fr-FR"/>
              </w:rPr>
              <w:t xml:space="preserve">3 </w:t>
            </w:r>
            <w:r w:rsidR="0088160C" w:rsidRPr="00961E0F">
              <w:rPr>
                <w:color w:val="000000"/>
                <w:lang w:val="fr-FR"/>
              </w:rPr>
              <w:t>au</w:t>
            </w:r>
            <w:r w:rsidRPr="00961E0F">
              <w:rPr>
                <w:color w:val="000000"/>
                <w:lang w:val="fr-FR"/>
              </w:rPr>
              <w:t xml:space="preserve"> diagnos</w:t>
            </w:r>
            <w:r w:rsidR="0088160C" w:rsidRPr="00961E0F">
              <w:rPr>
                <w:color w:val="000000"/>
                <w:lang w:val="fr-FR"/>
              </w:rPr>
              <w:t>t</w:t>
            </w:r>
            <w:r w:rsidRPr="00961E0F">
              <w:rPr>
                <w:color w:val="000000"/>
                <w:lang w:val="fr-FR"/>
              </w:rPr>
              <w:t>i</w:t>
            </w:r>
            <w:r w:rsidR="0088160C" w:rsidRPr="00961E0F">
              <w:rPr>
                <w:color w:val="000000"/>
                <w:lang w:val="fr-FR"/>
              </w:rPr>
              <w:t>c</w:t>
            </w:r>
          </w:p>
          <w:p w14:paraId="1DB20062" w14:textId="77777777" w:rsidR="000D6A91" w:rsidRPr="00961E0F" w:rsidRDefault="000D6A91" w:rsidP="00C02374">
            <w:pPr>
              <w:pStyle w:val="EndnoteText"/>
              <w:widowControl w:val="0"/>
              <w:rPr>
                <w:color w:val="000000"/>
                <w:lang w:val="fr-FR"/>
              </w:rPr>
            </w:pPr>
            <w:r w:rsidRPr="00961E0F">
              <w:rPr>
                <w:color w:val="000000"/>
                <w:lang w:val="fr-FR"/>
              </w:rPr>
              <w:t>VCR (1</w:t>
            </w:r>
            <w:r w:rsidR="0061572E" w:rsidRPr="00961E0F">
              <w:rPr>
                <w:color w:val="000000"/>
                <w:lang w:val="fr-FR"/>
              </w:rPr>
              <w:t>,</w:t>
            </w:r>
            <w:r w:rsidRPr="00961E0F">
              <w:rPr>
                <w:color w:val="000000"/>
                <w:lang w:val="fr-FR"/>
              </w:rPr>
              <w:t>5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IV)</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 29</w:t>
            </w:r>
          </w:p>
          <w:p w14:paraId="50C57AD4" w14:textId="77777777" w:rsidR="000D6A91" w:rsidRPr="00961E0F" w:rsidRDefault="000D6A91" w:rsidP="00C02374">
            <w:pPr>
              <w:pStyle w:val="EndnoteText"/>
              <w:widowControl w:val="0"/>
              <w:rPr>
                <w:color w:val="000000"/>
                <w:lang w:val="fr-FR"/>
              </w:rPr>
            </w:pPr>
            <w:r w:rsidRPr="00961E0F">
              <w:rPr>
                <w:color w:val="000000"/>
                <w:lang w:val="fr-FR"/>
              </w:rPr>
              <w:t>DEX (6</w:t>
            </w:r>
            <w:r w:rsidR="0061572E" w:rsidRPr="00961E0F">
              <w:rPr>
                <w:color w:val="000000"/>
                <w:lang w:val="fr-FR"/>
              </w:rPr>
              <w:t> </w:t>
            </w:r>
            <w:r w:rsidRPr="00961E0F">
              <w:rPr>
                <w:color w:val="000000"/>
                <w:lang w:val="fr-FR"/>
              </w:rPr>
              <w:t>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w:t>
            </w:r>
            <w:r w:rsidRPr="00961E0F">
              <w:rPr>
                <w:color w:val="000000"/>
                <w:lang w:val="fr-FR"/>
              </w:rPr>
              <w:noBreakHyphen/>
              <w:t>5; 29</w:t>
            </w:r>
            <w:r w:rsidRPr="00961E0F">
              <w:rPr>
                <w:color w:val="000000"/>
                <w:lang w:val="fr-FR"/>
              </w:rPr>
              <w:noBreakHyphen/>
              <w:t>33</w:t>
            </w:r>
          </w:p>
          <w:p w14:paraId="4305FEF1" w14:textId="77777777" w:rsidR="000D6A91" w:rsidRPr="00961E0F" w:rsidRDefault="000D6A91" w:rsidP="00C02374">
            <w:pPr>
              <w:pStyle w:val="EndnoteT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w:t>
            </w:r>
            <w:r w:rsidR="0088160C"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88160C" w:rsidRPr="00961E0F">
              <w:rPr>
                <w:color w:val="000000"/>
                <w:lang w:val="fr-FR"/>
              </w:rPr>
              <w:t>jours</w:t>
            </w:r>
            <w:r w:rsidRPr="00961E0F">
              <w:rPr>
                <w:color w:val="000000"/>
                <w:lang w:val="fr-FR"/>
              </w:rPr>
              <w:t> 11</w:t>
            </w:r>
            <w:r w:rsidRPr="00961E0F">
              <w:rPr>
                <w:color w:val="000000"/>
                <w:lang w:val="fr-FR"/>
              </w:rPr>
              <w:noBreakHyphen/>
              <w:t>56 (</w:t>
            </w:r>
            <w:r w:rsidR="0088160C" w:rsidRPr="00961E0F">
              <w:rPr>
                <w:color w:val="000000"/>
                <w:lang w:val="fr-FR"/>
              </w:rPr>
              <w:t>suspendre</w:t>
            </w:r>
            <w:r w:rsidRPr="00961E0F">
              <w:rPr>
                <w:color w:val="000000"/>
                <w:lang w:val="fr-FR"/>
              </w:rPr>
              <w:t xml:space="preserve"> </w:t>
            </w:r>
            <w:r w:rsidR="00A94878" w:rsidRPr="00961E0F">
              <w:rPr>
                <w:color w:val="000000"/>
                <w:lang w:val="fr-FR"/>
              </w:rPr>
              <w:t xml:space="preserve">le </w:t>
            </w:r>
            <w:r w:rsidRPr="00961E0F">
              <w:rPr>
                <w:color w:val="000000"/>
                <w:lang w:val="fr-FR"/>
              </w:rPr>
              <w:t xml:space="preserve">6-MP </w:t>
            </w:r>
            <w:r w:rsidR="003B487D" w:rsidRPr="00961E0F">
              <w:rPr>
                <w:color w:val="000000"/>
                <w:lang w:val="fr-FR"/>
              </w:rPr>
              <w:t>d</w:t>
            </w:r>
            <w:r w:rsidR="0088160C" w:rsidRPr="00961E0F">
              <w:rPr>
                <w:color w:val="000000"/>
                <w:lang w:val="fr-FR"/>
              </w:rPr>
              <w:t>urant les jours 6</w:t>
            </w:r>
            <w:r w:rsidR="0088160C" w:rsidRPr="00961E0F">
              <w:rPr>
                <w:color w:val="000000"/>
                <w:lang w:val="fr-FR"/>
              </w:rPr>
              <w:noBreakHyphen/>
              <w:t>10</w:t>
            </w:r>
            <w:r w:rsidRPr="00961E0F">
              <w:rPr>
                <w:color w:val="000000"/>
                <w:lang w:val="fr-FR"/>
              </w:rPr>
              <w:t xml:space="preserve"> </w:t>
            </w:r>
            <w:r w:rsidR="0088160C" w:rsidRPr="00961E0F">
              <w:rPr>
                <w:color w:val="000000"/>
                <w:lang w:val="fr-FR"/>
              </w:rPr>
              <w:t>de</w:t>
            </w:r>
            <w:r w:rsidRPr="00961E0F">
              <w:rPr>
                <w:color w:val="000000"/>
                <w:lang w:val="fr-FR"/>
              </w:rPr>
              <w:t xml:space="preserve"> </w:t>
            </w:r>
            <w:r w:rsidR="0088160C" w:rsidRPr="00961E0F">
              <w:rPr>
                <w:color w:val="000000"/>
                <w:lang w:val="fr-FR"/>
              </w:rPr>
              <w:t>l’irradiation crânienne</w:t>
            </w:r>
            <w:r w:rsidRPr="00961E0F">
              <w:rPr>
                <w:color w:val="000000"/>
                <w:lang w:val="fr-FR"/>
              </w:rPr>
              <w:t xml:space="preserve"> </w:t>
            </w:r>
            <w:r w:rsidR="003B487D" w:rsidRPr="00961E0F">
              <w:rPr>
                <w:color w:val="000000"/>
                <w:lang w:val="fr-FR"/>
              </w:rPr>
              <w:t>commençant le jour 1 du c</w:t>
            </w:r>
            <w:r w:rsidRPr="00961E0F">
              <w:rPr>
                <w:color w:val="000000"/>
                <w:lang w:val="fr-FR"/>
              </w:rPr>
              <w:t xml:space="preserve">ycle 5. </w:t>
            </w:r>
            <w:r w:rsidR="003B487D" w:rsidRPr="00961E0F">
              <w:rPr>
                <w:color w:val="000000"/>
                <w:lang w:val="fr-FR"/>
              </w:rPr>
              <w:t>Commencer</w:t>
            </w:r>
            <w:r w:rsidRPr="00961E0F">
              <w:rPr>
                <w:color w:val="000000"/>
                <w:lang w:val="fr-FR"/>
              </w:rPr>
              <w:t xml:space="preserve"> </w:t>
            </w:r>
            <w:r w:rsidR="00A94878" w:rsidRPr="00961E0F">
              <w:rPr>
                <w:color w:val="000000"/>
                <w:lang w:val="fr-FR"/>
              </w:rPr>
              <w:t xml:space="preserve">le </w:t>
            </w:r>
            <w:r w:rsidRPr="00961E0F">
              <w:rPr>
                <w:color w:val="000000"/>
                <w:lang w:val="fr-FR"/>
              </w:rPr>
              <w:t xml:space="preserve">6-MP </w:t>
            </w:r>
            <w:r w:rsidR="003B487D" w:rsidRPr="00961E0F">
              <w:rPr>
                <w:color w:val="000000"/>
                <w:lang w:val="fr-FR"/>
              </w:rPr>
              <w:t xml:space="preserve">le 1er jour après </w:t>
            </w:r>
            <w:r w:rsidR="00A94878" w:rsidRPr="00961E0F">
              <w:rPr>
                <w:color w:val="000000"/>
                <w:lang w:val="fr-FR"/>
              </w:rPr>
              <w:t>la fin de</w:t>
            </w:r>
            <w:r w:rsidR="003B487D" w:rsidRPr="00961E0F">
              <w:rPr>
                <w:color w:val="000000"/>
                <w:lang w:val="fr-FR"/>
              </w:rPr>
              <w:t xml:space="preserve"> l’irradiation crânienne.</w:t>
            </w:r>
            <w:r w:rsidRPr="00961E0F">
              <w:rPr>
                <w:color w:val="000000"/>
                <w:lang w:val="fr-FR"/>
              </w:rPr>
              <w:t>)</w:t>
            </w:r>
          </w:p>
          <w:p w14:paraId="58123AEB" w14:textId="77777777" w:rsidR="000D6A91" w:rsidRPr="00961E0F" w:rsidRDefault="000D6A91" w:rsidP="003B487D">
            <w:pPr>
              <w:pStyle w:val="EndnoteT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w:t>
            </w:r>
            <w:r w:rsidR="003B487D" w:rsidRPr="00961E0F">
              <w:rPr>
                <w:color w:val="000000"/>
                <w:lang w:val="fr-FR"/>
              </w:rPr>
              <w:t>semaine</w:t>
            </w:r>
            <w:r w:rsidRPr="00961E0F">
              <w:rPr>
                <w:color w:val="000000"/>
                <w:lang w:val="fr-FR"/>
              </w:rPr>
              <w:t>, PO)</w:t>
            </w:r>
            <w:r w:rsidR="00CF27E1" w:rsidRPr="00961E0F">
              <w:rPr>
                <w:color w:val="000000"/>
                <w:lang w:val="fr-FR"/>
              </w:rPr>
              <w:t> </w:t>
            </w:r>
            <w:r w:rsidRPr="00961E0F">
              <w:rPr>
                <w:color w:val="000000"/>
                <w:lang w:val="fr-FR"/>
              </w:rPr>
              <w:t xml:space="preserve">: </w:t>
            </w:r>
            <w:r w:rsidR="003B487D" w:rsidRPr="00961E0F">
              <w:rPr>
                <w:color w:val="000000"/>
                <w:lang w:val="fr-FR"/>
              </w:rPr>
              <w:t>jours</w:t>
            </w:r>
            <w:r w:rsidRPr="00961E0F">
              <w:rPr>
                <w:color w:val="000000"/>
                <w:lang w:val="fr-FR"/>
              </w:rPr>
              <w:t> 8, 15, 22, 29, 36, 43, 50</w:t>
            </w:r>
          </w:p>
        </w:tc>
      </w:tr>
      <w:tr w:rsidR="000D6A91" w:rsidRPr="00961E0F" w14:paraId="0BBAF85C" w14:textId="77777777" w:rsidTr="00B15424">
        <w:trPr>
          <w:cantSplit/>
        </w:trPr>
        <w:tc>
          <w:tcPr>
            <w:tcW w:w="2358" w:type="dxa"/>
            <w:shd w:val="clear" w:color="auto" w:fill="auto"/>
          </w:tcPr>
          <w:p w14:paraId="7E01EDFE" w14:textId="77777777" w:rsidR="003B487D" w:rsidRPr="00961E0F" w:rsidRDefault="003B487D" w:rsidP="00B15424">
            <w:pPr>
              <w:pStyle w:val="EndnoteText"/>
              <w:keepNext/>
              <w:widowControl w:val="0"/>
              <w:rPr>
                <w:color w:val="000000"/>
                <w:lang w:val="fr-FR"/>
              </w:rPr>
            </w:pPr>
            <w:r w:rsidRPr="00961E0F">
              <w:rPr>
                <w:color w:val="000000"/>
                <w:lang w:val="fr-FR"/>
              </w:rPr>
              <w:t>Maintenance (cycles de 8 semaines)</w:t>
            </w:r>
          </w:p>
          <w:p w14:paraId="2B1437DD" w14:textId="77777777" w:rsidR="000D6A91" w:rsidRPr="00961E0F" w:rsidRDefault="003B487D" w:rsidP="00B15424">
            <w:pPr>
              <w:pStyle w:val="EndnoteText"/>
              <w:keepNext/>
              <w:widowControl w:val="0"/>
              <w:rPr>
                <w:color w:val="000000"/>
                <w:lang w:val="fr-FR"/>
              </w:rPr>
            </w:pPr>
            <w:r w:rsidRPr="00961E0F">
              <w:rPr>
                <w:color w:val="000000"/>
                <w:lang w:val="fr-FR"/>
              </w:rPr>
              <w:t>Cycle</w:t>
            </w:r>
            <w:r w:rsidR="00A94878" w:rsidRPr="00961E0F">
              <w:rPr>
                <w:color w:val="000000"/>
                <w:lang w:val="fr-FR"/>
              </w:rPr>
              <w:t>s</w:t>
            </w:r>
            <w:r w:rsidRPr="00961E0F">
              <w:rPr>
                <w:color w:val="000000"/>
                <w:lang w:val="fr-FR"/>
              </w:rPr>
              <w:t xml:space="preserve"> </w:t>
            </w:r>
            <w:r w:rsidR="00A94878" w:rsidRPr="00961E0F">
              <w:rPr>
                <w:color w:val="000000"/>
                <w:lang w:val="fr-FR"/>
              </w:rPr>
              <w:t>6</w:t>
            </w:r>
            <w:r w:rsidR="0061572E" w:rsidRPr="00961E0F">
              <w:rPr>
                <w:color w:val="000000"/>
                <w:lang w:val="fr-FR"/>
              </w:rPr>
              <w:noBreakHyphen/>
            </w:r>
            <w:r w:rsidR="00A94878" w:rsidRPr="00961E0F">
              <w:rPr>
                <w:color w:val="000000"/>
                <w:lang w:val="fr-FR"/>
              </w:rPr>
              <w:t>12</w:t>
            </w:r>
          </w:p>
        </w:tc>
        <w:tc>
          <w:tcPr>
            <w:tcW w:w="6928" w:type="dxa"/>
            <w:shd w:val="clear" w:color="auto" w:fill="auto"/>
          </w:tcPr>
          <w:p w14:paraId="41AFE63D" w14:textId="77777777" w:rsidR="000D6A91" w:rsidRPr="00961E0F" w:rsidRDefault="000D6A91" w:rsidP="00B15424">
            <w:pPr>
              <w:pStyle w:val="EndnoteText"/>
              <w:keepNext/>
              <w:widowControl w:val="0"/>
              <w:rPr>
                <w:color w:val="000000"/>
                <w:lang w:val="fr-FR"/>
              </w:rPr>
            </w:pPr>
            <w:r w:rsidRPr="00961E0F">
              <w:rPr>
                <w:color w:val="000000"/>
                <w:lang w:val="fr-FR"/>
              </w:rPr>
              <w:t>VCR (1</w:t>
            </w:r>
            <w:r w:rsidR="0061572E" w:rsidRPr="00961E0F">
              <w:rPr>
                <w:color w:val="000000"/>
                <w:lang w:val="fr-FR"/>
              </w:rPr>
              <w:t>,</w:t>
            </w:r>
            <w:r w:rsidRPr="00961E0F">
              <w:rPr>
                <w:color w:val="000000"/>
                <w:lang w:val="fr-FR"/>
              </w:rPr>
              <w:t>5 mg/m</w:t>
            </w:r>
            <w:r w:rsidRPr="00961E0F">
              <w:rPr>
                <w:color w:val="000000"/>
                <w:vertAlign w:val="superscript"/>
                <w:lang w:val="fr-FR"/>
              </w:rPr>
              <w:t>2</w:t>
            </w:r>
            <w:r w:rsidRPr="00961E0F">
              <w:rPr>
                <w:color w:val="000000"/>
                <w:lang w:val="fr-FR"/>
              </w:rPr>
              <w:t>/</w:t>
            </w:r>
            <w:r w:rsidR="003B487D" w:rsidRPr="00961E0F">
              <w:rPr>
                <w:color w:val="000000"/>
                <w:lang w:val="fr-FR"/>
              </w:rPr>
              <w:t>jour</w:t>
            </w:r>
            <w:r w:rsidRPr="00961E0F">
              <w:rPr>
                <w:color w:val="000000"/>
                <w:lang w:val="fr-FR"/>
              </w:rPr>
              <w:t>, IV)</w:t>
            </w:r>
            <w:r w:rsidR="00CF27E1" w:rsidRPr="00961E0F">
              <w:rPr>
                <w:color w:val="000000"/>
                <w:lang w:val="fr-FR"/>
              </w:rPr>
              <w:t> </w:t>
            </w:r>
            <w:r w:rsidRPr="00961E0F">
              <w:rPr>
                <w:color w:val="000000"/>
                <w:lang w:val="fr-FR"/>
              </w:rPr>
              <w:t xml:space="preserve">: </w:t>
            </w:r>
            <w:r w:rsidR="003B487D" w:rsidRPr="00961E0F">
              <w:rPr>
                <w:color w:val="000000"/>
                <w:lang w:val="fr-FR"/>
              </w:rPr>
              <w:t>jours</w:t>
            </w:r>
            <w:r w:rsidRPr="00961E0F">
              <w:rPr>
                <w:color w:val="000000"/>
                <w:lang w:val="fr-FR"/>
              </w:rPr>
              <w:t> 1</w:t>
            </w:r>
            <w:r w:rsidR="00A94878" w:rsidRPr="00961E0F">
              <w:rPr>
                <w:color w:val="000000"/>
                <w:lang w:val="fr-FR"/>
              </w:rPr>
              <w:t xml:space="preserve"> et</w:t>
            </w:r>
            <w:r w:rsidRPr="00961E0F">
              <w:rPr>
                <w:color w:val="000000"/>
                <w:lang w:val="fr-FR"/>
              </w:rPr>
              <w:t xml:space="preserve"> 29</w:t>
            </w:r>
          </w:p>
          <w:p w14:paraId="14207A8B" w14:textId="77777777" w:rsidR="000D6A91" w:rsidRPr="00961E0F" w:rsidRDefault="000D6A91" w:rsidP="00B15424">
            <w:pPr>
              <w:pStyle w:val="EndnoteText"/>
              <w:keepN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w:t>
            </w:r>
            <w:r w:rsidR="003B487D"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3B487D" w:rsidRPr="00961E0F">
              <w:rPr>
                <w:color w:val="000000"/>
                <w:lang w:val="fr-FR"/>
              </w:rPr>
              <w:t>jours</w:t>
            </w:r>
            <w:r w:rsidRPr="00961E0F">
              <w:rPr>
                <w:color w:val="000000"/>
                <w:lang w:val="fr-FR"/>
              </w:rPr>
              <w:t> 1</w:t>
            </w:r>
            <w:r w:rsidRPr="00961E0F">
              <w:rPr>
                <w:color w:val="000000"/>
                <w:lang w:val="fr-FR"/>
              </w:rPr>
              <w:noBreakHyphen/>
              <w:t>5; 29</w:t>
            </w:r>
            <w:r w:rsidRPr="00961E0F">
              <w:rPr>
                <w:color w:val="000000"/>
                <w:lang w:val="fr-FR"/>
              </w:rPr>
              <w:noBreakHyphen/>
              <w:t>33</w:t>
            </w:r>
          </w:p>
          <w:p w14:paraId="3D09EBCE" w14:textId="77777777" w:rsidR="000D6A91" w:rsidRPr="00961E0F" w:rsidRDefault="000D6A91" w:rsidP="00B15424">
            <w:pPr>
              <w:pStyle w:val="EndnoteText"/>
              <w:keepN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w:t>
            </w:r>
            <w:r w:rsidR="003B487D" w:rsidRPr="00961E0F">
              <w:rPr>
                <w:color w:val="000000"/>
                <w:lang w:val="fr-FR"/>
              </w:rPr>
              <w:t>jour</w:t>
            </w:r>
            <w:r w:rsidRPr="00961E0F">
              <w:rPr>
                <w:color w:val="000000"/>
                <w:lang w:val="fr-FR"/>
              </w:rPr>
              <w:t>, PO)</w:t>
            </w:r>
            <w:r w:rsidR="00CF27E1" w:rsidRPr="00961E0F">
              <w:rPr>
                <w:color w:val="000000"/>
                <w:lang w:val="fr-FR"/>
              </w:rPr>
              <w:t> </w:t>
            </w:r>
            <w:r w:rsidRPr="00961E0F">
              <w:rPr>
                <w:color w:val="000000"/>
                <w:lang w:val="fr-FR"/>
              </w:rPr>
              <w:t xml:space="preserve">: </w:t>
            </w:r>
            <w:r w:rsidR="003B487D" w:rsidRPr="00961E0F">
              <w:rPr>
                <w:color w:val="000000"/>
                <w:lang w:val="fr-FR"/>
              </w:rPr>
              <w:t>jours</w:t>
            </w:r>
            <w:r w:rsidRPr="00961E0F">
              <w:rPr>
                <w:color w:val="000000"/>
                <w:lang w:val="fr-FR"/>
              </w:rPr>
              <w:t> 1</w:t>
            </w:r>
            <w:r w:rsidRPr="00961E0F">
              <w:rPr>
                <w:color w:val="000000"/>
                <w:lang w:val="fr-FR"/>
              </w:rPr>
              <w:noBreakHyphen/>
              <w:t>56</w:t>
            </w:r>
          </w:p>
          <w:p w14:paraId="40A81859" w14:textId="77777777" w:rsidR="000D6A91" w:rsidRPr="00961E0F" w:rsidRDefault="000D6A91" w:rsidP="00B15424">
            <w:pPr>
              <w:pStyle w:val="EndnoteText"/>
              <w:keepN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w:t>
            </w:r>
            <w:r w:rsidR="003B487D" w:rsidRPr="00961E0F">
              <w:rPr>
                <w:color w:val="000000"/>
                <w:lang w:val="fr-FR"/>
              </w:rPr>
              <w:t>semaine</w:t>
            </w:r>
            <w:r w:rsidRPr="00961E0F">
              <w:rPr>
                <w:color w:val="000000"/>
                <w:lang w:val="fr-FR"/>
              </w:rPr>
              <w:t>, PO)</w:t>
            </w:r>
            <w:r w:rsidR="00CF27E1" w:rsidRPr="00961E0F">
              <w:rPr>
                <w:color w:val="000000"/>
                <w:lang w:val="fr-FR"/>
              </w:rPr>
              <w:t> </w:t>
            </w:r>
            <w:r w:rsidRPr="00961E0F">
              <w:rPr>
                <w:color w:val="000000"/>
                <w:lang w:val="fr-FR"/>
              </w:rPr>
              <w:t xml:space="preserve">: </w:t>
            </w:r>
            <w:r w:rsidR="003B487D" w:rsidRPr="00961E0F">
              <w:rPr>
                <w:color w:val="000000"/>
                <w:lang w:val="fr-FR"/>
              </w:rPr>
              <w:t>jours</w:t>
            </w:r>
            <w:r w:rsidRPr="00961E0F">
              <w:rPr>
                <w:color w:val="000000"/>
                <w:lang w:val="fr-FR"/>
              </w:rPr>
              <w:t> 1, 8, 15, 22, 29, 36, 43, 50</w:t>
            </w:r>
          </w:p>
        </w:tc>
      </w:tr>
    </w:tbl>
    <w:p w14:paraId="1ED695B9" w14:textId="77777777" w:rsidR="002378D3" w:rsidRPr="00961E0F" w:rsidRDefault="00D868A5" w:rsidP="00B15424">
      <w:pPr>
        <w:pStyle w:val="EndnoteText"/>
        <w:keepLines/>
        <w:widowControl w:val="0"/>
        <w:rPr>
          <w:color w:val="000000"/>
          <w:szCs w:val="22"/>
          <w:lang w:val="fr-FR"/>
        </w:rPr>
      </w:pPr>
      <w:r w:rsidRPr="00961E0F">
        <w:rPr>
          <w:color w:val="000000"/>
          <w:szCs w:val="22"/>
          <w:lang w:val="fr-FR"/>
        </w:rPr>
        <w:t>G-CSF= granulocyte colony stimulating factor, VP-16</w:t>
      </w:r>
      <w:r w:rsidR="00924094" w:rsidRPr="00961E0F">
        <w:rPr>
          <w:color w:val="000000"/>
          <w:szCs w:val="22"/>
          <w:lang w:val="fr-FR"/>
        </w:rPr>
        <w:t xml:space="preserve"> </w:t>
      </w:r>
      <w:r w:rsidRPr="00961E0F">
        <w:rPr>
          <w:color w:val="000000"/>
          <w:szCs w:val="22"/>
          <w:lang w:val="fr-FR"/>
        </w:rPr>
        <w:t>= étoposide, MTX</w:t>
      </w:r>
      <w:r w:rsidR="00924094" w:rsidRPr="00961E0F">
        <w:rPr>
          <w:color w:val="000000"/>
          <w:szCs w:val="22"/>
          <w:lang w:val="fr-FR"/>
        </w:rPr>
        <w:t xml:space="preserve"> </w:t>
      </w:r>
      <w:r w:rsidRPr="00961E0F">
        <w:rPr>
          <w:color w:val="000000"/>
          <w:szCs w:val="22"/>
          <w:lang w:val="fr-FR"/>
        </w:rPr>
        <w:t>= méthotrexate, IV</w:t>
      </w:r>
      <w:r w:rsidR="00924094" w:rsidRPr="00961E0F">
        <w:rPr>
          <w:color w:val="000000"/>
          <w:szCs w:val="22"/>
          <w:lang w:val="fr-FR"/>
        </w:rPr>
        <w:t xml:space="preserve"> </w:t>
      </w:r>
      <w:r w:rsidRPr="00961E0F">
        <w:rPr>
          <w:color w:val="000000"/>
          <w:szCs w:val="22"/>
          <w:lang w:val="fr-FR"/>
        </w:rPr>
        <w:t>= intraveineux, SC = sou</w:t>
      </w:r>
      <w:r w:rsidR="00924094" w:rsidRPr="00961E0F">
        <w:rPr>
          <w:color w:val="000000"/>
          <w:szCs w:val="22"/>
          <w:lang w:val="fr-FR"/>
        </w:rPr>
        <w:t xml:space="preserve">s-cutané, IT = intrathécal, PO = </w:t>
      </w:r>
      <w:r w:rsidR="00924094" w:rsidRPr="00961E0F">
        <w:rPr>
          <w:i/>
          <w:color w:val="000000"/>
          <w:szCs w:val="22"/>
          <w:lang w:val="fr-FR"/>
        </w:rPr>
        <w:t>per os</w:t>
      </w:r>
      <w:r w:rsidR="00924094" w:rsidRPr="00961E0F">
        <w:rPr>
          <w:color w:val="000000"/>
          <w:szCs w:val="22"/>
          <w:lang w:val="fr-FR"/>
        </w:rPr>
        <w:t>, IM = intramusculaire, ARA-C = cytarabine, CPM = cyclophosphamide, VCR = vincristine, DEX = dex</w:t>
      </w:r>
      <w:r w:rsidR="004A615E" w:rsidRPr="00961E0F">
        <w:rPr>
          <w:color w:val="000000"/>
          <w:szCs w:val="22"/>
          <w:lang w:val="fr-FR"/>
        </w:rPr>
        <w:t>a</w:t>
      </w:r>
      <w:r w:rsidR="00924094" w:rsidRPr="00961E0F">
        <w:rPr>
          <w:color w:val="000000"/>
          <w:szCs w:val="22"/>
          <w:lang w:val="fr-FR"/>
        </w:rPr>
        <w:t>méthasone, DAUN = daunorubicine, 6-MP = 6-mercaptopurine, E.coli L-ASP = L-asparaginase, PEG-ASP = asparaginase</w:t>
      </w:r>
      <w:r w:rsidR="00A94878" w:rsidRPr="00961E0F">
        <w:rPr>
          <w:color w:val="000000"/>
          <w:szCs w:val="22"/>
          <w:lang w:val="fr-FR"/>
        </w:rPr>
        <w:t xml:space="preserve"> pég</w:t>
      </w:r>
      <w:r w:rsidR="00303C2D" w:rsidRPr="00961E0F">
        <w:rPr>
          <w:color w:val="000000"/>
          <w:szCs w:val="22"/>
          <w:lang w:val="fr-FR"/>
        </w:rPr>
        <w:t>u</w:t>
      </w:r>
      <w:r w:rsidR="00A94878" w:rsidRPr="00961E0F">
        <w:rPr>
          <w:color w:val="000000"/>
          <w:szCs w:val="22"/>
          <w:lang w:val="fr-FR"/>
        </w:rPr>
        <w:t>ylée</w:t>
      </w:r>
      <w:r w:rsidR="00924094" w:rsidRPr="00961E0F">
        <w:rPr>
          <w:color w:val="000000"/>
          <w:szCs w:val="22"/>
          <w:lang w:val="fr-FR"/>
        </w:rPr>
        <w:t>, MESNA = 3-mercapto</w:t>
      </w:r>
      <w:r w:rsidR="004A615E" w:rsidRPr="00961E0F">
        <w:rPr>
          <w:color w:val="000000"/>
          <w:szCs w:val="22"/>
          <w:lang w:val="fr-FR"/>
        </w:rPr>
        <w:t>é</w:t>
      </w:r>
      <w:r w:rsidR="00924094" w:rsidRPr="00961E0F">
        <w:rPr>
          <w:color w:val="000000"/>
          <w:szCs w:val="22"/>
          <w:lang w:val="fr-FR"/>
        </w:rPr>
        <w:t>thane sulfonate sodium, iii = ou jusqu’à ce que le taux de méthotraxate soit &lt; 0</w:t>
      </w:r>
      <w:r w:rsidR="004A615E" w:rsidRPr="00961E0F">
        <w:rPr>
          <w:color w:val="000000"/>
          <w:szCs w:val="22"/>
          <w:lang w:val="fr-FR"/>
        </w:rPr>
        <w:t>,</w:t>
      </w:r>
      <w:r w:rsidR="00924094" w:rsidRPr="00961E0F">
        <w:rPr>
          <w:color w:val="000000"/>
          <w:szCs w:val="22"/>
          <w:lang w:val="fr-FR"/>
        </w:rPr>
        <w:t>1 µM</w:t>
      </w:r>
      <w:r w:rsidR="004A615E" w:rsidRPr="00961E0F">
        <w:rPr>
          <w:color w:val="000000"/>
          <w:szCs w:val="22"/>
          <w:lang w:val="fr-FR"/>
        </w:rPr>
        <w:t xml:space="preserve">, </w:t>
      </w:r>
      <w:r w:rsidR="00924094" w:rsidRPr="00961E0F">
        <w:rPr>
          <w:color w:val="000000"/>
          <w:szCs w:val="22"/>
          <w:lang w:val="fr-FR"/>
        </w:rPr>
        <w:t>Gy = Gray.</w:t>
      </w:r>
    </w:p>
    <w:p w14:paraId="293AABCE" w14:textId="77777777" w:rsidR="00924094" w:rsidRPr="00961E0F" w:rsidRDefault="00924094">
      <w:pPr>
        <w:pStyle w:val="EndnoteText"/>
        <w:widowControl w:val="0"/>
        <w:rPr>
          <w:color w:val="000000"/>
          <w:szCs w:val="22"/>
          <w:lang w:val="fr-FR"/>
        </w:rPr>
      </w:pPr>
    </w:p>
    <w:p w14:paraId="4ADDD042" w14:textId="77777777" w:rsidR="00924094" w:rsidRPr="00961E0F" w:rsidRDefault="00924094">
      <w:pPr>
        <w:pStyle w:val="EndnoteText"/>
        <w:widowControl w:val="0"/>
        <w:rPr>
          <w:color w:val="000000"/>
          <w:szCs w:val="22"/>
          <w:lang w:val="fr-FR"/>
        </w:rPr>
      </w:pPr>
      <w:r w:rsidRPr="00961E0F">
        <w:rPr>
          <w:color w:val="000000"/>
          <w:szCs w:val="22"/>
          <w:lang w:val="fr-FR"/>
        </w:rPr>
        <w:t xml:space="preserve">L’étude AIT07 était une étude </w:t>
      </w:r>
      <w:r w:rsidR="004A615E" w:rsidRPr="00961E0F">
        <w:rPr>
          <w:color w:val="000000"/>
          <w:szCs w:val="22"/>
          <w:lang w:val="fr-FR"/>
        </w:rPr>
        <w:t xml:space="preserve">de phase II/III </w:t>
      </w:r>
      <w:r w:rsidRPr="00961E0F">
        <w:rPr>
          <w:color w:val="000000"/>
          <w:szCs w:val="22"/>
          <w:lang w:val="fr-FR"/>
        </w:rPr>
        <w:t>multicentrique, en ouvert, randomisée</w:t>
      </w:r>
      <w:r w:rsidR="004A615E" w:rsidRPr="00961E0F">
        <w:rPr>
          <w:color w:val="000000"/>
          <w:szCs w:val="22"/>
          <w:lang w:val="fr-FR"/>
        </w:rPr>
        <w:t xml:space="preserve"> </w:t>
      </w:r>
      <w:r w:rsidRPr="00961E0F">
        <w:rPr>
          <w:color w:val="000000"/>
          <w:szCs w:val="22"/>
          <w:lang w:val="fr-FR"/>
        </w:rPr>
        <w:t xml:space="preserve">qui </w:t>
      </w:r>
      <w:r w:rsidR="005D67FA" w:rsidRPr="00961E0F">
        <w:rPr>
          <w:color w:val="000000"/>
          <w:szCs w:val="22"/>
          <w:lang w:val="fr-FR"/>
        </w:rPr>
        <w:t xml:space="preserve">a </w:t>
      </w:r>
      <w:r w:rsidRPr="00961E0F">
        <w:rPr>
          <w:color w:val="000000"/>
          <w:szCs w:val="22"/>
          <w:lang w:val="fr-FR"/>
        </w:rPr>
        <w:t>inclu</w:t>
      </w:r>
      <w:r w:rsidR="00F46217" w:rsidRPr="00961E0F">
        <w:rPr>
          <w:color w:val="000000"/>
          <w:szCs w:val="22"/>
          <w:lang w:val="fr-FR"/>
        </w:rPr>
        <w:t>s</w:t>
      </w:r>
      <w:r w:rsidRPr="00961E0F">
        <w:rPr>
          <w:color w:val="000000"/>
          <w:szCs w:val="22"/>
          <w:lang w:val="fr-FR"/>
        </w:rPr>
        <w:t xml:space="preserve"> 128</w:t>
      </w:r>
      <w:r w:rsidR="0061572E" w:rsidRPr="00961E0F">
        <w:rPr>
          <w:color w:val="000000"/>
          <w:szCs w:val="22"/>
          <w:lang w:val="fr-FR"/>
        </w:rPr>
        <w:t> </w:t>
      </w:r>
      <w:r w:rsidRPr="00961E0F">
        <w:rPr>
          <w:color w:val="000000"/>
          <w:szCs w:val="22"/>
          <w:lang w:val="fr-FR"/>
        </w:rPr>
        <w:t xml:space="preserve">patients (de 1 à </w:t>
      </w:r>
      <w:r w:rsidR="005D67FA" w:rsidRPr="00961E0F">
        <w:rPr>
          <w:color w:val="000000"/>
          <w:szCs w:val="22"/>
          <w:lang w:val="fr-FR"/>
        </w:rPr>
        <w:t xml:space="preserve">moins de </w:t>
      </w:r>
      <w:r w:rsidRPr="00961E0F">
        <w:rPr>
          <w:color w:val="000000"/>
          <w:szCs w:val="22"/>
          <w:lang w:val="fr-FR"/>
        </w:rPr>
        <w:t xml:space="preserve">18 ans) traités avec l’imatinib en </w:t>
      </w:r>
      <w:r w:rsidR="005D67FA" w:rsidRPr="00961E0F">
        <w:rPr>
          <w:color w:val="000000"/>
          <w:szCs w:val="22"/>
          <w:lang w:val="fr-FR"/>
        </w:rPr>
        <w:t>association</w:t>
      </w:r>
      <w:r w:rsidRPr="00961E0F">
        <w:rPr>
          <w:color w:val="000000"/>
          <w:szCs w:val="22"/>
          <w:lang w:val="fr-FR"/>
        </w:rPr>
        <w:t xml:space="preserve"> </w:t>
      </w:r>
      <w:r w:rsidR="00655E13" w:rsidRPr="00961E0F">
        <w:rPr>
          <w:color w:val="000000"/>
          <w:szCs w:val="22"/>
          <w:lang w:val="fr-FR"/>
        </w:rPr>
        <w:t>à</w:t>
      </w:r>
      <w:r w:rsidRPr="00961E0F">
        <w:rPr>
          <w:color w:val="000000"/>
          <w:szCs w:val="22"/>
          <w:lang w:val="fr-FR"/>
        </w:rPr>
        <w:t xml:space="preserve"> la chimiothérapie. Les données de </w:t>
      </w:r>
      <w:r w:rsidR="00E84C65" w:rsidRPr="00961E0F">
        <w:rPr>
          <w:color w:val="000000"/>
          <w:szCs w:val="22"/>
          <w:lang w:val="fr-FR"/>
        </w:rPr>
        <w:t>tolérance</w:t>
      </w:r>
      <w:r w:rsidRPr="00961E0F">
        <w:rPr>
          <w:color w:val="000000"/>
          <w:szCs w:val="22"/>
          <w:lang w:val="fr-FR"/>
        </w:rPr>
        <w:t xml:space="preserve"> de cette étude </w:t>
      </w:r>
      <w:r w:rsidR="00C6557B" w:rsidRPr="00961E0F">
        <w:rPr>
          <w:color w:val="000000"/>
          <w:szCs w:val="22"/>
          <w:lang w:val="fr-FR"/>
        </w:rPr>
        <w:t>semblent</w:t>
      </w:r>
      <w:r w:rsidRPr="00961E0F">
        <w:rPr>
          <w:color w:val="000000"/>
          <w:szCs w:val="22"/>
          <w:lang w:val="fr-FR"/>
        </w:rPr>
        <w:t xml:space="preserve"> </w:t>
      </w:r>
      <w:r w:rsidR="00655E13" w:rsidRPr="00961E0F">
        <w:rPr>
          <w:color w:val="000000"/>
          <w:szCs w:val="22"/>
          <w:lang w:val="fr-FR"/>
        </w:rPr>
        <w:t>correspondre au</w:t>
      </w:r>
      <w:r w:rsidRPr="00961E0F">
        <w:rPr>
          <w:color w:val="000000"/>
          <w:szCs w:val="22"/>
          <w:lang w:val="fr-FR"/>
        </w:rPr>
        <w:t xml:space="preserve"> profil de </w:t>
      </w:r>
      <w:r w:rsidR="00E84C65" w:rsidRPr="00961E0F">
        <w:rPr>
          <w:color w:val="000000"/>
          <w:szCs w:val="22"/>
          <w:lang w:val="fr-FR"/>
        </w:rPr>
        <w:t>tolérance</w:t>
      </w:r>
      <w:r w:rsidRPr="00961E0F">
        <w:rPr>
          <w:color w:val="000000"/>
          <w:szCs w:val="22"/>
          <w:lang w:val="fr-FR"/>
        </w:rPr>
        <w:t xml:space="preserve"> de l’imatinib chez les patients atteints de LAL Ph+.</w:t>
      </w:r>
    </w:p>
    <w:p w14:paraId="3A8B4653" w14:textId="77777777" w:rsidR="00924094" w:rsidRPr="00961E0F" w:rsidRDefault="00924094">
      <w:pPr>
        <w:pStyle w:val="EndnoteText"/>
        <w:widowControl w:val="0"/>
        <w:rPr>
          <w:color w:val="000000"/>
          <w:szCs w:val="22"/>
          <w:lang w:val="fr-FR"/>
        </w:rPr>
      </w:pPr>
    </w:p>
    <w:p w14:paraId="0C15A989"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 xml:space="preserve">LAL Ph+ en rechute ou réfractaire : </w:t>
      </w:r>
      <w:r w:rsidRPr="00961E0F">
        <w:rPr>
          <w:color w:val="000000"/>
          <w:szCs w:val="22"/>
          <w:lang w:val="fr-FR"/>
        </w:rPr>
        <w:t>Lorsque l’imatinib a été utilisé en monothérapie chez des patients atteints de LAL Ph+ en rechute ou réfractaire, il a été observé un taux de réponse hématologique de 30% (9% réponse complète) et un taux de réponse cytogénétique majeure de 23% parmi les 53 patients évaluables pour la réponse sur un effectif total de 411 patients. (A noter que sur ces 411 patients, 353 avaient été traités dans le cadre d’un programme d’accès élargi au cours duquel la réponse primaire n’était pas collectée). La durée médiane jusqu’à la progression de la maladie dans la population globale de 411 patients atteints de LAL Ph+ en rechute ou réfractaire était de 2,6 à 3,1 mois, avec une médiane de survie globale allant de 4,9 à 9 mois chez 401 patients évaluables. Les données étaient identiques lorsque l’analyse a été de nouveau réalisée en prenant en compte uniquement les patients âgés de 55 ans et plus.</w:t>
      </w:r>
    </w:p>
    <w:p w14:paraId="361595E8" w14:textId="77777777" w:rsidR="007D642D" w:rsidRPr="00961E0F" w:rsidRDefault="007D642D">
      <w:pPr>
        <w:pStyle w:val="EndnoteText"/>
        <w:widowControl w:val="0"/>
        <w:rPr>
          <w:color w:val="000000"/>
          <w:szCs w:val="22"/>
          <w:lang w:val="fr-FR"/>
        </w:rPr>
      </w:pPr>
    </w:p>
    <w:p w14:paraId="7524B467"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 xml:space="preserve">Etudes cliniques dans les </w:t>
      </w:r>
      <w:smartTag w:uri="urn:schemas-microsoft-com:office:smarttags" w:element="stockticker">
        <w:r w:rsidRPr="00961E0F">
          <w:rPr>
            <w:color w:val="000000"/>
            <w:szCs w:val="22"/>
            <w:u w:val="single"/>
            <w:lang w:val="fr-FR"/>
          </w:rPr>
          <w:t>SMD</w:t>
        </w:r>
      </w:smartTag>
      <w:r w:rsidRPr="00961E0F">
        <w:rPr>
          <w:color w:val="000000"/>
          <w:szCs w:val="22"/>
          <w:u w:val="single"/>
          <w:lang w:val="fr-FR"/>
        </w:rPr>
        <w:t>/</w:t>
      </w:r>
      <w:smartTag w:uri="urn:schemas-microsoft-com:office:smarttags" w:element="stockticker">
        <w:r w:rsidRPr="00961E0F">
          <w:rPr>
            <w:color w:val="000000"/>
            <w:szCs w:val="22"/>
            <w:u w:val="single"/>
            <w:lang w:val="fr-FR"/>
          </w:rPr>
          <w:t>SMP</w:t>
        </w:r>
      </w:smartTag>
    </w:p>
    <w:p w14:paraId="1C29CC6E" w14:textId="77777777" w:rsidR="000D4062"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L’expérience avec Glivec dans cette indication est très limitée, elle est basée sur les taux de réponse hématologique et cytogénétique. Il n’y a pas d’étude contrôlée démontrant un bénéfice clinique tel que l’amélioration des symptômes liés à la maladie ou l’augmentation de la survie. Une étude ouverte multicentrique de phase II (étude B2225) a été menée avec Glivec chez des patients atteints de diverses maladies impliquant les tyrosine kinases Abl, Kit ou PDGFR et menaçant le pronostic vital. Cette étude a inclus 7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traités par Glivec à 400 mg/jour. Trois patients ont présenté une réponse complète hématologique (RCH) et un patient a présenté une réponse partielle hématologique (RPH). A la date de l’analyse, trois des quatres patients qui avaient des réarrangements du gène du PDGFR ont présenté une réponse hématologique (2 réponses hématologiques complètes et 1 réponse hématologique partielle). L’âge des patients allait de 20 à 72 ans.</w:t>
      </w:r>
    </w:p>
    <w:p w14:paraId="0A9458ED" w14:textId="77777777" w:rsidR="000D4062" w:rsidRPr="00961E0F" w:rsidRDefault="000D4062">
      <w:pPr>
        <w:pStyle w:val="EndnoteText"/>
        <w:widowControl w:val="0"/>
        <w:tabs>
          <w:tab w:val="clear" w:pos="567"/>
        </w:tabs>
        <w:rPr>
          <w:color w:val="000000"/>
          <w:szCs w:val="22"/>
          <w:lang w:val="fr-FR"/>
        </w:rPr>
      </w:pPr>
    </w:p>
    <w:p w14:paraId="78244214" w14:textId="77777777" w:rsidR="000D4062" w:rsidRPr="00961E0F" w:rsidRDefault="000D4062">
      <w:pPr>
        <w:pStyle w:val="EndnoteText"/>
        <w:widowControl w:val="0"/>
        <w:tabs>
          <w:tab w:val="clear" w:pos="567"/>
        </w:tabs>
        <w:rPr>
          <w:color w:val="000000"/>
          <w:szCs w:val="22"/>
          <w:lang w:val="fr-FR"/>
        </w:rPr>
      </w:pPr>
      <w:r w:rsidRPr="00961E0F">
        <w:rPr>
          <w:color w:val="000000"/>
          <w:szCs w:val="22"/>
          <w:lang w:val="fr-FR"/>
        </w:rPr>
        <w:t xml:space="preserve">Un registre observationnel (étude L2401) a été mis en place pour collecter des données de sécurité et d’efficacité </w:t>
      </w:r>
      <w:r w:rsidR="00F805A3" w:rsidRPr="00961E0F">
        <w:rPr>
          <w:color w:val="000000"/>
          <w:szCs w:val="22"/>
          <w:lang w:val="fr-FR"/>
        </w:rPr>
        <w:t xml:space="preserve">à long terme </w:t>
      </w:r>
      <w:r w:rsidRPr="00961E0F">
        <w:rPr>
          <w:color w:val="000000"/>
          <w:szCs w:val="22"/>
          <w:lang w:val="fr-FR"/>
        </w:rPr>
        <w:t xml:space="preserve">chez des patients souffrant de néoplasmes myéloprolifératifs avec réarrangement </w:t>
      </w:r>
      <w:r w:rsidR="00F805A3" w:rsidRPr="00961E0F">
        <w:rPr>
          <w:color w:val="000000"/>
          <w:szCs w:val="22"/>
          <w:lang w:val="fr-FR"/>
        </w:rPr>
        <w:t xml:space="preserve">de </w:t>
      </w:r>
      <w:r w:rsidRPr="00961E0F">
        <w:rPr>
          <w:color w:val="000000"/>
          <w:szCs w:val="22"/>
          <w:lang w:val="fr-FR"/>
        </w:rPr>
        <w:t>PDGFR-</w:t>
      </w:r>
      <w:r w:rsidRPr="00961E0F">
        <w:rPr>
          <w:rFonts w:eastAsia="TimesNewRoman"/>
          <w:szCs w:val="22"/>
          <w:lang w:val="fr-FR"/>
        </w:rPr>
        <w:t xml:space="preserve"> </w:t>
      </w:r>
      <w:r w:rsidRPr="00961E0F">
        <w:rPr>
          <w:rFonts w:eastAsia="TimesNewRoman"/>
          <w:szCs w:val="22"/>
          <w:lang w:val="en-US"/>
        </w:rPr>
        <w:t>β</w:t>
      </w:r>
      <w:r w:rsidRPr="00961E0F">
        <w:rPr>
          <w:rFonts w:eastAsia="TimesNewRoman"/>
          <w:szCs w:val="22"/>
          <w:lang w:val="fr-FR"/>
        </w:rPr>
        <w:t xml:space="preserve"> et ayant été traités par Glivec.</w:t>
      </w:r>
      <w:r w:rsidR="009C4CDF" w:rsidRPr="00961E0F">
        <w:rPr>
          <w:rFonts w:eastAsia="TimesNewRoman"/>
          <w:szCs w:val="22"/>
          <w:lang w:val="fr-FR"/>
        </w:rPr>
        <w:t xml:space="preserve"> Les 23 patients inclus dans ce registre ont reçu une dose journalière médiane de Glivec de 264 mg (compris</w:t>
      </w:r>
      <w:r w:rsidR="00F835E9" w:rsidRPr="00961E0F">
        <w:rPr>
          <w:rFonts w:eastAsia="TimesNewRoman"/>
          <w:szCs w:val="22"/>
          <w:lang w:val="fr-FR"/>
        </w:rPr>
        <w:t>e</w:t>
      </w:r>
      <w:r w:rsidR="009C4CDF" w:rsidRPr="00961E0F">
        <w:rPr>
          <w:rFonts w:eastAsia="TimesNewRoman"/>
          <w:szCs w:val="22"/>
          <w:lang w:val="fr-FR"/>
        </w:rPr>
        <w:t xml:space="preserve"> entre 100 et 400 mg) pendant une durée médiane de 7,2 </w:t>
      </w:r>
      <w:r w:rsidR="005F6453" w:rsidRPr="00961E0F">
        <w:rPr>
          <w:rFonts w:eastAsia="TimesNewRoman"/>
          <w:szCs w:val="22"/>
          <w:lang w:val="fr-FR"/>
        </w:rPr>
        <w:t>an</w:t>
      </w:r>
      <w:r w:rsidR="009C4CDF" w:rsidRPr="00961E0F">
        <w:rPr>
          <w:rFonts w:eastAsia="TimesNewRoman"/>
          <w:szCs w:val="22"/>
          <w:lang w:val="fr-FR"/>
        </w:rPr>
        <w:t>s (comprise entre 0,1 et 12,7 </w:t>
      </w:r>
      <w:r w:rsidR="005F6453" w:rsidRPr="00961E0F">
        <w:rPr>
          <w:rFonts w:eastAsia="TimesNewRoman"/>
          <w:szCs w:val="22"/>
          <w:lang w:val="fr-FR"/>
        </w:rPr>
        <w:t>an</w:t>
      </w:r>
      <w:r w:rsidR="009C4CDF" w:rsidRPr="00961E0F">
        <w:rPr>
          <w:rFonts w:eastAsia="TimesNewRoman"/>
          <w:szCs w:val="22"/>
          <w:lang w:val="fr-FR"/>
        </w:rPr>
        <w:t xml:space="preserve">s). En raison du caractère observationnel de ce registre, les données d’évaluation hématologique, cytogénétique et moléculaire </w:t>
      </w:r>
      <w:r w:rsidR="00F835E9" w:rsidRPr="00961E0F">
        <w:rPr>
          <w:rFonts w:eastAsia="TimesNewRoman"/>
          <w:szCs w:val="22"/>
          <w:lang w:val="fr-FR"/>
        </w:rPr>
        <w:t xml:space="preserve">ne </w:t>
      </w:r>
      <w:r w:rsidR="009C4CDF" w:rsidRPr="00961E0F">
        <w:rPr>
          <w:rFonts w:eastAsia="TimesNewRoman"/>
          <w:szCs w:val="22"/>
          <w:lang w:val="fr-FR"/>
        </w:rPr>
        <w:t xml:space="preserve">sont disponibles respectivement </w:t>
      </w:r>
      <w:r w:rsidR="00F835E9" w:rsidRPr="00961E0F">
        <w:rPr>
          <w:rFonts w:eastAsia="TimesNewRoman"/>
          <w:szCs w:val="22"/>
          <w:lang w:val="fr-FR"/>
        </w:rPr>
        <w:t xml:space="preserve">que </w:t>
      </w:r>
      <w:r w:rsidR="009C4CDF" w:rsidRPr="00961E0F">
        <w:rPr>
          <w:rFonts w:eastAsia="TimesNewRoman"/>
          <w:szCs w:val="22"/>
          <w:lang w:val="fr-FR"/>
        </w:rPr>
        <w:t>pour 22,</w:t>
      </w:r>
      <w:r w:rsidR="001B5817" w:rsidRPr="00961E0F">
        <w:rPr>
          <w:rFonts w:eastAsia="TimesNewRoman"/>
          <w:szCs w:val="22"/>
          <w:lang w:val="fr-FR"/>
        </w:rPr>
        <w:t xml:space="preserve"> </w:t>
      </w:r>
      <w:r w:rsidR="009C4CDF" w:rsidRPr="00961E0F">
        <w:rPr>
          <w:rFonts w:eastAsia="TimesNewRoman"/>
          <w:szCs w:val="22"/>
          <w:lang w:val="fr-FR"/>
        </w:rPr>
        <w:t>9 et 17 des 23 patients inclus.</w:t>
      </w:r>
      <w:r w:rsidR="001B5817" w:rsidRPr="00961E0F">
        <w:rPr>
          <w:rFonts w:eastAsia="TimesNewRoman"/>
          <w:szCs w:val="22"/>
          <w:lang w:val="fr-FR"/>
        </w:rPr>
        <w:t xml:space="preserve"> En présumant que les patients dont les données sont manquantes étaient non-répondeurs, une réponse hématologique complète a été observée </w:t>
      </w:r>
      <w:r w:rsidR="001B5817" w:rsidRPr="00961E0F">
        <w:rPr>
          <w:rFonts w:eastAsia="TimesNewRoman"/>
          <w:szCs w:val="22"/>
          <w:lang w:val="fr-FR"/>
        </w:rPr>
        <w:lastRenderedPageBreak/>
        <w:t xml:space="preserve">chez 20/23 patients (87%), une réponse cytogénétique complète chez 9/23 patients (39,1%) et une réponse moléculaire complète chez 11/23 patients (47,8%). Lorsque le taux de réponse est calculé chez les patients avec au moins une évaluation validée, le taux de réponse complète hématologique, cytogénétique et moléculaire était respectivement de </w:t>
      </w:r>
      <w:r w:rsidR="00A91FA7" w:rsidRPr="00961E0F">
        <w:rPr>
          <w:rFonts w:eastAsia="TimesNewRoman"/>
          <w:szCs w:val="22"/>
          <w:lang w:val="fr-FR"/>
        </w:rPr>
        <w:t>20</w:t>
      </w:r>
      <w:r w:rsidR="001B5817" w:rsidRPr="00961E0F">
        <w:rPr>
          <w:rFonts w:eastAsia="TimesNewRoman"/>
          <w:szCs w:val="22"/>
          <w:lang w:val="fr-FR"/>
        </w:rPr>
        <w:t>/22 (90,9%), 9/9 (100%) et 11/17 (64,7%).</w:t>
      </w:r>
    </w:p>
    <w:p w14:paraId="2207EC22" w14:textId="77777777" w:rsidR="000D4062" w:rsidRPr="00961E0F" w:rsidRDefault="000D4062">
      <w:pPr>
        <w:pStyle w:val="EndnoteText"/>
        <w:widowControl w:val="0"/>
        <w:tabs>
          <w:tab w:val="clear" w:pos="567"/>
        </w:tabs>
        <w:rPr>
          <w:color w:val="000000"/>
          <w:szCs w:val="22"/>
          <w:lang w:val="fr-FR"/>
        </w:rPr>
      </w:pPr>
    </w:p>
    <w:p w14:paraId="24FA995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De plus, 24 patients supplémentaires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ont été rapportés dans 13 publications. 21 patients ont été traités par Glivec à 400 mg/j, alors que les 3 autres patients ont reçu des doses plus faibles. Chez les 11 patients pour lesquels un réarrangement du géne du récepteur PDGFR a été mis en évidence, 9 d’entre eux ont présenté une réponse hématologique complète et 1 patient une réponse hématologique partielle. L’âge allait de 2 à 79 ans. Dans une publication récente, la mise à jour du suivi sur 6 de ces 11 patients, a montré que tous restaient en rémission cytogénétique ( suivi de 32</w:t>
      </w:r>
      <w:r w:rsidRPr="00961E0F">
        <w:rPr>
          <w:color w:val="000000"/>
          <w:szCs w:val="22"/>
          <w:lang w:val="fr-FR"/>
        </w:rPr>
        <w:noBreakHyphen/>
        <w:t xml:space="preserve">38 mois). La même publication rapportait des données du suivi à long terme de 12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 à des réarrangements du gène du récepteur PDGFR (dont 5 patients de l’étude clinique B2225). Ces patients ont reçu Glivec sur une un durée médiane de 47 mois (24 jours à 60 mois). Chez 6 de ces patients, le suivi à ce jour est supérieur à 4 ans. 11 patients ont atteint une réponse hématologique complète rapide ; 10 ont présenté une résolution complète des anomalies cytogénétiques et une diminution ou une disparition du transcript de fusion (mesuré par un test RT-</w:t>
      </w:r>
      <w:smartTag w:uri="urn:schemas-microsoft-com:office:smarttags" w:element="stockticker">
        <w:r w:rsidRPr="00961E0F">
          <w:rPr>
            <w:color w:val="000000"/>
            <w:szCs w:val="22"/>
            <w:lang w:val="fr-FR"/>
          </w:rPr>
          <w:t>PCR</w:t>
        </w:r>
      </w:smartTag>
      <w:r w:rsidRPr="00961E0F">
        <w:rPr>
          <w:color w:val="000000"/>
          <w:szCs w:val="22"/>
          <w:lang w:val="fr-FR"/>
        </w:rPr>
        <w:t>). Les réponses hématologiques et cytogénétiques ont été respectivement maintenues sur une durée médiane de 49 mois (19 à 60 mois) et 47 mois (16 à 59 mois). La survie globale est de 65 mois à partir du diagnostic (25 à 234 mois). L’administration de Glivec chez des patients sans translocation génétique n’a pas généralement entrâiné d’amélioration.</w:t>
      </w:r>
    </w:p>
    <w:p w14:paraId="3CDA436D" w14:textId="77777777" w:rsidR="007D642D" w:rsidRPr="00961E0F" w:rsidRDefault="007D642D">
      <w:pPr>
        <w:pStyle w:val="EndnoteText"/>
        <w:widowControl w:val="0"/>
        <w:tabs>
          <w:tab w:val="clear" w:pos="567"/>
        </w:tabs>
        <w:rPr>
          <w:color w:val="000000"/>
          <w:szCs w:val="22"/>
          <w:lang w:val="fr-FR"/>
        </w:rPr>
      </w:pPr>
    </w:p>
    <w:p w14:paraId="1C5980B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Il n’existe pas d’étude clinique contrôlée chez les patients pédiatriques atteints de SMD/SMP. Cinq (5) cas de patients atteints de SMD/SMP associés à des réarrangements du gène PDGFR ont été rapportés dans 4 publications. L’âge de ces patients allait de 3 mois à 4 ans et l’imatinib était administré à une posologie de 50 mg par jour ou comprise entre 92,5 et 340 mg/m² par jour. Tous les patients ont atteint une réponse hématologique complète, une réponse cytogénétique et/ou une réponse clinique.</w:t>
      </w:r>
    </w:p>
    <w:p w14:paraId="30ACD230" w14:textId="77777777" w:rsidR="007D642D" w:rsidRPr="00961E0F" w:rsidRDefault="007D642D">
      <w:pPr>
        <w:pStyle w:val="EndnoteText"/>
        <w:widowControl w:val="0"/>
        <w:rPr>
          <w:color w:val="000000"/>
          <w:szCs w:val="22"/>
          <w:lang w:val="fr-FR"/>
        </w:rPr>
      </w:pPr>
    </w:p>
    <w:p w14:paraId="71085B1E" w14:textId="77777777" w:rsidR="007D642D" w:rsidRPr="00961E0F" w:rsidRDefault="007D642D" w:rsidP="00B15424">
      <w:pPr>
        <w:pStyle w:val="EndnoteText"/>
        <w:keepNext/>
        <w:widowControl w:val="0"/>
        <w:rPr>
          <w:color w:val="000000"/>
          <w:szCs w:val="22"/>
          <w:u w:val="single"/>
          <w:lang w:val="fr-FR"/>
        </w:rPr>
      </w:pPr>
      <w:r w:rsidRPr="00961E0F">
        <w:rPr>
          <w:color w:val="000000"/>
          <w:szCs w:val="22"/>
          <w:u w:val="single"/>
          <w:lang w:val="fr-FR"/>
        </w:rPr>
        <w:t>Etudes clin</w:t>
      </w:r>
      <w:r w:rsidR="00312039" w:rsidRPr="00961E0F">
        <w:rPr>
          <w:color w:val="000000"/>
          <w:szCs w:val="22"/>
          <w:u w:val="single"/>
          <w:lang w:val="fr-FR"/>
        </w:rPr>
        <w:t>i</w:t>
      </w:r>
      <w:r w:rsidRPr="00961E0F">
        <w:rPr>
          <w:color w:val="000000"/>
          <w:szCs w:val="22"/>
          <w:u w:val="single"/>
          <w:lang w:val="fr-FR"/>
        </w:rPr>
        <w:t>ques dans les SHE/L</w:t>
      </w:r>
      <w:r w:rsidR="00312039" w:rsidRPr="00961E0F">
        <w:rPr>
          <w:color w:val="000000"/>
          <w:szCs w:val="22"/>
          <w:u w:val="single"/>
          <w:lang w:val="fr-FR"/>
        </w:rPr>
        <w:t>C</w:t>
      </w:r>
      <w:r w:rsidRPr="00961E0F">
        <w:rPr>
          <w:color w:val="000000"/>
          <w:szCs w:val="22"/>
          <w:u w:val="single"/>
          <w:lang w:val="fr-FR"/>
        </w:rPr>
        <w:t>E</w:t>
      </w:r>
    </w:p>
    <w:p w14:paraId="689C8C60" w14:textId="77777777" w:rsidR="007D642D" w:rsidRPr="00961E0F" w:rsidRDefault="007D642D">
      <w:pPr>
        <w:pStyle w:val="EndnoteText"/>
        <w:widowControl w:val="0"/>
        <w:rPr>
          <w:color w:val="000000"/>
          <w:szCs w:val="22"/>
          <w:lang w:val="fr-FR"/>
        </w:rPr>
      </w:pPr>
      <w:r w:rsidRPr="00961E0F">
        <w:rPr>
          <w:color w:val="000000"/>
          <w:szCs w:val="22"/>
          <w:lang w:val="fr-FR"/>
        </w:rPr>
        <w:t>Une étude ouverte multicentrique de phase II (étude B2225) a été menée avec Glivec chez des patients atteints de diverses maladies impliquant les tyrosine kinases Abl, Kit ou PDGFR et menaçant le pronostic vital. Dans cette étude, 14 de ces patients atteints de SHE/L</w:t>
      </w:r>
      <w:r w:rsidR="009E44A8" w:rsidRPr="00961E0F">
        <w:rPr>
          <w:color w:val="000000"/>
          <w:szCs w:val="22"/>
          <w:lang w:val="fr-FR"/>
        </w:rPr>
        <w:t>C</w:t>
      </w:r>
      <w:r w:rsidRPr="00961E0F">
        <w:rPr>
          <w:color w:val="000000"/>
          <w:szCs w:val="22"/>
          <w:lang w:val="fr-FR"/>
        </w:rPr>
        <w:t>E ont été traités par Glivec à la dose de 100 mg à 1 000 mg par jour. 162 patients supplémentaires atteints de SHE/L</w:t>
      </w:r>
      <w:r w:rsidR="009E44A8" w:rsidRPr="00961E0F">
        <w:rPr>
          <w:color w:val="000000"/>
          <w:szCs w:val="22"/>
          <w:lang w:val="fr-FR"/>
        </w:rPr>
        <w:t>C</w:t>
      </w:r>
      <w:r w:rsidRPr="00961E0F">
        <w:rPr>
          <w:color w:val="000000"/>
          <w:szCs w:val="22"/>
          <w:lang w:val="fr-FR"/>
        </w:rPr>
        <w:t>E, rapportés dans 35 publications sous la forme d’observations individuelles, ont reçu Glivec à la dose allant de 75 mg à 800 mg par jour. Les anomalies cytogénétiques ont été évaluées chez 117 patients sur un total de 176 patients. La protéine de fusion FIP1L1-PDGFR</w:t>
      </w:r>
      <w:r w:rsidRPr="00961E0F">
        <w:rPr>
          <w:color w:val="000000"/>
          <w:szCs w:val="22"/>
        </w:rPr>
        <w:t>α</w:t>
      </w:r>
      <w:r w:rsidRPr="00961E0F">
        <w:rPr>
          <w:color w:val="000000"/>
          <w:szCs w:val="22"/>
          <w:lang w:val="fr-FR"/>
        </w:rPr>
        <w:t xml:space="preserve"> a été identifiée chez 61 des 117 patients. Quatre autres patients atteints de SHE rapportés dans 3 publications étaient FIP1L1-PDGFR</w:t>
      </w:r>
      <w:r w:rsidRPr="00961E0F">
        <w:rPr>
          <w:color w:val="000000"/>
          <w:szCs w:val="22"/>
        </w:rPr>
        <w:t>α</w:t>
      </w:r>
      <w:r w:rsidRPr="00961E0F">
        <w:rPr>
          <w:color w:val="000000"/>
          <w:szCs w:val="22"/>
          <w:lang w:val="fr-FR"/>
        </w:rPr>
        <w:t xml:space="preserve"> positifs. Les 65 patients avec la protéine de fusion FIP1L1-PDGFR</w:t>
      </w:r>
      <w:r w:rsidRPr="00961E0F">
        <w:rPr>
          <w:color w:val="000000"/>
          <w:szCs w:val="22"/>
        </w:rPr>
        <w:t>α</w:t>
      </w:r>
      <w:r w:rsidRPr="00961E0F">
        <w:rPr>
          <w:color w:val="000000"/>
          <w:szCs w:val="22"/>
          <w:lang w:val="fr-FR"/>
        </w:rPr>
        <w:t xml:space="preserve"> ont atteint une RHC maintenue pendant des mois (de plus d’un mois à 44 mois censurés à la date du rapport). Comme cela a été rapporté dans une publication récente, 21 des 65 patients ont aussi présenté une rémission moléculaire avec une durée médiane de suivi de 28 mois (13 à 67 mois). L’âge de ces patients allait de 25 à 72 ans. De plus, les investigateurs ont rapporté dans ces observations individuelles des améliorations de la symptomatologie et des dysfonctionnements d’autres organes. Les améliorations ont été observées sur les groupe d’organe cardiaque, nerveux, cutané/sous-cutané, respiratoire/thoracique/médiastinal, musculosquelettique/tissu conjonctif/vasculaire, gastro-intestinal.</w:t>
      </w:r>
    </w:p>
    <w:p w14:paraId="58C23017" w14:textId="77777777" w:rsidR="007D642D" w:rsidRPr="00961E0F" w:rsidRDefault="007D642D">
      <w:pPr>
        <w:pStyle w:val="EndnoteText"/>
        <w:widowControl w:val="0"/>
        <w:rPr>
          <w:color w:val="000000"/>
          <w:szCs w:val="22"/>
          <w:lang w:val="fr-FR"/>
        </w:rPr>
      </w:pPr>
    </w:p>
    <w:p w14:paraId="2CBBCDCE" w14:textId="77777777" w:rsidR="007D642D" w:rsidRPr="00961E0F" w:rsidRDefault="007D642D">
      <w:pPr>
        <w:pStyle w:val="EndnoteText"/>
        <w:widowControl w:val="0"/>
        <w:rPr>
          <w:color w:val="000000"/>
          <w:szCs w:val="22"/>
          <w:lang w:val="fr-FR"/>
        </w:rPr>
      </w:pPr>
      <w:r w:rsidRPr="00961E0F">
        <w:rPr>
          <w:color w:val="000000"/>
          <w:szCs w:val="22"/>
          <w:lang w:val="fr-FR"/>
        </w:rPr>
        <w:t>Il n’existe pas d’étude clinique contrôlée chez les patients pédiatriques atteints de SHE/LCE. Trois (3) cas de patients atteints de SHE/LCE associés à des réarrangements du gène PDGFR ont été rapportés dans 3 publications. L’âge de ces patients allait de 2 à 16 ans et l’imatinib était administré à une posologie de 300 mg/m² par jour ou comprise entre 200 et 400 mg par jour. Tous les patients ont atteint une réponse hématologique complète, une réponse cytogénétique complète, et/ou une réponse moléculaire complète.</w:t>
      </w:r>
    </w:p>
    <w:p w14:paraId="3BD31D72" w14:textId="77777777" w:rsidR="007D642D" w:rsidRPr="00961E0F" w:rsidRDefault="007D642D">
      <w:pPr>
        <w:pStyle w:val="EndnoteText"/>
        <w:widowControl w:val="0"/>
        <w:rPr>
          <w:color w:val="000000"/>
          <w:szCs w:val="22"/>
          <w:lang w:val="fr-FR"/>
        </w:rPr>
      </w:pPr>
    </w:p>
    <w:p w14:paraId="2D1D6E70" w14:textId="77777777" w:rsidR="007D642D" w:rsidRPr="00961E0F" w:rsidRDefault="007D642D" w:rsidP="00B15424">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les GIST non resécables et/ou métastatiques</w:t>
      </w:r>
    </w:p>
    <w:p w14:paraId="5D22983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Une étude de Phase II, internationale, randomisée, en ouvert et non contrôlée a été conduite chez des patients atteints de tumeurs stromales gastro-intestinales (GIST) malignes non résécables ou </w:t>
      </w:r>
      <w:r w:rsidRPr="00961E0F">
        <w:rPr>
          <w:color w:val="000000"/>
          <w:szCs w:val="22"/>
          <w:lang w:val="fr-FR"/>
        </w:rPr>
        <w:lastRenderedPageBreak/>
        <w:t>métastatiques. Dans cette étude, 147 patients ont été inclus et randomisés pour recevoir soit 400 mg soit 600 mg de Glivec par jour par voie orale pour une durée pouvant atteindre 36 mois. Ces patients étaient âgés de 18 à 83 ans et ils avaient un diagnostic pathologique de GIST malignes Kit-positives, non résécables et/ou métastatiques. Le dosage immunohistochimique a été réalisé en routine avec des anticorps antiKit (A-4502, antisérum polyclonal de lapin, 1:100 ; DAKO Corporation, Carpinteria, CA) par la méthode utilisant le complexe peroxidase-biotine-avidine après marquage de l’antigène.</w:t>
      </w:r>
    </w:p>
    <w:p w14:paraId="1336C53C" w14:textId="77777777" w:rsidR="007D642D" w:rsidRPr="00961E0F" w:rsidRDefault="007D642D">
      <w:pPr>
        <w:pStyle w:val="EndnoteText"/>
        <w:widowControl w:val="0"/>
        <w:tabs>
          <w:tab w:val="clear" w:pos="567"/>
        </w:tabs>
        <w:rPr>
          <w:color w:val="000000"/>
          <w:szCs w:val="22"/>
          <w:lang w:val="fr-FR"/>
        </w:rPr>
      </w:pPr>
    </w:p>
    <w:p w14:paraId="3739524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critère principal d'efficacité était basé sur les taux de réponses objectives. Les tumeurs devaient être mesurables pour au moins un site de la maladie et la caractérisation de la réponse était basée sur les critères du Southwestern Oncology Group (SWOG). Les résultats sont présentés dans le Tableau </w:t>
      </w:r>
      <w:r w:rsidR="00C0508D" w:rsidRPr="00961E0F">
        <w:rPr>
          <w:color w:val="000000"/>
          <w:szCs w:val="22"/>
          <w:lang w:val="fr-FR"/>
        </w:rPr>
        <w:t>6</w:t>
      </w:r>
      <w:r w:rsidRPr="00961E0F">
        <w:rPr>
          <w:color w:val="000000"/>
          <w:szCs w:val="22"/>
          <w:lang w:val="fr-FR"/>
        </w:rPr>
        <w:t>.</w:t>
      </w:r>
    </w:p>
    <w:p w14:paraId="2D176D6D" w14:textId="77777777" w:rsidR="007D642D" w:rsidRPr="00961E0F" w:rsidRDefault="007D642D">
      <w:pPr>
        <w:pStyle w:val="EndnoteText"/>
        <w:widowControl w:val="0"/>
        <w:tabs>
          <w:tab w:val="clear" w:pos="567"/>
        </w:tabs>
        <w:rPr>
          <w:color w:val="000000"/>
          <w:szCs w:val="22"/>
          <w:lang w:val="fr-FR"/>
        </w:rPr>
      </w:pPr>
    </w:p>
    <w:p w14:paraId="76CDC86F" w14:textId="77777777" w:rsidR="007D642D" w:rsidRPr="00961E0F" w:rsidRDefault="007D642D" w:rsidP="00B92E0B">
      <w:pPr>
        <w:pStyle w:val="EndnoteText"/>
        <w:keepNext/>
        <w:widowControl w:val="0"/>
        <w:tabs>
          <w:tab w:val="clear" w:pos="567"/>
          <w:tab w:val="left" w:pos="1134"/>
        </w:tabs>
        <w:ind w:left="1134" w:hanging="1134"/>
        <w:rPr>
          <w:b/>
          <w:color w:val="000000"/>
          <w:szCs w:val="22"/>
          <w:lang w:val="fr-FR"/>
        </w:rPr>
      </w:pPr>
      <w:r w:rsidRPr="00961E0F">
        <w:rPr>
          <w:b/>
          <w:color w:val="000000"/>
          <w:szCs w:val="22"/>
          <w:lang w:val="fr-FR"/>
        </w:rPr>
        <w:t>Tableau </w:t>
      </w:r>
      <w:r w:rsidR="00C0508D" w:rsidRPr="00961E0F">
        <w:rPr>
          <w:b/>
          <w:color w:val="000000"/>
          <w:szCs w:val="22"/>
          <w:lang w:val="fr-FR"/>
        </w:rPr>
        <w:t>6</w:t>
      </w:r>
      <w:r w:rsidRPr="00961E0F">
        <w:rPr>
          <w:b/>
          <w:color w:val="000000"/>
          <w:szCs w:val="22"/>
          <w:lang w:val="fr-FR"/>
        </w:rPr>
        <w:tab/>
        <w:t>Meilleure réponse tumorale dans l'essai STIB2222 (GIST)</w:t>
      </w:r>
    </w:p>
    <w:p w14:paraId="4F8F425C" w14:textId="77777777" w:rsidR="007D642D" w:rsidRPr="00961E0F" w:rsidRDefault="007D642D" w:rsidP="00B92E0B">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7D642D" w:rsidRPr="00961E0F" w14:paraId="2F869C5F" w14:textId="77777777" w:rsidTr="00B92E0B">
        <w:trPr>
          <w:cantSplit/>
        </w:trPr>
        <w:tc>
          <w:tcPr>
            <w:tcW w:w="4605" w:type="dxa"/>
          </w:tcPr>
          <w:p w14:paraId="45F19CF6" w14:textId="77777777" w:rsidR="007D642D" w:rsidRPr="00961E0F" w:rsidRDefault="007D642D" w:rsidP="00B92E0B">
            <w:pPr>
              <w:pStyle w:val="EndnoteText"/>
              <w:keepNext/>
              <w:widowControl w:val="0"/>
              <w:tabs>
                <w:tab w:val="clear" w:pos="567"/>
              </w:tabs>
              <w:rPr>
                <w:color w:val="000000"/>
                <w:szCs w:val="22"/>
                <w:lang w:val="fr-FR"/>
              </w:rPr>
            </w:pPr>
          </w:p>
          <w:p w14:paraId="611F6587" w14:textId="77777777" w:rsidR="007D642D" w:rsidRPr="00961E0F" w:rsidRDefault="007D642D" w:rsidP="00B92E0B">
            <w:pPr>
              <w:pStyle w:val="EndnoteText"/>
              <w:keepNext/>
              <w:widowControl w:val="0"/>
              <w:tabs>
                <w:tab w:val="clear" w:pos="567"/>
              </w:tabs>
              <w:rPr>
                <w:color w:val="000000"/>
                <w:szCs w:val="22"/>
                <w:lang w:val="fr-FR"/>
              </w:rPr>
            </w:pPr>
          </w:p>
          <w:p w14:paraId="0C86D5EC" w14:textId="77777777" w:rsidR="007D642D" w:rsidRPr="00961E0F" w:rsidRDefault="007D642D" w:rsidP="00B92E0B">
            <w:pPr>
              <w:pStyle w:val="EndnoteText"/>
              <w:keepNext/>
              <w:widowControl w:val="0"/>
              <w:tabs>
                <w:tab w:val="clear" w:pos="567"/>
              </w:tabs>
              <w:rPr>
                <w:color w:val="000000"/>
                <w:szCs w:val="22"/>
                <w:lang w:val="fr-FR"/>
              </w:rPr>
            </w:pPr>
          </w:p>
          <w:p w14:paraId="2BC96519"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Meilleure réponse</w:t>
            </w:r>
          </w:p>
        </w:tc>
        <w:tc>
          <w:tcPr>
            <w:tcW w:w="4605" w:type="dxa"/>
          </w:tcPr>
          <w:p w14:paraId="683849EB" w14:textId="77777777" w:rsidR="007D642D" w:rsidRPr="00961E0F" w:rsidRDefault="007D642D" w:rsidP="00B92E0B">
            <w:pPr>
              <w:pStyle w:val="EndnoteText"/>
              <w:keepNext/>
              <w:widowControl w:val="0"/>
              <w:tabs>
                <w:tab w:val="clear" w:pos="567"/>
              </w:tabs>
              <w:jc w:val="center"/>
              <w:rPr>
                <w:color w:val="000000"/>
                <w:szCs w:val="22"/>
                <w:lang w:val="fr-FR"/>
              </w:rPr>
            </w:pPr>
            <w:r w:rsidRPr="00961E0F">
              <w:rPr>
                <w:color w:val="000000"/>
                <w:szCs w:val="22"/>
                <w:lang w:val="fr-FR"/>
              </w:rPr>
              <w:t>Toutes les doses (n = 147)</w:t>
            </w:r>
          </w:p>
          <w:p w14:paraId="5278B468" w14:textId="77777777" w:rsidR="007D642D" w:rsidRPr="00961E0F" w:rsidRDefault="007D642D" w:rsidP="00B92E0B">
            <w:pPr>
              <w:pStyle w:val="EndnoteText"/>
              <w:keepNext/>
              <w:widowControl w:val="0"/>
              <w:tabs>
                <w:tab w:val="clear" w:pos="567"/>
              </w:tabs>
              <w:jc w:val="center"/>
              <w:rPr>
                <w:color w:val="000000"/>
                <w:szCs w:val="22"/>
                <w:lang w:val="fr-FR"/>
              </w:rPr>
            </w:pPr>
            <w:r w:rsidRPr="00961E0F">
              <w:rPr>
                <w:color w:val="000000"/>
                <w:szCs w:val="22"/>
                <w:lang w:val="fr-FR"/>
              </w:rPr>
              <w:t>400 mg (n = 73)</w:t>
            </w:r>
          </w:p>
          <w:p w14:paraId="7BADD32B" w14:textId="77777777" w:rsidR="007D642D" w:rsidRPr="00961E0F" w:rsidRDefault="007D642D" w:rsidP="00B92E0B">
            <w:pPr>
              <w:pStyle w:val="EndnoteText"/>
              <w:keepNext/>
              <w:widowControl w:val="0"/>
              <w:tabs>
                <w:tab w:val="clear" w:pos="567"/>
              </w:tabs>
              <w:jc w:val="center"/>
              <w:rPr>
                <w:color w:val="000000"/>
                <w:szCs w:val="22"/>
                <w:lang w:val="fr-FR"/>
              </w:rPr>
            </w:pPr>
            <w:r w:rsidRPr="00961E0F">
              <w:rPr>
                <w:color w:val="000000"/>
                <w:szCs w:val="22"/>
                <w:lang w:val="fr-FR"/>
              </w:rPr>
              <w:t>600 mg (n = 74)</w:t>
            </w:r>
          </w:p>
          <w:p w14:paraId="568B0D35" w14:textId="77777777" w:rsidR="007D642D" w:rsidRPr="00961E0F" w:rsidRDefault="007D642D" w:rsidP="00B92E0B">
            <w:pPr>
              <w:pStyle w:val="EndnoteText"/>
              <w:keepNext/>
              <w:widowControl w:val="0"/>
              <w:tabs>
                <w:tab w:val="clear" w:pos="567"/>
              </w:tabs>
              <w:jc w:val="center"/>
              <w:rPr>
                <w:color w:val="000000"/>
                <w:szCs w:val="22"/>
                <w:lang w:val="fr-FR"/>
              </w:rPr>
            </w:pPr>
            <w:r w:rsidRPr="00961E0F">
              <w:rPr>
                <w:color w:val="000000"/>
                <w:szCs w:val="22"/>
                <w:lang w:val="fr-FR"/>
              </w:rPr>
              <w:t>n (%)</w:t>
            </w:r>
          </w:p>
        </w:tc>
      </w:tr>
      <w:tr w:rsidR="007D642D" w:rsidRPr="00961E0F" w14:paraId="488F95D4" w14:textId="77777777" w:rsidTr="00B92E0B">
        <w:trPr>
          <w:cantSplit/>
        </w:trPr>
        <w:tc>
          <w:tcPr>
            <w:tcW w:w="4605" w:type="dxa"/>
          </w:tcPr>
          <w:p w14:paraId="5A29B47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Réponse complète</w:t>
            </w:r>
          </w:p>
          <w:p w14:paraId="0CFE004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Réponse partielle</w:t>
            </w:r>
          </w:p>
          <w:p w14:paraId="075E11C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Stabilisation de la maladie</w:t>
            </w:r>
          </w:p>
          <w:p w14:paraId="3EDC61D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Progression de la maladie</w:t>
            </w:r>
          </w:p>
          <w:p w14:paraId="27A28CE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Non évaluable</w:t>
            </w:r>
          </w:p>
          <w:p w14:paraId="2204A0A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Inconnu</w:t>
            </w:r>
          </w:p>
        </w:tc>
        <w:tc>
          <w:tcPr>
            <w:tcW w:w="4605" w:type="dxa"/>
          </w:tcPr>
          <w:p w14:paraId="26934676"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1 (0,7)</w:t>
            </w:r>
          </w:p>
          <w:p w14:paraId="7B02EE03"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98 (66,7)</w:t>
            </w:r>
          </w:p>
          <w:p w14:paraId="3A71DE6E"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23 (15,6)</w:t>
            </w:r>
          </w:p>
          <w:p w14:paraId="3D6EE6D2"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18 (12,2)</w:t>
            </w:r>
          </w:p>
          <w:p w14:paraId="6299DD5B"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5 (3,4)</w:t>
            </w:r>
          </w:p>
          <w:p w14:paraId="43CDC872" w14:textId="77777777" w:rsidR="007D642D" w:rsidRPr="00961E0F" w:rsidRDefault="007D642D">
            <w:pPr>
              <w:pStyle w:val="EndnoteText"/>
              <w:widowControl w:val="0"/>
              <w:tabs>
                <w:tab w:val="clear" w:pos="567"/>
              </w:tabs>
              <w:jc w:val="center"/>
              <w:rPr>
                <w:color w:val="000000"/>
                <w:szCs w:val="22"/>
                <w:lang w:val="fr-FR"/>
              </w:rPr>
            </w:pPr>
            <w:r w:rsidRPr="00961E0F">
              <w:rPr>
                <w:color w:val="000000"/>
                <w:szCs w:val="22"/>
                <w:lang w:val="fr-FR"/>
              </w:rPr>
              <w:t>2 (1,4)</w:t>
            </w:r>
          </w:p>
        </w:tc>
      </w:tr>
    </w:tbl>
    <w:p w14:paraId="4773CCBE" w14:textId="77777777" w:rsidR="007D642D" w:rsidRPr="00961E0F" w:rsidRDefault="007D642D">
      <w:pPr>
        <w:pStyle w:val="EndnoteText"/>
        <w:widowControl w:val="0"/>
        <w:tabs>
          <w:tab w:val="clear" w:pos="567"/>
        </w:tabs>
        <w:rPr>
          <w:color w:val="000000"/>
          <w:szCs w:val="22"/>
          <w:lang w:val="fr-FR"/>
        </w:rPr>
      </w:pPr>
    </w:p>
    <w:p w14:paraId="40826FF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Aucune différence des taux de réponses n'a été observée entre les deux groupes de dose. Un nombre important de patients qui présentaient une stabilisation de la maladie au moment de l'analyse intermédiaire a atteint une réponse partielle après une durée plus longue de traitement (médiane de suivi de 31 mois). La durée médiane pour obtenir une réponse était de 13 semaines (95%IC 12–23). La durée médiane jusqu’à échec du traitement chez les répondeurs était de 122 semaines (95%IC 106–147) alors que pour la population totale de l’étude, elle était de 84 semaines (95%IC 71–109). La durée médiane de survie globale n’a pas été atteinte. Après un suivi de 36 mois l’estimation selon Kaplan-Meier du taux de survie est de 68%.</w:t>
      </w:r>
    </w:p>
    <w:p w14:paraId="670F0404" w14:textId="77777777" w:rsidR="007D642D" w:rsidRPr="00961E0F" w:rsidRDefault="007D642D">
      <w:pPr>
        <w:pStyle w:val="EndnoteText"/>
        <w:widowControl w:val="0"/>
        <w:tabs>
          <w:tab w:val="clear" w:pos="567"/>
        </w:tabs>
        <w:rPr>
          <w:color w:val="000000"/>
          <w:szCs w:val="22"/>
          <w:lang w:val="fr-FR"/>
        </w:rPr>
      </w:pPr>
    </w:p>
    <w:p w14:paraId="4619F5C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Dans les deux études cliniques (étude B2222 et étude intergroupe S0033), la dose quotidienne de Glivec a été augmentée à 800 mg chez les patients qui progressaient aux plus faibles doses de 400 mg ou 600 mg par jour. Au total 103 patients ont eu une augmentation de doses à 800 mg : 6 patients ont atteint une réponse partielle et 21 une stabilisation de leur maladie après augmentation de la dose pour un bénéfice clinique global de 26%. Sur la base des données de tolérance disponibles, l’augmentation de dose quotidienne à 800 mg chez des patients progressant aux plus faibles doses de 400 mg ou 600 mg par jour ne semble pas affecter le profil de sécurité d’emploi de Glivec.</w:t>
      </w:r>
    </w:p>
    <w:p w14:paraId="6CF5C0F5" w14:textId="77777777" w:rsidR="007D642D" w:rsidRPr="00961E0F" w:rsidRDefault="007D642D">
      <w:pPr>
        <w:pStyle w:val="EndnoteText"/>
        <w:widowControl w:val="0"/>
        <w:tabs>
          <w:tab w:val="clear" w:pos="567"/>
        </w:tabs>
        <w:rPr>
          <w:color w:val="000000"/>
          <w:szCs w:val="22"/>
          <w:lang w:val="fr-FR"/>
        </w:rPr>
      </w:pPr>
    </w:p>
    <w:p w14:paraId="2AF85AA9"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Etude</w:t>
      </w:r>
      <w:r w:rsidR="00C74A0B" w:rsidRPr="00961E0F">
        <w:rPr>
          <w:color w:val="000000"/>
          <w:szCs w:val="22"/>
          <w:u w:val="single"/>
          <w:lang w:val="fr-FR"/>
        </w:rPr>
        <w:t>s</w:t>
      </w:r>
      <w:r w:rsidRPr="00961E0F">
        <w:rPr>
          <w:color w:val="000000"/>
          <w:szCs w:val="22"/>
          <w:u w:val="single"/>
          <w:lang w:val="fr-FR"/>
        </w:rPr>
        <w:t xml:space="preserve"> clinique</w:t>
      </w:r>
      <w:r w:rsidR="00FB535D" w:rsidRPr="00961E0F">
        <w:rPr>
          <w:color w:val="000000"/>
          <w:szCs w:val="22"/>
          <w:u w:val="single"/>
          <w:lang w:val="fr-FR"/>
        </w:rPr>
        <w:t>s</w:t>
      </w:r>
      <w:r w:rsidRPr="00961E0F">
        <w:rPr>
          <w:color w:val="000000"/>
          <w:szCs w:val="22"/>
          <w:u w:val="single"/>
          <w:lang w:val="fr-FR"/>
        </w:rPr>
        <w:t xml:space="preserve"> dans le traitement adjuvant des GIST</w:t>
      </w:r>
    </w:p>
    <w:p w14:paraId="14BACF5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Dans le cadre du traitement adjuvant, Glivec a été étudié dans une étude clinique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multicentrique contrôlée menée en double aveugle </w:t>
      </w:r>
      <w:r w:rsidRPr="00961E0F">
        <w:rPr>
          <w:i/>
          <w:color w:val="000000"/>
          <w:szCs w:val="22"/>
          <w:lang w:val="fr-FR"/>
        </w:rPr>
        <w:t>versus</w:t>
      </w:r>
      <w:r w:rsidRPr="00961E0F">
        <w:rPr>
          <w:color w:val="000000"/>
          <w:szCs w:val="22"/>
          <w:lang w:val="fr-FR"/>
        </w:rPr>
        <w:t xml:space="preserve"> placebo (Z9001) impliquant 773 patients. Leur âge était de 18 à 91 ans. Les patients inclus avaient eu un diagnostic histologique confirmé de GIST avec immunohistochimie positive pour Kit et une taille tumorale </w:t>
      </w:r>
      <w:r w:rsidRPr="00961E0F">
        <w:rPr>
          <w:color w:val="000000"/>
          <w:szCs w:val="22"/>
          <w:lang w:val="fr-FR"/>
        </w:rPr>
        <w:sym w:font="Symbol" w:char="F0B3"/>
      </w:r>
      <w:r w:rsidRPr="00961E0F">
        <w:rPr>
          <w:color w:val="000000"/>
          <w:szCs w:val="22"/>
          <w:lang w:val="fr-FR"/>
        </w:rPr>
        <w:t>3 cm au maximum, avec une résection complète de la masse tumorale dans les 14 à 70 jours précédents l’inclusion. Après la résection du GIST primaire, les patients étaient randomisés dans l’un des deux bras : Glivec à 400 mg/j ou le placebo correspondant pendant un an.</w:t>
      </w:r>
    </w:p>
    <w:p w14:paraId="5DB16DE2" w14:textId="77777777" w:rsidR="007D642D" w:rsidRPr="00961E0F" w:rsidRDefault="007D642D">
      <w:pPr>
        <w:pStyle w:val="EndnoteText"/>
        <w:widowControl w:val="0"/>
        <w:tabs>
          <w:tab w:val="clear" w:pos="567"/>
        </w:tabs>
        <w:rPr>
          <w:color w:val="000000"/>
          <w:szCs w:val="22"/>
          <w:lang w:val="fr-FR"/>
        </w:rPr>
      </w:pPr>
    </w:p>
    <w:p w14:paraId="7AD16E2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critère primaire de l’étude était la survie sans rechute, définie comme le délai entre la date de randomisation jusqu’à la date d’une rechute ou d’un décés quelle que soit la cause.</w:t>
      </w:r>
    </w:p>
    <w:p w14:paraId="4F7C0CC9" w14:textId="77777777" w:rsidR="007D642D" w:rsidRPr="00961E0F" w:rsidRDefault="007D642D">
      <w:pPr>
        <w:pStyle w:val="EndnoteText"/>
        <w:widowControl w:val="0"/>
        <w:tabs>
          <w:tab w:val="clear" w:pos="567"/>
        </w:tabs>
        <w:rPr>
          <w:color w:val="000000"/>
          <w:szCs w:val="22"/>
          <w:lang w:val="fr-FR"/>
        </w:rPr>
      </w:pPr>
    </w:p>
    <w:p w14:paraId="6503587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Glivec a prolongé significativement la survie sans rechute, 75% des patients étaient sans rechute à 38 mois dans le groupe Glivec versus 20 mois dans le groupe placebo (95%ICs [30- non estimable] ; [14- non estimable], respectivement) : (hazard ratio = 0,398 [0,259</w:t>
      </w:r>
      <w:r w:rsidRPr="00961E0F">
        <w:rPr>
          <w:color w:val="000000"/>
          <w:szCs w:val="22"/>
          <w:lang w:val="fr-FR"/>
        </w:rPr>
        <w:noBreakHyphen/>
        <w:t xml:space="preserve">0,610], p&lt;0.0001). A un an la survie sans rechute globale était significativement meilleure pour Glivec (97,7%) </w:t>
      </w:r>
      <w:r w:rsidRPr="00961E0F">
        <w:rPr>
          <w:i/>
          <w:color w:val="000000"/>
          <w:szCs w:val="22"/>
          <w:lang w:val="fr-FR"/>
        </w:rPr>
        <w:t>versus</w:t>
      </w:r>
      <w:r w:rsidRPr="00961E0F">
        <w:rPr>
          <w:color w:val="000000"/>
          <w:szCs w:val="22"/>
          <w:lang w:val="fr-FR"/>
        </w:rPr>
        <w:t xml:space="preserve"> placebo </w:t>
      </w:r>
      <w:r w:rsidRPr="00961E0F">
        <w:rPr>
          <w:color w:val="000000"/>
          <w:szCs w:val="22"/>
          <w:lang w:val="fr-FR"/>
        </w:rPr>
        <w:lastRenderedPageBreak/>
        <w:t>(82,3%), (p&lt;0,0001). Le risque de rechute était réduit de 89% approximativement par comparaison au placebo (hazard ratio = 0,113 [0,049</w:t>
      </w:r>
      <w:r w:rsidRPr="00961E0F">
        <w:rPr>
          <w:color w:val="000000"/>
          <w:szCs w:val="22"/>
          <w:lang w:val="fr-FR"/>
        </w:rPr>
        <w:noBreakHyphen/>
        <w:t>0,264]).</w:t>
      </w:r>
    </w:p>
    <w:p w14:paraId="4C654763" w14:textId="77777777" w:rsidR="007D642D" w:rsidRPr="00961E0F" w:rsidRDefault="007D642D">
      <w:pPr>
        <w:pStyle w:val="EndnoteText"/>
        <w:widowControl w:val="0"/>
        <w:tabs>
          <w:tab w:val="clear" w:pos="567"/>
        </w:tabs>
        <w:rPr>
          <w:color w:val="000000"/>
          <w:szCs w:val="22"/>
          <w:lang w:val="fr-FR"/>
        </w:rPr>
      </w:pPr>
    </w:p>
    <w:p w14:paraId="6470745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risque de rechute après chirurgie chez des patients atteints de GISTa été évalué rétrospectivement en fonction des facteurs pronostiques suivants : taille de la tumeur, index mitotique, localisation de la tumeur. Les valeurs de l’index mitotique étaient disponibles chez 556 patients sur les 713 patients de la population en intention de traiter (</w:t>
      </w:r>
      <w:smartTag w:uri="urn:schemas-microsoft-com:office:smarttags" w:element="stockticker">
        <w:r w:rsidRPr="00961E0F">
          <w:rPr>
            <w:color w:val="000000"/>
            <w:szCs w:val="22"/>
            <w:lang w:val="fr-FR"/>
          </w:rPr>
          <w:t>ITT</w:t>
        </w:r>
      </w:smartTag>
      <w:r w:rsidRPr="00961E0F">
        <w:rPr>
          <w:color w:val="000000"/>
          <w:szCs w:val="22"/>
          <w:lang w:val="fr-FR"/>
        </w:rPr>
        <w:t>). Les résultats de l’analyse en sous-groupes selon les classifications de risque NIH « United States National Institutes of Health » et AFIP « Armed Forces Institute of Pathology » sont présentés dans le Tableau </w:t>
      </w:r>
      <w:r w:rsidR="00C0508D" w:rsidRPr="00961E0F">
        <w:rPr>
          <w:color w:val="000000"/>
          <w:szCs w:val="22"/>
          <w:lang w:val="fr-FR"/>
        </w:rPr>
        <w:t>7</w:t>
      </w:r>
      <w:r w:rsidRPr="00961E0F">
        <w:rPr>
          <w:color w:val="000000"/>
          <w:szCs w:val="22"/>
          <w:lang w:val="fr-FR"/>
        </w:rPr>
        <w:t>. Aucun bénéfice n’a été observé dans les groupes à faible et très faible risque. Il n’a pas été observé de bénéfice sur la survie globale.</w:t>
      </w:r>
    </w:p>
    <w:p w14:paraId="492CCDA1" w14:textId="77777777" w:rsidR="007D642D" w:rsidRPr="00961E0F" w:rsidRDefault="007D642D">
      <w:pPr>
        <w:pStyle w:val="EndnoteText"/>
        <w:widowControl w:val="0"/>
        <w:tabs>
          <w:tab w:val="clear" w:pos="567"/>
        </w:tabs>
        <w:rPr>
          <w:color w:val="000000"/>
          <w:szCs w:val="22"/>
          <w:lang w:val="fr-FR"/>
        </w:rPr>
      </w:pPr>
    </w:p>
    <w:p w14:paraId="56D97C05" w14:textId="77777777" w:rsidR="007D642D" w:rsidRPr="00961E0F" w:rsidRDefault="007D642D" w:rsidP="00B92E0B">
      <w:pPr>
        <w:pStyle w:val="Heading6"/>
        <w:keepLines/>
        <w:tabs>
          <w:tab w:val="left" w:pos="1134"/>
        </w:tabs>
        <w:ind w:left="1134" w:hanging="1134"/>
        <w:rPr>
          <w:rFonts w:eastAsia="MS Mincho"/>
          <w:bCs/>
          <w:iCs/>
          <w:color w:val="000000"/>
          <w:szCs w:val="22"/>
          <w:lang w:eastAsia="ja-JP"/>
        </w:rPr>
      </w:pPr>
      <w:r w:rsidRPr="00961E0F">
        <w:rPr>
          <w:rFonts w:eastAsia="MS Mincho"/>
          <w:bCs/>
          <w:iCs/>
          <w:color w:val="000000"/>
          <w:szCs w:val="22"/>
          <w:lang w:eastAsia="ja-JP"/>
        </w:rPr>
        <w:t>Tableau </w:t>
      </w:r>
      <w:r w:rsidR="00C0508D" w:rsidRPr="00961E0F">
        <w:rPr>
          <w:rFonts w:eastAsia="MS Mincho"/>
          <w:bCs/>
          <w:iCs/>
          <w:color w:val="000000"/>
          <w:szCs w:val="22"/>
          <w:lang w:eastAsia="ja-JP"/>
        </w:rPr>
        <w:t>7</w:t>
      </w:r>
      <w:r w:rsidRPr="00961E0F">
        <w:rPr>
          <w:rFonts w:eastAsia="MS Mincho"/>
          <w:bCs/>
          <w:iCs/>
          <w:color w:val="000000"/>
          <w:szCs w:val="22"/>
          <w:lang w:eastAsia="ja-JP"/>
        </w:rPr>
        <w:tab/>
        <w:t>Résumé des resultats de l’analyse de la survie sans rechute selon les classifications NIH et AFIP de l’étude Z9001</w:t>
      </w:r>
    </w:p>
    <w:p w14:paraId="7077A02F" w14:textId="77777777" w:rsidR="007D642D" w:rsidRPr="00961E0F" w:rsidRDefault="007D642D" w:rsidP="00B92E0B">
      <w:pPr>
        <w:keepNext/>
        <w:widowControl w:val="0"/>
        <w:rPr>
          <w:rFonts w:ascii="Times New Roman" w:eastAsia="MS Mincho" w:hAnsi="Times New Roman"/>
          <w:color w:val="000000"/>
          <w:lang w:eastAsia="ja-JP"/>
        </w:rPr>
      </w:pPr>
    </w:p>
    <w:tbl>
      <w:tblPr>
        <w:tblW w:w="10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417"/>
        <w:gridCol w:w="986"/>
        <w:gridCol w:w="2083"/>
        <w:gridCol w:w="1800"/>
        <w:gridCol w:w="1440"/>
        <w:gridCol w:w="1360"/>
      </w:tblGrid>
      <w:tr w:rsidR="007D642D" w:rsidRPr="00961E0F" w14:paraId="0B13F9C0" w14:textId="77777777" w:rsidTr="00B92E0B">
        <w:trPr>
          <w:cantSplit/>
        </w:trPr>
        <w:tc>
          <w:tcPr>
            <w:tcW w:w="1101" w:type="dxa"/>
            <w:vMerge w:val="restart"/>
          </w:tcPr>
          <w:p w14:paraId="38491925" w14:textId="77777777" w:rsidR="007D642D" w:rsidRPr="00961E0F" w:rsidRDefault="007D642D" w:rsidP="00B92E0B">
            <w:pPr>
              <w:pStyle w:val="Table"/>
              <w:keepLines w:val="0"/>
              <w:widowControl w:val="0"/>
              <w:tabs>
                <w:tab w:val="left" w:pos="567"/>
              </w:tabs>
              <w:spacing w:before="120"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Critèresde risque</w:t>
            </w:r>
          </w:p>
        </w:tc>
        <w:tc>
          <w:tcPr>
            <w:tcW w:w="1417" w:type="dxa"/>
            <w:vMerge w:val="restart"/>
            <w:tcBorders>
              <w:right w:val="single" w:sz="4" w:space="0" w:color="auto"/>
            </w:tcBorders>
          </w:tcPr>
          <w:p w14:paraId="675673D6" w14:textId="77777777" w:rsidR="007D642D" w:rsidRPr="00961E0F" w:rsidRDefault="007D642D" w:rsidP="00B92E0B">
            <w:pPr>
              <w:pStyle w:val="Table"/>
              <w:keepLines w:val="0"/>
              <w:widowControl w:val="0"/>
              <w:tabs>
                <w:tab w:val="left" w:pos="567"/>
              </w:tabs>
              <w:spacing w:before="120" w:line="260" w:lineRule="exact"/>
              <w:rPr>
                <w:rFonts w:ascii="Times New Roman" w:hAnsi="Times New Roman"/>
                <w:b/>
                <w:color w:val="000000"/>
                <w:sz w:val="22"/>
                <w:szCs w:val="22"/>
              </w:rPr>
            </w:pPr>
            <w:r w:rsidRPr="00961E0F">
              <w:rPr>
                <w:rFonts w:ascii="Times New Roman" w:hAnsi="Times New Roman"/>
                <w:b/>
                <w:color w:val="000000"/>
                <w:sz w:val="22"/>
                <w:szCs w:val="22"/>
              </w:rPr>
              <w:t>Risque</w:t>
            </w:r>
          </w:p>
        </w:tc>
        <w:tc>
          <w:tcPr>
            <w:tcW w:w="986" w:type="dxa"/>
            <w:vMerge w:val="restart"/>
            <w:tcBorders>
              <w:left w:val="single" w:sz="4" w:space="0" w:color="auto"/>
              <w:right w:val="single" w:sz="4" w:space="0" w:color="auto"/>
            </w:tcBorders>
          </w:tcPr>
          <w:p w14:paraId="7AA6B8F2" w14:textId="77777777" w:rsidR="007D642D" w:rsidRPr="00961E0F" w:rsidRDefault="007D642D" w:rsidP="00B92E0B">
            <w:pPr>
              <w:pStyle w:val="Table"/>
              <w:keepLines w:val="0"/>
              <w:widowControl w:val="0"/>
              <w:tabs>
                <w:tab w:val="left" w:pos="567"/>
              </w:tabs>
              <w:spacing w:before="120"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 of patients</w:t>
            </w:r>
          </w:p>
        </w:tc>
        <w:tc>
          <w:tcPr>
            <w:tcW w:w="2083" w:type="dxa"/>
            <w:vMerge w:val="restart"/>
            <w:tcBorders>
              <w:left w:val="single" w:sz="4" w:space="0" w:color="auto"/>
              <w:right w:val="single" w:sz="4" w:space="0" w:color="auto"/>
            </w:tcBorders>
          </w:tcPr>
          <w:p w14:paraId="691224CE" w14:textId="77777777" w:rsidR="007D642D" w:rsidRPr="00961E0F" w:rsidRDefault="007D642D" w:rsidP="00B92E0B">
            <w:pPr>
              <w:pStyle w:val="Table"/>
              <w:keepLines w:val="0"/>
              <w:widowControl w:val="0"/>
              <w:tabs>
                <w:tab w:val="left" w:pos="567"/>
              </w:tabs>
              <w:spacing w:before="120" w:line="260" w:lineRule="exact"/>
              <w:jc w:val="center"/>
              <w:rPr>
                <w:rFonts w:ascii="Times New Roman" w:hAnsi="Times New Roman"/>
                <w:b/>
                <w:color w:val="000000"/>
                <w:sz w:val="22"/>
                <w:szCs w:val="22"/>
                <w:lang w:val="fr-FR"/>
              </w:rPr>
            </w:pPr>
            <w:r w:rsidRPr="00961E0F">
              <w:rPr>
                <w:rFonts w:ascii="Times New Roman" w:hAnsi="Times New Roman"/>
                <w:b/>
                <w:color w:val="000000"/>
                <w:sz w:val="22"/>
                <w:szCs w:val="22"/>
                <w:lang w:val="fr-FR"/>
              </w:rPr>
              <w:t>Nombre d’événements /</w:t>
            </w:r>
            <w:r w:rsidRPr="00961E0F">
              <w:rPr>
                <w:rFonts w:ascii="Times New Roman" w:hAnsi="Times New Roman"/>
                <w:b/>
                <w:color w:val="000000"/>
                <w:sz w:val="22"/>
                <w:szCs w:val="22"/>
                <w:lang w:val="fr-FR"/>
              </w:rPr>
              <w:br/>
              <w:t>Nombre de patients</w:t>
            </w:r>
          </w:p>
        </w:tc>
        <w:tc>
          <w:tcPr>
            <w:tcW w:w="1800" w:type="dxa"/>
            <w:vMerge w:val="restart"/>
            <w:tcBorders>
              <w:left w:val="single" w:sz="4" w:space="0" w:color="auto"/>
              <w:right w:val="single" w:sz="4" w:space="0" w:color="auto"/>
            </w:tcBorders>
          </w:tcPr>
          <w:p w14:paraId="781AEDA4"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Hazard ratio global (95%IC)*</w:t>
            </w:r>
          </w:p>
        </w:tc>
        <w:tc>
          <w:tcPr>
            <w:tcW w:w="2800" w:type="dxa"/>
            <w:gridSpan w:val="2"/>
            <w:tcBorders>
              <w:left w:val="single" w:sz="4" w:space="0" w:color="auto"/>
            </w:tcBorders>
          </w:tcPr>
          <w:p w14:paraId="3C1BA19E"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lang w:val="fr-FR"/>
              </w:rPr>
            </w:pPr>
            <w:r w:rsidRPr="00961E0F">
              <w:rPr>
                <w:rFonts w:ascii="Times New Roman" w:hAnsi="Times New Roman"/>
                <w:b/>
                <w:color w:val="000000"/>
                <w:sz w:val="22"/>
                <w:szCs w:val="22"/>
                <w:lang w:val="fr-FR"/>
              </w:rPr>
              <w:t>Taux de survie sans rechute (%)</w:t>
            </w:r>
          </w:p>
        </w:tc>
      </w:tr>
      <w:tr w:rsidR="007D642D" w:rsidRPr="00961E0F" w14:paraId="2F290EE0" w14:textId="77777777" w:rsidTr="00B92E0B">
        <w:trPr>
          <w:cantSplit/>
        </w:trPr>
        <w:tc>
          <w:tcPr>
            <w:tcW w:w="1101" w:type="dxa"/>
            <w:vMerge/>
          </w:tcPr>
          <w:p w14:paraId="1860FBF1"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lang w:val="fr-FR"/>
              </w:rPr>
            </w:pPr>
          </w:p>
        </w:tc>
        <w:tc>
          <w:tcPr>
            <w:tcW w:w="1417" w:type="dxa"/>
            <w:vMerge/>
            <w:tcBorders>
              <w:right w:val="single" w:sz="4" w:space="0" w:color="auto"/>
            </w:tcBorders>
          </w:tcPr>
          <w:p w14:paraId="5BAE0113"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lang w:val="fr-FR"/>
              </w:rPr>
            </w:pPr>
          </w:p>
        </w:tc>
        <w:tc>
          <w:tcPr>
            <w:tcW w:w="986" w:type="dxa"/>
            <w:vMerge/>
            <w:tcBorders>
              <w:left w:val="single" w:sz="4" w:space="0" w:color="auto"/>
              <w:right w:val="single" w:sz="4" w:space="0" w:color="auto"/>
            </w:tcBorders>
          </w:tcPr>
          <w:p w14:paraId="3D6C1C68"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lang w:val="fr-FR"/>
              </w:rPr>
            </w:pPr>
          </w:p>
        </w:tc>
        <w:tc>
          <w:tcPr>
            <w:tcW w:w="2083" w:type="dxa"/>
            <w:vMerge/>
            <w:tcBorders>
              <w:left w:val="single" w:sz="4" w:space="0" w:color="auto"/>
              <w:right w:val="single" w:sz="4" w:space="0" w:color="auto"/>
            </w:tcBorders>
          </w:tcPr>
          <w:p w14:paraId="778A87D6"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lang w:val="fr-FR"/>
              </w:rPr>
            </w:pPr>
          </w:p>
        </w:tc>
        <w:tc>
          <w:tcPr>
            <w:tcW w:w="1800" w:type="dxa"/>
            <w:vMerge/>
            <w:tcBorders>
              <w:left w:val="single" w:sz="4" w:space="0" w:color="auto"/>
              <w:right w:val="single" w:sz="4" w:space="0" w:color="auto"/>
            </w:tcBorders>
          </w:tcPr>
          <w:p w14:paraId="188A1694"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lang w:val="fr-FR"/>
              </w:rPr>
            </w:pPr>
          </w:p>
        </w:tc>
        <w:tc>
          <w:tcPr>
            <w:tcW w:w="1440" w:type="dxa"/>
            <w:tcBorders>
              <w:left w:val="single" w:sz="4" w:space="0" w:color="auto"/>
              <w:right w:val="single" w:sz="4" w:space="0" w:color="auto"/>
            </w:tcBorders>
          </w:tcPr>
          <w:p w14:paraId="0490ECBB"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12 mois</w:t>
            </w:r>
          </w:p>
        </w:tc>
        <w:tc>
          <w:tcPr>
            <w:tcW w:w="1360" w:type="dxa"/>
            <w:tcBorders>
              <w:left w:val="single" w:sz="4" w:space="0" w:color="auto"/>
            </w:tcBorders>
          </w:tcPr>
          <w:p w14:paraId="46D687EB"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24 mois</w:t>
            </w:r>
          </w:p>
        </w:tc>
      </w:tr>
      <w:tr w:rsidR="007D642D" w:rsidRPr="00961E0F" w14:paraId="2EE14A60" w14:textId="77777777" w:rsidTr="00B92E0B">
        <w:trPr>
          <w:cantSplit/>
        </w:trPr>
        <w:tc>
          <w:tcPr>
            <w:tcW w:w="1101" w:type="dxa"/>
            <w:vMerge/>
          </w:tcPr>
          <w:p w14:paraId="552C6C4F"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rPr>
            </w:pPr>
          </w:p>
        </w:tc>
        <w:tc>
          <w:tcPr>
            <w:tcW w:w="1417" w:type="dxa"/>
            <w:vMerge/>
            <w:tcBorders>
              <w:right w:val="single" w:sz="4" w:space="0" w:color="auto"/>
            </w:tcBorders>
          </w:tcPr>
          <w:p w14:paraId="2443F0BC"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5D773490"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p>
        </w:tc>
        <w:tc>
          <w:tcPr>
            <w:tcW w:w="2083" w:type="dxa"/>
            <w:tcBorders>
              <w:left w:val="single" w:sz="4" w:space="0" w:color="auto"/>
              <w:bottom w:val="single" w:sz="4" w:space="0" w:color="auto"/>
              <w:right w:val="single" w:sz="4" w:space="0" w:color="auto"/>
            </w:tcBorders>
          </w:tcPr>
          <w:p w14:paraId="4128511A"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c>
          <w:tcPr>
            <w:tcW w:w="1800" w:type="dxa"/>
            <w:vMerge/>
            <w:tcBorders>
              <w:left w:val="single" w:sz="4" w:space="0" w:color="auto"/>
              <w:bottom w:val="single" w:sz="4" w:space="0" w:color="auto"/>
              <w:right w:val="single" w:sz="4" w:space="0" w:color="auto"/>
            </w:tcBorders>
          </w:tcPr>
          <w:p w14:paraId="42BC35A7"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49630E06"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c>
          <w:tcPr>
            <w:tcW w:w="1360" w:type="dxa"/>
            <w:tcBorders>
              <w:left w:val="single" w:sz="4" w:space="0" w:color="auto"/>
            </w:tcBorders>
          </w:tcPr>
          <w:p w14:paraId="781DEB85"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r>
      <w:tr w:rsidR="007D642D" w:rsidRPr="00961E0F" w14:paraId="5D33B67B" w14:textId="77777777" w:rsidTr="00B92E0B">
        <w:trPr>
          <w:cantSplit/>
        </w:trPr>
        <w:tc>
          <w:tcPr>
            <w:tcW w:w="1101" w:type="dxa"/>
            <w:vMerge w:val="restart"/>
            <w:shd w:val="clear" w:color="auto" w:fill="auto"/>
          </w:tcPr>
          <w:p w14:paraId="13EEFE7F" w14:textId="77777777" w:rsidR="007D642D" w:rsidRPr="00961E0F" w:rsidRDefault="007D642D" w:rsidP="00B92E0B">
            <w:pPr>
              <w:pStyle w:val="Nottoc-headings0"/>
              <w:keepLines w:val="0"/>
              <w:widowControl w:val="0"/>
              <w:tabs>
                <w:tab w:val="left" w:pos="567"/>
              </w:tabs>
              <w:spacing w:before="360" w:line="260" w:lineRule="exact"/>
              <w:ind w:left="0" w:firstLine="0"/>
              <w:rPr>
                <w:color w:val="000000"/>
                <w:sz w:val="22"/>
                <w:szCs w:val="22"/>
              </w:rPr>
            </w:pPr>
            <w:r w:rsidRPr="00961E0F">
              <w:rPr>
                <w:rFonts w:ascii="Times New Roman" w:hAnsi="Times New Roman"/>
                <w:b w:val="0"/>
                <w:color w:val="000000"/>
                <w:sz w:val="22"/>
                <w:szCs w:val="22"/>
              </w:rPr>
              <w:t>NIH</w:t>
            </w:r>
          </w:p>
        </w:tc>
        <w:tc>
          <w:tcPr>
            <w:tcW w:w="1417" w:type="dxa"/>
            <w:tcBorders>
              <w:bottom w:val="nil"/>
              <w:right w:val="single" w:sz="4" w:space="0" w:color="auto"/>
            </w:tcBorders>
            <w:vAlign w:val="bottom"/>
          </w:tcPr>
          <w:p w14:paraId="52A61BC3" w14:textId="77777777" w:rsidR="007D642D" w:rsidRPr="00961E0F" w:rsidRDefault="007D642D" w:rsidP="00B92E0B">
            <w:pPr>
              <w:pStyle w:val="Nottoc-headings0"/>
              <w:keepLines w:val="0"/>
              <w:widowControl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Faible</w:t>
            </w:r>
          </w:p>
        </w:tc>
        <w:tc>
          <w:tcPr>
            <w:tcW w:w="986" w:type="dxa"/>
            <w:tcBorders>
              <w:left w:val="single" w:sz="4" w:space="0" w:color="auto"/>
              <w:bottom w:val="nil"/>
              <w:right w:val="single" w:sz="4" w:space="0" w:color="auto"/>
            </w:tcBorders>
            <w:vAlign w:val="bottom"/>
          </w:tcPr>
          <w:p w14:paraId="4983E892" w14:textId="77777777" w:rsidR="007D642D" w:rsidRPr="00961E0F" w:rsidRDefault="007D642D" w:rsidP="00B92E0B">
            <w:pPr>
              <w:pStyle w:val="Nottoc-headings0"/>
              <w:keepLines w:val="0"/>
              <w:widowControl w:val="0"/>
              <w:tabs>
                <w:tab w:val="left" w:pos="567"/>
              </w:tabs>
              <w:spacing w:before="40" w:after="20" w:line="260" w:lineRule="exact"/>
              <w:ind w:left="57" w:hanging="57"/>
              <w:jc w:val="center"/>
              <w:rPr>
                <w:rFonts w:ascii="Times New Roman" w:hAnsi="Times New Roman"/>
                <w:b w:val="0"/>
                <w:color w:val="000000"/>
                <w:sz w:val="22"/>
                <w:szCs w:val="22"/>
              </w:rPr>
            </w:pPr>
            <w:r w:rsidRPr="00961E0F">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647E15FC" w14:textId="77777777" w:rsidR="007D642D" w:rsidRPr="00961E0F" w:rsidRDefault="007D642D" w:rsidP="00B92E0B">
            <w:pPr>
              <w:pStyle w:val="Nottoc-headings0"/>
              <w:keepLines w:val="0"/>
              <w:widowControl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0/86 vs. 2/90</w:t>
            </w:r>
          </w:p>
        </w:tc>
        <w:tc>
          <w:tcPr>
            <w:tcW w:w="1800" w:type="dxa"/>
            <w:tcBorders>
              <w:left w:val="single" w:sz="4" w:space="0" w:color="auto"/>
              <w:bottom w:val="nil"/>
              <w:right w:val="single" w:sz="4" w:space="0" w:color="auto"/>
            </w:tcBorders>
            <w:vAlign w:val="bottom"/>
          </w:tcPr>
          <w:p w14:paraId="541E426E" w14:textId="77777777" w:rsidR="007D642D" w:rsidRPr="00961E0F" w:rsidRDefault="007D642D" w:rsidP="00B92E0B">
            <w:pPr>
              <w:pStyle w:val="Nottoc-headings0"/>
              <w:keepLines w:val="0"/>
              <w:widowControl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27E766A8" w14:textId="77777777" w:rsidR="007D642D" w:rsidRPr="00961E0F" w:rsidRDefault="007D642D" w:rsidP="00B92E0B">
            <w:pPr>
              <w:pStyle w:val="Nottoc-headings0"/>
              <w:keepLines w:val="0"/>
              <w:widowControl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100 vs. 98,7</w:t>
            </w:r>
          </w:p>
        </w:tc>
        <w:tc>
          <w:tcPr>
            <w:tcW w:w="1360" w:type="dxa"/>
            <w:tcBorders>
              <w:left w:val="single" w:sz="4" w:space="0" w:color="auto"/>
              <w:bottom w:val="nil"/>
            </w:tcBorders>
            <w:vAlign w:val="bottom"/>
          </w:tcPr>
          <w:p w14:paraId="7359F5B3" w14:textId="77777777" w:rsidR="007D642D" w:rsidRPr="00961E0F" w:rsidRDefault="007D642D" w:rsidP="00B92E0B">
            <w:pPr>
              <w:pStyle w:val="Nottoc-headings0"/>
              <w:keepLines w:val="0"/>
              <w:widowControl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100 vs. 95,5</w:t>
            </w:r>
          </w:p>
        </w:tc>
      </w:tr>
      <w:tr w:rsidR="007D642D" w:rsidRPr="00961E0F" w14:paraId="708D6B87" w14:textId="77777777" w:rsidTr="00B92E0B">
        <w:trPr>
          <w:cantSplit/>
        </w:trPr>
        <w:tc>
          <w:tcPr>
            <w:tcW w:w="1101" w:type="dxa"/>
            <w:vMerge/>
            <w:shd w:val="clear" w:color="auto" w:fill="auto"/>
          </w:tcPr>
          <w:p w14:paraId="23EC809A" w14:textId="77777777" w:rsidR="007D642D" w:rsidRPr="00961E0F" w:rsidRDefault="007D642D" w:rsidP="00B92E0B">
            <w:pPr>
              <w:pStyle w:val="Nottoc-headings0"/>
              <w:keepLines w:val="0"/>
              <w:widowControl w:val="0"/>
              <w:tabs>
                <w:tab w:val="left" w:pos="567"/>
              </w:tabs>
              <w:spacing w:line="260" w:lineRule="exact"/>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430E4759"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Intermédiaire</w:t>
            </w:r>
          </w:p>
        </w:tc>
        <w:tc>
          <w:tcPr>
            <w:tcW w:w="986" w:type="dxa"/>
            <w:tcBorders>
              <w:top w:val="nil"/>
              <w:left w:val="single" w:sz="4" w:space="0" w:color="auto"/>
              <w:bottom w:val="nil"/>
              <w:right w:val="single" w:sz="4" w:space="0" w:color="auto"/>
            </w:tcBorders>
            <w:vAlign w:val="bottom"/>
          </w:tcPr>
          <w:p w14:paraId="15D3EC0A"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25,7</w:t>
            </w:r>
          </w:p>
        </w:tc>
        <w:tc>
          <w:tcPr>
            <w:tcW w:w="2083" w:type="dxa"/>
            <w:tcBorders>
              <w:top w:val="nil"/>
              <w:left w:val="single" w:sz="4" w:space="0" w:color="auto"/>
              <w:bottom w:val="nil"/>
              <w:right w:val="single" w:sz="4" w:space="0" w:color="auto"/>
            </w:tcBorders>
            <w:vAlign w:val="bottom"/>
          </w:tcPr>
          <w:p w14:paraId="7E12F2C7"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37F8B082"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5A983A9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1D0C00F5"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97,8 vs. 89,5</w:t>
            </w:r>
          </w:p>
        </w:tc>
      </w:tr>
      <w:tr w:rsidR="007D642D" w:rsidRPr="00961E0F" w14:paraId="16B12F3A" w14:textId="77777777" w:rsidTr="00B92E0B">
        <w:trPr>
          <w:cantSplit/>
        </w:trPr>
        <w:tc>
          <w:tcPr>
            <w:tcW w:w="1101" w:type="dxa"/>
            <w:vMerge/>
            <w:shd w:val="clear" w:color="auto" w:fill="auto"/>
          </w:tcPr>
          <w:p w14:paraId="7C63008B"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p>
        </w:tc>
        <w:tc>
          <w:tcPr>
            <w:tcW w:w="1417" w:type="dxa"/>
            <w:tcBorders>
              <w:top w:val="nil"/>
              <w:right w:val="single" w:sz="4" w:space="0" w:color="auto"/>
            </w:tcBorders>
            <w:vAlign w:val="bottom"/>
          </w:tcPr>
          <w:p w14:paraId="7D18C0EA"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Elevé</w:t>
            </w:r>
          </w:p>
        </w:tc>
        <w:tc>
          <w:tcPr>
            <w:tcW w:w="986" w:type="dxa"/>
            <w:tcBorders>
              <w:top w:val="nil"/>
              <w:left w:val="single" w:sz="4" w:space="0" w:color="auto"/>
              <w:right w:val="single" w:sz="4" w:space="0" w:color="auto"/>
            </w:tcBorders>
            <w:vAlign w:val="bottom"/>
          </w:tcPr>
          <w:p w14:paraId="39ADCAEB"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44,8</w:t>
            </w:r>
          </w:p>
        </w:tc>
        <w:tc>
          <w:tcPr>
            <w:tcW w:w="2083" w:type="dxa"/>
            <w:tcBorders>
              <w:top w:val="nil"/>
              <w:left w:val="single" w:sz="4" w:space="0" w:color="auto"/>
              <w:right w:val="single" w:sz="4" w:space="0" w:color="auto"/>
            </w:tcBorders>
            <w:vAlign w:val="bottom"/>
          </w:tcPr>
          <w:p w14:paraId="5B4E613A"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68F4CF5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12C29A84"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94,8 vs. 64,0</w:t>
            </w:r>
          </w:p>
        </w:tc>
        <w:tc>
          <w:tcPr>
            <w:tcW w:w="1360" w:type="dxa"/>
            <w:tcBorders>
              <w:top w:val="nil"/>
              <w:left w:val="single" w:sz="4" w:space="0" w:color="auto"/>
            </w:tcBorders>
            <w:vAlign w:val="bottom"/>
          </w:tcPr>
          <w:p w14:paraId="4EAE7AFE"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80,7 vs. 46,6</w:t>
            </w:r>
          </w:p>
        </w:tc>
      </w:tr>
      <w:tr w:rsidR="007D642D" w:rsidRPr="00961E0F" w14:paraId="4C30F5A3" w14:textId="77777777" w:rsidTr="00B92E0B">
        <w:trPr>
          <w:cantSplit/>
        </w:trPr>
        <w:tc>
          <w:tcPr>
            <w:tcW w:w="1101" w:type="dxa"/>
            <w:vMerge w:val="restart"/>
            <w:shd w:val="clear" w:color="auto" w:fill="auto"/>
          </w:tcPr>
          <w:p w14:paraId="266D8C74" w14:textId="77777777" w:rsidR="007D642D" w:rsidRPr="00961E0F" w:rsidRDefault="007D642D" w:rsidP="00B92E0B">
            <w:pPr>
              <w:pStyle w:val="Table"/>
              <w:keepLines w:val="0"/>
              <w:widowControl w:val="0"/>
              <w:tabs>
                <w:tab w:val="left" w:pos="567"/>
              </w:tabs>
              <w:spacing w:before="480" w:line="260" w:lineRule="exact"/>
              <w:rPr>
                <w:rFonts w:ascii="Times New Roman" w:hAnsi="Times New Roman"/>
                <w:color w:val="000000"/>
                <w:sz w:val="22"/>
                <w:szCs w:val="22"/>
              </w:rPr>
            </w:pPr>
            <w:r w:rsidRPr="00961E0F">
              <w:rPr>
                <w:rFonts w:ascii="Times New Roman" w:hAnsi="Times New Roman"/>
                <w:color w:val="000000"/>
                <w:sz w:val="22"/>
                <w:szCs w:val="22"/>
              </w:rPr>
              <w:t>AFIP</w:t>
            </w:r>
          </w:p>
        </w:tc>
        <w:tc>
          <w:tcPr>
            <w:tcW w:w="1417" w:type="dxa"/>
            <w:tcBorders>
              <w:bottom w:val="nil"/>
              <w:right w:val="single" w:sz="4" w:space="0" w:color="auto"/>
            </w:tcBorders>
            <w:vAlign w:val="bottom"/>
          </w:tcPr>
          <w:p w14:paraId="53B2037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Très faible</w:t>
            </w:r>
          </w:p>
        </w:tc>
        <w:tc>
          <w:tcPr>
            <w:tcW w:w="986" w:type="dxa"/>
            <w:tcBorders>
              <w:left w:val="single" w:sz="4" w:space="0" w:color="auto"/>
              <w:bottom w:val="nil"/>
              <w:right w:val="single" w:sz="4" w:space="0" w:color="auto"/>
            </w:tcBorders>
            <w:vAlign w:val="bottom"/>
          </w:tcPr>
          <w:p w14:paraId="6F3B2D4A"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20,7</w:t>
            </w:r>
          </w:p>
        </w:tc>
        <w:tc>
          <w:tcPr>
            <w:tcW w:w="2083" w:type="dxa"/>
            <w:tcBorders>
              <w:left w:val="single" w:sz="4" w:space="0" w:color="auto"/>
              <w:bottom w:val="nil"/>
              <w:right w:val="single" w:sz="4" w:space="0" w:color="auto"/>
            </w:tcBorders>
            <w:vAlign w:val="bottom"/>
          </w:tcPr>
          <w:p w14:paraId="4C4559E8"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1B96F406"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091C3C6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98,1</w:t>
            </w:r>
          </w:p>
        </w:tc>
        <w:tc>
          <w:tcPr>
            <w:tcW w:w="1360" w:type="dxa"/>
            <w:tcBorders>
              <w:left w:val="single" w:sz="4" w:space="0" w:color="auto"/>
              <w:bottom w:val="nil"/>
            </w:tcBorders>
            <w:vAlign w:val="bottom"/>
          </w:tcPr>
          <w:p w14:paraId="1B4549E7"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93,0</w:t>
            </w:r>
          </w:p>
        </w:tc>
      </w:tr>
      <w:tr w:rsidR="007D642D" w:rsidRPr="00961E0F" w14:paraId="011623A4" w14:textId="77777777" w:rsidTr="00B92E0B">
        <w:trPr>
          <w:cantSplit/>
        </w:trPr>
        <w:tc>
          <w:tcPr>
            <w:tcW w:w="1101" w:type="dxa"/>
            <w:vMerge/>
            <w:shd w:val="clear" w:color="auto" w:fill="auto"/>
          </w:tcPr>
          <w:p w14:paraId="0D4C5C70"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p>
        </w:tc>
        <w:tc>
          <w:tcPr>
            <w:tcW w:w="1417" w:type="dxa"/>
            <w:tcBorders>
              <w:top w:val="nil"/>
              <w:bottom w:val="nil"/>
              <w:right w:val="single" w:sz="4" w:space="0" w:color="auto"/>
            </w:tcBorders>
            <w:vAlign w:val="bottom"/>
          </w:tcPr>
          <w:p w14:paraId="4582EF95"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Faible</w:t>
            </w:r>
          </w:p>
        </w:tc>
        <w:tc>
          <w:tcPr>
            <w:tcW w:w="986" w:type="dxa"/>
            <w:tcBorders>
              <w:top w:val="nil"/>
              <w:left w:val="single" w:sz="4" w:space="0" w:color="auto"/>
              <w:bottom w:val="nil"/>
              <w:right w:val="single" w:sz="4" w:space="0" w:color="auto"/>
            </w:tcBorders>
            <w:vAlign w:val="bottom"/>
          </w:tcPr>
          <w:p w14:paraId="4B2DF820"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25,0</w:t>
            </w:r>
          </w:p>
        </w:tc>
        <w:tc>
          <w:tcPr>
            <w:tcW w:w="2083" w:type="dxa"/>
            <w:tcBorders>
              <w:top w:val="nil"/>
              <w:left w:val="single" w:sz="4" w:space="0" w:color="auto"/>
              <w:bottom w:val="nil"/>
              <w:right w:val="single" w:sz="4" w:space="0" w:color="auto"/>
            </w:tcBorders>
            <w:vAlign w:val="bottom"/>
          </w:tcPr>
          <w:p w14:paraId="3D94CB07"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103D987F"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26100885"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50239BA0"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97,8 vs. 100</w:t>
            </w:r>
          </w:p>
        </w:tc>
      </w:tr>
      <w:tr w:rsidR="007D642D" w:rsidRPr="00961E0F" w14:paraId="7BB83AA0" w14:textId="77777777" w:rsidTr="00B92E0B">
        <w:trPr>
          <w:cantSplit/>
        </w:trPr>
        <w:tc>
          <w:tcPr>
            <w:tcW w:w="1101" w:type="dxa"/>
            <w:vMerge/>
            <w:shd w:val="clear" w:color="auto" w:fill="auto"/>
          </w:tcPr>
          <w:p w14:paraId="49620E3D" w14:textId="77777777" w:rsidR="007D642D" w:rsidRPr="00961E0F" w:rsidRDefault="007D642D" w:rsidP="00B92E0B">
            <w:pPr>
              <w:pStyle w:val="Table"/>
              <w:keepLines w:val="0"/>
              <w:widowControl w:val="0"/>
              <w:tabs>
                <w:tab w:val="left" w:pos="567"/>
              </w:tabs>
              <w:spacing w:line="260" w:lineRule="exact"/>
              <w:rPr>
                <w:rFonts w:ascii="Times New Roman" w:hAnsi="Times New Roman"/>
                <w:b/>
                <w:color w:val="000000"/>
                <w:sz w:val="22"/>
                <w:szCs w:val="22"/>
              </w:rPr>
            </w:pPr>
          </w:p>
        </w:tc>
        <w:tc>
          <w:tcPr>
            <w:tcW w:w="1417" w:type="dxa"/>
            <w:tcBorders>
              <w:top w:val="nil"/>
              <w:bottom w:val="nil"/>
              <w:right w:val="single" w:sz="4" w:space="0" w:color="auto"/>
            </w:tcBorders>
            <w:vAlign w:val="bottom"/>
          </w:tcPr>
          <w:p w14:paraId="51C914D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Modéré</w:t>
            </w:r>
          </w:p>
        </w:tc>
        <w:tc>
          <w:tcPr>
            <w:tcW w:w="986" w:type="dxa"/>
            <w:tcBorders>
              <w:top w:val="nil"/>
              <w:left w:val="single" w:sz="4" w:space="0" w:color="auto"/>
              <w:bottom w:val="nil"/>
              <w:right w:val="single" w:sz="4" w:space="0" w:color="auto"/>
            </w:tcBorders>
            <w:vAlign w:val="bottom"/>
          </w:tcPr>
          <w:p w14:paraId="2A30BFB7" w14:textId="77777777" w:rsidR="007D642D" w:rsidRPr="00961E0F" w:rsidRDefault="007D642D" w:rsidP="00B92E0B">
            <w:pPr>
              <w:pStyle w:val="Table"/>
              <w:keepLines w:val="0"/>
              <w:widowControl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24,6</w:t>
            </w:r>
          </w:p>
        </w:tc>
        <w:tc>
          <w:tcPr>
            <w:tcW w:w="2083" w:type="dxa"/>
            <w:tcBorders>
              <w:top w:val="nil"/>
              <w:left w:val="single" w:sz="4" w:space="0" w:color="auto"/>
              <w:bottom w:val="nil"/>
              <w:right w:val="single" w:sz="4" w:space="0" w:color="auto"/>
            </w:tcBorders>
            <w:vAlign w:val="bottom"/>
          </w:tcPr>
          <w:p w14:paraId="2B3799E3"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0F175B1B"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0E0ED2C9"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69B9106E"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97,9 vs. 73,3</w:t>
            </w:r>
          </w:p>
        </w:tc>
      </w:tr>
      <w:tr w:rsidR="007D642D" w:rsidRPr="00961E0F" w14:paraId="0C325E5A" w14:textId="77777777" w:rsidTr="00B92E0B">
        <w:trPr>
          <w:cantSplit/>
        </w:trPr>
        <w:tc>
          <w:tcPr>
            <w:tcW w:w="1101" w:type="dxa"/>
            <w:vMerge/>
            <w:tcBorders>
              <w:bottom w:val="single" w:sz="4" w:space="0" w:color="auto"/>
            </w:tcBorders>
            <w:shd w:val="clear" w:color="auto" w:fill="auto"/>
          </w:tcPr>
          <w:p w14:paraId="65AE1731"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p>
        </w:tc>
        <w:tc>
          <w:tcPr>
            <w:tcW w:w="1417" w:type="dxa"/>
            <w:tcBorders>
              <w:top w:val="nil"/>
              <w:bottom w:val="single" w:sz="4" w:space="0" w:color="auto"/>
              <w:right w:val="single" w:sz="4" w:space="0" w:color="auto"/>
            </w:tcBorders>
            <w:vAlign w:val="bottom"/>
          </w:tcPr>
          <w:p w14:paraId="62BC916F"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Elevé</w:t>
            </w:r>
          </w:p>
        </w:tc>
        <w:tc>
          <w:tcPr>
            <w:tcW w:w="986" w:type="dxa"/>
            <w:tcBorders>
              <w:top w:val="nil"/>
              <w:left w:val="single" w:sz="4" w:space="0" w:color="auto"/>
              <w:bottom w:val="single" w:sz="4" w:space="0" w:color="auto"/>
              <w:right w:val="single" w:sz="4" w:space="0" w:color="auto"/>
            </w:tcBorders>
            <w:vAlign w:val="bottom"/>
          </w:tcPr>
          <w:p w14:paraId="772438F8" w14:textId="77777777" w:rsidR="007D642D" w:rsidRPr="00961E0F" w:rsidRDefault="007D642D" w:rsidP="00B92E0B">
            <w:pPr>
              <w:pStyle w:val="Table"/>
              <w:keepLines w:val="0"/>
              <w:widowControl w:val="0"/>
              <w:tabs>
                <w:tab w:val="left" w:pos="567"/>
              </w:tabs>
              <w:spacing w:line="260" w:lineRule="exact"/>
              <w:ind w:right="-3"/>
              <w:jc w:val="center"/>
              <w:rPr>
                <w:rFonts w:ascii="Times New Roman" w:hAnsi="Times New Roman"/>
                <w:color w:val="000000"/>
                <w:sz w:val="22"/>
                <w:szCs w:val="22"/>
              </w:rPr>
            </w:pPr>
            <w:r w:rsidRPr="00961E0F">
              <w:rPr>
                <w:rFonts w:ascii="Times New Roman" w:hAnsi="Times New Roman"/>
                <w:color w:val="000000"/>
                <w:sz w:val="22"/>
                <w:szCs w:val="22"/>
              </w:rPr>
              <w:t>29,7</w:t>
            </w:r>
          </w:p>
        </w:tc>
        <w:tc>
          <w:tcPr>
            <w:tcW w:w="2083" w:type="dxa"/>
            <w:tcBorders>
              <w:top w:val="nil"/>
              <w:left w:val="single" w:sz="4" w:space="0" w:color="auto"/>
              <w:bottom w:val="single" w:sz="4" w:space="0" w:color="auto"/>
              <w:right w:val="single" w:sz="4" w:space="0" w:color="auto"/>
            </w:tcBorders>
            <w:vAlign w:val="bottom"/>
          </w:tcPr>
          <w:p w14:paraId="43AA86A4"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7FFC27DA"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0791D414"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0081BCBD" w14:textId="77777777" w:rsidR="007D642D" w:rsidRPr="00961E0F" w:rsidRDefault="007D642D" w:rsidP="00B92E0B">
            <w:pPr>
              <w:pStyle w:val="Table"/>
              <w:keepLines w:val="0"/>
              <w:widowControl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79,9 vs. 41,5</w:t>
            </w:r>
          </w:p>
        </w:tc>
      </w:tr>
    </w:tbl>
    <w:p w14:paraId="035A6550" w14:textId="77777777" w:rsidR="007D642D" w:rsidRPr="00961E0F" w:rsidRDefault="007D642D">
      <w:pPr>
        <w:pStyle w:val="Text"/>
        <w:spacing w:before="0"/>
        <w:rPr>
          <w:color w:val="000000"/>
          <w:sz w:val="22"/>
          <w:szCs w:val="22"/>
          <w:lang w:val="fr-FR"/>
        </w:rPr>
      </w:pPr>
      <w:r w:rsidRPr="00961E0F">
        <w:rPr>
          <w:color w:val="000000"/>
          <w:sz w:val="22"/>
          <w:szCs w:val="22"/>
          <w:lang w:val="fr-FR"/>
        </w:rPr>
        <w:t>* Période complete de suivi; NE – Non estimable</w:t>
      </w:r>
    </w:p>
    <w:p w14:paraId="3DED5909" w14:textId="77777777" w:rsidR="007D642D" w:rsidRPr="00961E0F" w:rsidRDefault="007D642D">
      <w:pPr>
        <w:pStyle w:val="EndnoteText"/>
        <w:widowControl w:val="0"/>
        <w:tabs>
          <w:tab w:val="clear" w:pos="567"/>
        </w:tabs>
        <w:rPr>
          <w:color w:val="000000"/>
          <w:szCs w:val="22"/>
          <w:lang w:val="fr-FR"/>
        </w:rPr>
      </w:pPr>
    </w:p>
    <w:p w14:paraId="557D7B7B" w14:textId="77777777" w:rsidR="007D642D" w:rsidRPr="00961E0F" w:rsidRDefault="007D642D">
      <w:pPr>
        <w:rPr>
          <w:rFonts w:ascii="Times New Roman" w:eastAsia="MS Mincho" w:hAnsi="Times New Roman"/>
          <w:iCs/>
          <w:szCs w:val="22"/>
          <w:lang w:eastAsia="ja-JP"/>
        </w:rPr>
      </w:pPr>
      <w:r w:rsidRPr="00961E0F">
        <w:rPr>
          <w:rFonts w:ascii="Times New Roman" w:eastAsia="MS Mincho" w:hAnsi="Times New Roman"/>
          <w:szCs w:val="22"/>
          <w:lang w:eastAsia="ja-JP"/>
        </w:rPr>
        <w:t>Une seconde étude de phase III multicentrique, en ouvert (SSG XVIII/AIO), a comparé un traitement par Glivec 400 mg/jour pendant 12 mois à un traitement pendant 36 mois chez des patients après résection chirurgicale d'une tumeur stromale gastro-intestinale (GIST) présentant l'une des caractéristiques suivantes : diamètre de la tumeur</w:t>
      </w:r>
      <w:r w:rsidRPr="00961E0F">
        <w:rPr>
          <w:rFonts w:ascii="Times New Roman" w:eastAsia="MS Mincho" w:hAnsi="Times New Roman"/>
          <w:iCs/>
          <w:szCs w:val="22"/>
          <w:lang w:eastAsia="ja-JP"/>
        </w:rPr>
        <w:t xml:space="preserve"> &gt; 5</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cm et index mitotique &gt; 5/50 HPF (high power fields) ; ou diamètre de la tumeur &gt; 10</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cm quelque soit l’index mitotique ou tumeur de toute taille avec un index mitotique &gt; 10/50 HPF ou tumeur rompue dans la cavité péritonéale. Au total, 397</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ont donné leur consentement pour participer à l'étude et ont été randomisés (199</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dans le groupe de 12 mois de traitement et 198</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dans le groupe de 36</w:t>
      </w:r>
      <w:r w:rsidRPr="00961E0F">
        <w:rPr>
          <w:rFonts w:ascii="Times New Roman" w:eastAsia="MS Mincho" w:hAnsi="Times New Roman"/>
          <w:szCs w:val="22"/>
          <w:lang w:eastAsia="ja-JP"/>
        </w:rPr>
        <w:t> mois de traitement</w:t>
      </w:r>
      <w:r w:rsidRPr="00961E0F">
        <w:rPr>
          <w:rFonts w:ascii="Times New Roman" w:eastAsia="MS Mincho" w:hAnsi="Times New Roman"/>
          <w:iCs/>
          <w:szCs w:val="22"/>
          <w:lang w:eastAsia="ja-JP"/>
        </w:rPr>
        <w:t xml:space="preserve">), leur âge médian était de </w:t>
      </w:r>
      <w:r w:rsidRPr="00961E0F">
        <w:rPr>
          <w:rFonts w:ascii="Times New Roman" w:eastAsia="MS Mincho" w:hAnsi="Times New Roman"/>
          <w:bCs/>
          <w:iCs/>
          <w:szCs w:val="22"/>
          <w:lang w:eastAsia="ja-JP"/>
        </w:rPr>
        <w:t>61</w:t>
      </w:r>
      <w:r w:rsidRPr="00961E0F">
        <w:rPr>
          <w:rFonts w:ascii="Times New Roman" w:eastAsia="MS Mincho" w:hAnsi="Times New Roman"/>
          <w:szCs w:val="22"/>
          <w:lang w:eastAsia="ja-JP"/>
        </w:rPr>
        <w:t> </w:t>
      </w:r>
      <w:r w:rsidRPr="00961E0F">
        <w:rPr>
          <w:rFonts w:ascii="Times New Roman" w:eastAsia="MS Mincho" w:hAnsi="Times New Roman"/>
          <w:bCs/>
          <w:iCs/>
          <w:szCs w:val="22"/>
          <w:lang w:eastAsia="ja-JP"/>
        </w:rPr>
        <w:t xml:space="preserve">ans </w:t>
      </w:r>
      <w:r w:rsidRPr="00961E0F">
        <w:rPr>
          <w:rFonts w:ascii="Times New Roman" w:eastAsia="MS Mincho" w:hAnsi="Times New Roman"/>
          <w:iCs/>
          <w:szCs w:val="22"/>
          <w:lang w:eastAsia="ja-JP"/>
        </w:rPr>
        <w:t>(extrêmes : 22 et 84</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ans). La durée médiane du suivi a été de 54</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mois (depuis la date de la randomisation jusqu'à la date limite de recueil des données), avec un total de 83</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mois entre le premier patient randomisé et la date limite de recueil des données.</w:t>
      </w:r>
    </w:p>
    <w:p w14:paraId="49F711AC" w14:textId="77777777" w:rsidR="007D642D" w:rsidRPr="00961E0F" w:rsidRDefault="007D642D">
      <w:pPr>
        <w:rPr>
          <w:rFonts w:ascii="Times New Roman" w:eastAsia="MS Mincho" w:hAnsi="Times New Roman"/>
          <w:iCs/>
          <w:szCs w:val="22"/>
          <w:lang w:eastAsia="ja-JP"/>
        </w:rPr>
      </w:pPr>
    </w:p>
    <w:p w14:paraId="266DD438" w14:textId="77777777" w:rsidR="007D642D" w:rsidRPr="00961E0F" w:rsidRDefault="007D642D">
      <w:pPr>
        <w:rPr>
          <w:rFonts w:ascii="Times New Roman" w:eastAsia="MS Mincho" w:hAnsi="Times New Roman"/>
          <w:szCs w:val="22"/>
          <w:lang w:eastAsia="ja-JP"/>
        </w:rPr>
      </w:pPr>
      <w:r w:rsidRPr="00961E0F">
        <w:rPr>
          <w:rFonts w:ascii="Times New Roman" w:eastAsia="MS Mincho" w:hAnsi="Times New Roman"/>
          <w:szCs w:val="22"/>
          <w:lang w:eastAsia="ja-JP"/>
        </w:rPr>
        <w:t>Le critère primaire de l’étude était la survie sans rechute, définie comme le délai entre la date de randomisation jusqu’à la date d’une rechute ou d’un décés quelle que soit la cause.</w:t>
      </w:r>
    </w:p>
    <w:p w14:paraId="5E732EED" w14:textId="77777777" w:rsidR="007D642D" w:rsidRPr="00961E0F" w:rsidRDefault="007D642D">
      <w:pPr>
        <w:rPr>
          <w:rFonts w:ascii="Times New Roman" w:eastAsia="MS Mincho" w:hAnsi="Times New Roman"/>
          <w:szCs w:val="22"/>
          <w:lang w:eastAsia="ja-JP"/>
        </w:rPr>
      </w:pPr>
    </w:p>
    <w:p w14:paraId="03DC17FD" w14:textId="77777777" w:rsidR="007D642D" w:rsidRPr="00961E0F" w:rsidRDefault="007D642D">
      <w:pPr>
        <w:rPr>
          <w:rFonts w:ascii="Times New Roman" w:eastAsia="MS Mincho" w:hAnsi="Times New Roman"/>
          <w:iCs/>
          <w:color w:val="000000"/>
          <w:szCs w:val="22"/>
          <w:lang w:eastAsia="ja-JP"/>
        </w:rPr>
      </w:pPr>
      <w:r w:rsidRPr="00961E0F">
        <w:rPr>
          <w:rFonts w:ascii="Times New Roman" w:eastAsia="MS Mincho" w:hAnsi="Times New Roman"/>
          <w:iCs/>
          <w:szCs w:val="22"/>
          <w:lang w:eastAsia="ja-JP"/>
        </w:rPr>
        <w:t>Un traitement par Glivec sur une durée de 36 mois a prolongé significativement la survie sans rechute comparativement à un traitement de 12</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 xml:space="preserve">mois </w:t>
      </w:r>
      <w:r w:rsidRPr="00961E0F">
        <w:rPr>
          <w:rFonts w:ascii="Times New Roman" w:eastAsia="MS Mincho" w:hAnsi="Times New Roman"/>
          <w:iCs/>
          <w:color w:val="000000"/>
          <w:szCs w:val="22"/>
          <w:lang w:eastAsia="ja-JP"/>
        </w:rPr>
        <w:t xml:space="preserve">(avec un hazard ratio (HR) global = 0,46 [0,32, 0,65], </w:t>
      </w:r>
      <w:r w:rsidRPr="00961E0F">
        <w:rPr>
          <w:rFonts w:ascii="Times New Roman" w:eastAsia="MS Mincho" w:hAnsi="Times New Roman"/>
          <w:color w:val="000000"/>
          <w:szCs w:val="22"/>
          <w:lang w:eastAsia="ja-JP"/>
        </w:rPr>
        <w:t>p</w:t>
      </w:r>
      <w:r w:rsidRPr="00961E0F">
        <w:rPr>
          <w:rFonts w:ascii="Times New Roman" w:eastAsia="MS Mincho" w:hAnsi="Times New Roman"/>
          <w:iCs/>
          <w:color w:val="000000"/>
          <w:szCs w:val="22"/>
          <w:lang w:eastAsia="ja-JP"/>
        </w:rPr>
        <w:t>&lt;0,0001) (Tableau</w:t>
      </w:r>
      <w:r w:rsidRPr="00961E0F">
        <w:rPr>
          <w:rFonts w:ascii="Times New Roman" w:eastAsia="MS Mincho" w:hAnsi="Times New Roman"/>
          <w:color w:val="000000"/>
          <w:szCs w:val="22"/>
          <w:lang w:eastAsia="ja-JP"/>
        </w:rPr>
        <w:t> </w:t>
      </w:r>
      <w:r w:rsidR="00C0508D" w:rsidRPr="00961E0F">
        <w:rPr>
          <w:rFonts w:ascii="Times New Roman" w:eastAsia="MS Mincho" w:hAnsi="Times New Roman"/>
          <w:iCs/>
          <w:color w:val="000000"/>
          <w:szCs w:val="22"/>
          <w:lang w:eastAsia="ja-JP"/>
        </w:rPr>
        <w:t>8</w:t>
      </w:r>
      <w:r w:rsidRPr="00961E0F">
        <w:rPr>
          <w:rFonts w:ascii="Times New Roman" w:eastAsia="MS Mincho" w:hAnsi="Times New Roman"/>
          <w:iCs/>
          <w:color w:val="000000"/>
          <w:szCs w:val="22"/>
          <w:lang w:eastAsia="ja-JP"/>
        </w:rPr>
        <w:t xml:space="preserve">, </w:t>
      </w:r>
      <w:r w:rsidRPr="00961E0F">
        <w:rPr>
          <w:rFonts w:ascii="Times New Roman" w:eastAsia="MS Mincho" w:hAnsi="Times New Roman"/>
          <w:szCs w:val="22"/>
        </w:rPr>
        <w:t>figure 1</w:t>
      </w:r>
      <w:r w:rsidRPr="00961E0F">
        <w:rPr>
          <w:rFonts w:ascii="Times New Roman" w:eastAsia="MS Mincho" w:hAnsi="Times New Roman"/>
          <w:iCs/>
          <w:color w:val="000000"/>
          <w:szCs w:val="22"/>
          <w:lang w:eastAsia="ja-JP"/>
        </w:rPr>
        <w:t>).</w:t>
      </w:r>
    </w:p>
    <w:p w14:paraId="2D90E8E1" w14:textId="77777777" w:rsidR="007D642D" w:rsidRPr="00961E0F" w:rsidRDefault="007D642D">
      <w:pPr>
        <w:rPr>
          <w:rFonts w:ascii="Times New Roman" w:eastAsia="MS Mincho" w:hAnsi="Times New Roman"/>
          <w:iCs/>
          <w:color w:val="000000"/>
          <w:szCs w:val="22"/>
          <w:lang w:eastAsia="ja-JP"/>
        </w:rPr>
      </w:pPr>
    </w:p>
    <w:p w14:paraId="2B42BA69" w14:textId="77777777" w:rsidR="007D642D" w:rsidRPr="00961E0F" w:rsidRDefault="007D642D">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t xml:space="preserve">De plus, le traitement par Glivec pendant 36 mois a prolongé significativement la survie globale comparativement à un traitement de 12 mois (HR = 0,45 [0,22, 0,89], </w:t>
      </w:r>
      <w:r w:rsidRPr="00961E0F">
        <w:rPr>
          <w:rFonts w:ascii="Times New Roman" w:eastAsia="MS Mincho" w:hAnsi="Times New Roman"/>
          <w:color w:val="000000"/>
          <w:szCs w:val="22"/>
          <w:lang w:eastAsia="ja-JP"/>
        </w:rPr>
        <w:t>p</w:t>
      </w:r>
      <w:r w:rsidRPr="00961E0F">
        <w:rPr>
          <w:rFonts w:ascii="Times New Roman" w:eastAsia="MS Mincho" w:hAnsi="Times New Roman"/>
          <w:i/>
          <w:color w:val="000000"/>
          <w:szCs w:val="22"/>
          <w:lang w:eastAsia="ja-JP"/>
        </w:rPr>
        <w:t xml:space="preserve"> </w:t>
      </w:r>
      <w:r w:rsidRPr="00961E0F">
        <w:rPr>
          <w:rFonts w:ascii="Times New Roman" w:eastAsia="MS Mincho" w:hAnsi="Times New Roman"/>
          <w:iCs/>
          <w:color w:val="000000"/>
          <w:szCs w:val="22"/>
          <w:lang w:eastAsia="ja-JP"/>
        </w:rPr>
        <w:t>= 0,0187) (Tableau</w:t>
      </w:r>
      <w:r w:rsidRPr="00961E0F">
        <w:rPr>
          <w:rFonts w:ascii="Times New Roman" w:eastAsia="MS Mincho" w:hAnsi="Times New Roman"/>
          <w:color w:val="000000"/>
          <w:szCs w:val="22"/>
          <w:lang w:eastAsia="ja-JP"/>
        </w:rPr>
        <w:t> </w:t>
      </w:r>
      <w:r w:rsidR="00C0508D" w:rsidRPr="00961E0F">
        <w:rPr>
          <w:rFonts w:ascii="Times New Roman" w:eastAsia="MS Mincho" w:hAnsi="Times New Roman"/>
          <w:iCs/>
          <w:color w:val="000000"/>
          <w:szCs w:val="22"/>
          <w:lang w:eastAsia="ja-JP"/>
        </w:rPr>
        <w:t>8</w:t>
      </w:r>
      <w:r w:rsidRPr="00961E0F">
        <w:rPr>
          <w:rFonts w:ascii="Times New Roman" w:eastAsia="MS Mincho" w:hAnsi="Times New Roman"/>
          <w:iCs/>
          <w:color w:val="000000"/>
          <w:szCs w:val="22"/>
          <w:lang w:eastAsia="ja-JP"/>
        </w:rPr>
        <w:t>, figure 2).</w:t>
      </w:r>
    </w:p>
    <w:p w14:paraId="39F60A3D" w14:textId="77777777" w:rsidR="007D642D" w:rsidRPr="00961E0F" w:rsidRDefault="007D642D">
      <w:pPr>
        <w:rPr>
          <w:rFonts w:ascii="Times New Roman" w:eastAsia="MS Mincho" w:hAnsi="Times New Roman"/>
          <w:iCs/>
          <w:color w:val="000000"/>
          <w:szCs w:val="22"/>
          <w:lang w:eastAsia="ja-JP"/>
        </w:rPr>
      </w:pPr>
    </w:p>
    <w:p w14:paraId="2EF39390" w14:textId="77777777" w:rsidR="007D642D" w:rsidRPr="00961E0F" w:rsidRDefault="007D642D">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t>Un traitement de plus longue durée (&gt; 36 mois) pourrait retarder la survenue de rechutes ultérieures ; cependant, l’impact de ces données sur la survie globale reste inconnu.</w:t>
      </w:r>
    </w:p>
    <w:p w14:paraId="5170C724" w14:textId="77777777" w:rsidR="007D642D" w:rsidRPr="00961E0F" w:rsidRDefault="007D642D">
      <w:pPr>
        <w:rPr>
          <w:rFonts w:ascii="Times New Roman" w:eastAsia="MS Mincho" w:hAnsi="Times New Roman"/>
          <w:iCs/>
          <w:color w:val="000000"/>
          <w:szCs w:val="22"/>
          <w:lang w:eastAsia="ja-JP"/>
        </w:rPr>
      </w:pPr>
    </w:p>
    <w:p w14:paraId="6E948305" w14:textId="77777777" w:rsidR="007D642D" w:rsidRPr="00961E0F" w:rsidRDefault="007D642D">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lastRenderedPageBreak/>
        <w:t>Le nombre total de décès a été de 25 dans le groupe de traitement de 12 mois et de 12 dans le groupe de traitement de 36 mois.</w:t>
      </w:r>
    </w:p>
    <w:p w14:paraId="527359F1" w14:textId="77777777" w:rsidR="007D642D" w:rsidRPr="00961E0F" w:rsidRDefault="007D642D">
      <w:pPr>
        <w:rPr>
          <w:rFonts w:ascii="Times New Roman" w:eastAsia="MS Mincho" w:hAnsi="Times New Roman"/>
          <w:iCs/>
          <w:color w:val="000000"/>
          <w:lang w:eastAsia="ja-JP"/>
        </w:rPr>
      </w:pPr>
    </w:p>
    <w:p w14:paraId="2E4E4799" w14:textId="77777777" w:rsidR="007D642D" w:rsidRPr="00961E0F" w:rsidRDefault="007D642D">
      <w:pPr>
        <w:rPr>
          <w:rFonts w:ascii="Times New Roman" w:eastAsia="MS Mincho" w:hAnsi="Times New Roman"/>
          <w:iCs/>
          <w:color w:val="000000"/>
          <w:lang w:eastAsia="ja-JP"/>
        </w:rPr>
      </w:pPr>
      <w:r w:rsidRPr="00961E0F">
        <w:rPr>
          <w:rFonts w:ascii="Times New Roman" w:eastAsia="MS Mincho" w:hAnsi="Times New Roman"/>
          <w:iCs/>
          <w:color w:val="000000"/>
          <w:lang w:eastAsia="ja-JP"/>
        </w:rPr>
        <w:t>Un traitement par imatinib pendant 36 mois était supérieur à un traitement pendant 12 mois, selon l’analyse en ITT, c’est-à-dire en incluant la population entière de l’étude. Dans l’analyse planifiée par sous-groupes par type de mutation, chez les patients ayant des mutations de l’exon 11, le hazard ratio de la survie sans rechute était de 0,35 [95% IC :0,22, 0,56] en faveur d’un traitement pendant 36 mois. On ne peut pas tirer de conclusion pour les autres sous-groupes ayant des mutations moins fréquentes en raison du faible nombre d’évènements observés.</w:t>
      </w:r>
    </w:p>
    <w:p w14:paraId="0C1D7248" w14:textId="77777777" w:rsidR="007D642D" w:rsidRPr="00961E0F" w:rsidRDefault="007D642D">
      <w:pPr>
        <w:rPr>
          <w:rFonts w:ascii="Times New Roman" w:eastAsia="MS Mincho" w:hAnsi="Times New Roman"/>
          <w:iCs/>
          <w:szCs w:val="22"/>
          <w:lang w:eastAsia="ja-JP"/>
        </w:rPr>
      </w:pPr>
    </w:p>
    <w:p w14:paraId="60B5E263" w14:textId="77777777" w:rsidR="007D642D" w:rsidRPr="00961E0F" w:rsidRDefault="007D642D" w:rsidP="00B92E0B">
      <w:pPr>
        <w:keepNext/>
        <w:ind w:left="1134" w:hanging="1134"/>
        <w:rPr>
          <w:rFonts w:ascii="Times New Roman" w:eastAsia="MS Mincho" w:hAnsi="Times New Roman"/>
          <w:b/>
          <w:szCs w:val="22"/>
          <w:lang w:eastAsia="ja-JP"/>
        </w:rPr>
      </w:pPr>
      <w:r w:rsidRPr="00961E0F">
        <w:rPr>
          <w:rFonts w:ascii="Times New Roman" w:eastAsia="MS Mincho" w:hAnsi="Times New Roman"/>
          <w:b/>
          <w:szCs w:val="22"/>
        </w:rPr>
        <w:t>Tableau </w:t>
      </w:r>
      <w:r w:rsidR="00C0508D" w:rsidRPr="00961E0F">
        <w:rPr>
          <w:rFonts w:ascii="Times New Roman" w:eastAsia="MS Mincho" w:hAnsi="Times New Roman"/>
          <w:b/>
          <w:szCs w:val="22"/>
        </w:rPr>
        <w:t>8</w:t>
      </w:r>
      <w:r w:rsidRPr="00961E0F">
        <w:rPr>
          <w:rFonts w:ascii="Times New Roman" w:eastAsia="MS Mincho" w:hAnsi="Times New Roman"/>
          <w:szCs w:val="22"/>
        </w:rPr>
        <w:tab/>
      </w:r>
      <w:r w:rsidRPr="00961E0F">
        <w:rPr>
          <w:rFonts w:ascii="Times New Roman" w:eastAsia="MS Mincho" w:hAnsi="Times New Roman"/>
          <w:b/>
          <w:szCs w:val="22"/>
          <w:lang w:eastAsia="ja-JP"/>
        </w:rPr>
        <w:t>Traitement de 12 mois et de 36 mois par Glivec (essai SSGXVIII/AIO)</w:t>
      </w:r>
    </w:p>
    <w:p w14:paraId="3CBACC94" w14:textId="77777777" w:rsidR="007D642D" w:rsidRPr="00961E0F" w:rsidRDefault="007D642D" w:rsidP="00B92E0B">
      <w:pPr>
        <w:keepNext/>
        <w:rPr>
          <w:rFonts w:ascii="Times New Roman" w:eastAsia="MS Mincho" w:hAnsi="Times New Roman"/>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7D642D" w:rsidRPr="00961E0F" w14:paraId="4204129B" w14:textId="77777777" w:rsidTr="00B92E0B">
        <w:trPr>
          <w:cantSplit/>
        </w:trPr>
        <w:tc>
          <w:tcPr>
            <w:tcW w:w="3099" w:type="dxa"/>
            <w:tcBorders>
              <w:top w:val="single" w:sz="4" w:space="0" w:color="auto"/>
              <w:bottom w:val="nil"/>
            </w:tcBorders>
            <w:shd w:val="clear" w:color="auto" w:fill="auto"/>
          </w:tcPr>
          <w:p w14:paraId="654710B9" w14:textId="77777777" w:rsidR="007D642D" w:rsidRPr="00961E0F" w:rsidRDefault="007D642D" w:rsidP="00B92E0B">
            <w:pPr>
              <w:keepNext/>
              <w:tabs>
                <w:tab w:val="left" w:pos="284"/>
              </w:tabs>
              <w:rPr>
                <w:rFonts w:ascii="Times New Roman" w:eastAsia="MS Mincho" w:hAnsi="Times New Roman"/>
                <w:szCs w:val="22"/>
              </w:rPr>
            </w:pPr>
          </w:p>
        </w:tc>
        <w:tc>
          <w:tcPr>
            <w:tcW w:w="3100" w:type="dxa"/>
            <w:tcBorders>
              <w:top w:val="single" w:sz="4" w:space="0" w:color="auto"/>
              <w:bottom w:val="nil"/>
            </w:tcBorders>
            <w:shd w:val="clear" w:color="auto" w:fill="auto"/>
          </w:tcPr>
          <w:p w14:paraId="72596391"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Groupe de traitement de 12 mois</w:t>
            </w:r>
          </w:p>
        </w:tc>
        <w:tc>
          <w:tcPr>
            <w:tcW w:w="3100" w:type="dxa"/>
            <w:tcBorders>
              <w:top w:val="single" w:sz="4" w:space="0" w:color="auto"/>
              <w:bottom w:val="nil"/>
            </w:tcBorders>
            <w:shd w:val="clear" w:color="auto" w:fill="auto"/>
          </w:tcPr>
          <w:p w14:paraId="6A4DB420"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Groupe de traitement de 36 mois</w:t>
            </w:r>
          </w:p>
        </w:tc>
      </w:tr>
      <w:tr w:rsidR="007D642D" w:rsidRPr="00961E0F" w14:paraId="60758CDE" w14:textId="77777777" w:rsidTr="00B92E0B">
        <w:trPr>
          <w:cantSplit/>
        </w:trPr>
        <w:tc>
          <w:tcPr>
            <w:tcW w:w="3099" w:type="dxa"/>
            <w:tcBorders>
              <w:top w:val="nil"/>
            </w:tcBorders>
            <w:shd w:val="clear" w:color="auto" w:fill="auto"/>
          </w:tcPr>
          <w:p w14:paraId="314A9C20"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Survie sans rechute</w:t>
            </w:r>
          </w:p>
        </w:tc>
        <w:tc>
          <w:tcPr>
            <w:tcW w:w="3100" w:type="dxa"/>
            <w:tcBorders>
              <w:top w:val="nil"/>
            </w:tcBorders>
            <w:shd w:val="clear" w:color="auto" w:fill="auto"/>
          </w:tcPr>
          <w:p w14:paraId="16544CF9"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 (IC)</w:t>
            </w:r>
          </w:p>
        </w:tc>
        <w:tc>
          <w:tcPr>
            <w:tcW w:w="3100" w:type="dxa"/>
            <w:tcBorders>
              <w:top w:val="nil"/>
            </w:tcBorders>
            <w:shd w:val="clear" w:color="auto" w:fill="auto"/>
          </w:tcPr>
          <w:p w14:paraId="3B199BAA"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 (IC)</w:t>
            </w:r>
          </w:p>
        </w:tc>
      </w:tr>
      <w:tr w:rsidR="007D642D" w:rsidRPr="00961E0F" w14:paraId="2A35A39A" w14:textId="77777777" w:rsidTr="00B92E0B">
        <w:trPr>
          <w:cantSplit/>
        </w:trPr>
        <w:tc>
          <w:tcPr>
            <w:tcW w:w="3099" w:type="dxa"/>
            <w:shd w:val="clear" w:color="auto" w:fill="auto"/>
          </w:tcPr>
          <w:p w14:paraId="18A9FEC3"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12</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4C9F37B6"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93,7 (89,2</w:t>
            </w:r>
            <w:r w:rsidRPr="00961E0F">
              <w:rPr>
                <w:rFonts w:ascii="Times New Roman" w:eastAsia="MS Mincho" w:hAnsi="Times New Roman"/>
                <w:szCs w:val="22"/>
              </w:rPr>
              <w:noBreakHyphen/>
              <w:t>96,4)</w:t>
            </w:r>
          </w:p>
        </w:tc>
        <w:tc>
          <w:tcPr>
            <w:tcW w:w="3100" w:type="dxa"/>
            <w:shd w:val="clear" w:color="auto" w:fill="auto"/>
          </w:tcPr>
          <w:p w14:paraId="132915CA"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95,9 (91,9</w:t>
            </w:r>
            <w:r w:rsidRPr="00961E0F">
              <w:rPr>
                <w:rFonts w:ascii="Times New Roman" w:eastAsia="MS Mincho" w:hAnsi="Times New Roman"/>
                <w:szCs w:val="22"/>
              </w:rPr>
              <w:noBreakHyphen/>
              <w:t>97,9)</w:t>
            </w:r>
          </w:p>
        </w:tc>
      </w:tr>
      <w:tr w:rsidR="007D642D" w:rsidRPr="00961E0F" w14:paraId="4E2BCD47" w14:textId="77777777" w:rsidTr="00B92E0B">
        <w:trPr>
          <w:cantSplit/>
        </w:trPr>
        <w:tc>
          <w:tcPr>
            <w:tcW w:w="3099" w:type="dxa"/>
            <w:shd w:val="clear" w:color="auto" w:fill="auto"/>
          </w:tcPr>
          <w:p w14:paraId="66D20DC8"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24</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23678C65"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75,4 (68,6</w:t>
            </w:r>
            <w:r w:rsidRPr="00961E0F">
              <w:rPr>
                <w:rFonts w:ascii="Times New Roman" w:eastAsia="MS Mincho" w:hAnsi="Times New Roman"/>
                <w:szCs w:val="22"/>
              </w:rPr>
              <w:noBreakHyphen/>
              <w:t>81,0)</w:t>
            </w:r>
          </w:p>
        </w:tc>
        <w:tc>
          <w:tcPr>
            <w:tcW w:w="3100" w:type="dxa"/>
            <w:shd w:val="clear" w:color="auto" w:fill="auto"/>
          </w:tcPr>
          <w:p w14:paraId="5681D741"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90,7 (85,6</w:t>
            </w:r>
            <w:r w:rsidRPr="00961E0F">
              <w:rPr>
                <w:rFonts w:ascii="Times New Roman" w:eastAsia="MS Mincho" w:hAnsi="Times New Roman"/>
                <w:szCs w:val="22"/>
              </w:rPr>
              <w:noBreakHyphen/>
              <w:t>94,0)</w:t>
            </w:r>
          </w:p>
        </w:tc>
      </w:tr>
      <w:tr w:rsidR="007D642D" w:rsidRPr="00961E0F" w14:paraId="343AE501" w14:textId="77777777" w:rsidTr="00B92E0B">
        <w:trPr>
          <w:cantSplit/>
        </w:trPr>
        <w:tc>
          <w:tcPr>
            <w:tcW w:w="3099" w:type="dxa"/>
            <w:shd w:val="clear" w:color="auto" w:fill="auto"/>
          </w:tcPr>
          <w:p w14:paraId="016EEF85"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36</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17E762D0"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60,1 (52,5</w:t>
            </w:r>
            <w:r w:rsidRPr="00961E0F">
              <w:rPr>
                <w:rFonts w:ascii="Times New Roman" w:eastAsia="MS Mincho" w:hAnsi="Times New Roman"/>
                <w:szCs w:val="22"/>
              </w:rPr>
              <w:noBreakHyphen/>
              <w:t>66,9)</w:t>
            </w:r>
          </w:p>
        </w:tc>
        <w:tc>
          <w:tcPr>
            <w:tcW w:w="3100" w:type="dxa"/>
            <w:shd w:val="clear" w:color="auto" w:fill="auto"/>
          </w:tcPr>
          <w:p w14:paraId="22C68076"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86,6 (80,8</w:t>
            </w:r>
            <w:r w:rsidRPr="00961E0F">
              <w:rPr>
                <w:rFonts w:ascii="Times New Roman" w:eastAsia="MS Mincho" w:hAnsi="Times New Roman"/>
                <w:szCs w:val="22"/>
              </w:rPr>
              <w:noBreakHyphen/>
              <w:t>90,8)</w:t>
            </w:r>
          </w:p>
        </w:tc>
      </w:tr>
      <w:tr w:rsidR="007D642D" w:rsidRPr="00961E0F" w14:paraId="17C7CE14" w14:textId="77777777" w:rsidTr="00B92E0B">
        <w:trPr>
          <w:cantSplit/>
        </w:trPr>
        <w:tc>
          <w:tcPr>
            <w:tcW w:w="3099" w:type="dxa"/>
            <w:shd w:val="clear" w:color="auto" w:fill="auto"/>
          </w:tcPr>
          <w:p w14:paraId="5270270C"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48</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3396EB16"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52,3 (44,0</w:t>
            </w:r>
            <w:r w:rsidRPr="00961E0F">
              <w:rPr>
                <w:rFonts w:ascii="Times New Roman" w:eastAsia="MS Mincho" w:hAnsi="Times New Roman"/>
                <w:szCs w:val="22"/>
              </w:rPr>
              <w:noBreakHyphen/>
              <w:t>59,8)</w:t>
            </w:r>
          </w:p>
        </w:tc>
        <w:tc>
          <w:tcPr>
            <w:tcW w:w="3100" w:type="dxa"/>
            <w:shd w:val="clear" w:color="auto" w:fill="auto"/>
          </w:tcPr>
          <w:p w14:paraId="3FC5868E"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78,3 (70,8</w:t>
            </w:r>
            <w:r w:rsidRPr="00961E0F">
              <w:rPr>
                <w:rFonts w:ascii="Times New Roman" w:eastAsia="MS Mincho" w:hAnsi="Times New Roman"/>
                <w:szCs w:val="22"/>
              </w:rPr>
              <w:noBreakHyphen/>
              <w:t>84,1)</w:t>
            </w:r>
          </w:p>
        </w:tc>
      </w:tr>
      <w:tr w:rsidR="007D642D" w:rsidRPr="00961E0F" w14:paraId="53BA5D0B" w14:textId="77777777" w:rsidTr="00B92E0B">
        <w:trPr>
          <w:cantSplit/>
        </w:trPr>
        <w:tc>
          <w:tcPr>
            <w:tcW w:w="3099" w:type="dxa"/>
            <w:shd w:val="clear" w:color="auto" w:fill="auto"/>
          </w:tcPr>
          <w:p w14:paraId="67399C98"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60</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2839706D"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47,9 (39,0</w:t>
            </w:r>
            <w:r w:rsidRPr="00961E0F">
              <w:rPr>
                <w:rFonts w:ascii="Times New Roman" w:eastAsia="MS Mincho" w:hAnsi="Times New Roman"/>
                <w:szCs w:val="22"/>
              </w:rPr>
              <w:noBreakHyphen/>
              <w:t>56,3)</w:t>
            </w:r>
          </w:p>
        </w:tc>
        <w:tc>
          <w:tcPr>
            <w:tcW w:w="3100" w:type="dxa"/>
            <w:shd w:val="clear" w:color="auto" w:fill="auto"/>
          </w:tcPr>
          <w:p w14:paraId="3E9ACD14"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65,6 (56,1</w:t>
            </w:r>
            <w:r w:rsidRPr="00961E0F">
              <w:rPr>
                <w:rFonts w:ascii="Times New Roman" w:eastAsia="MS Mincho" w:hAnsi="Times New Roman"/>
                <w:szCs w:val="22"/>
              </w:rPr>
              <w:noBreakHyphen/>
              <w:t>73,4)</w:t>
            </w:r>
          </w:p>
        </w:tc>
      </w:tr>
      <w:tr w:rsidR="007D642D" w:rsidRPr="00961E0F" w14:paraId="1315079E" w14:textId="77777777" w:rsidTr="00B92E0B">
        <w:trPr>
          <w:cantSplit/>
        </w:trPr>
        <w:tc>
          <w:tcPr>
            <w:tcW w:w="3099" w:type="dxa"/>
            <w:shd w:val="clear" w:color="auto" w:fill="auto"/>
          </w:tcPr>
          <w:p w14:paraId="2F90549A" w14:textId="77777777" w:rsidR="007D642D" w:rsidRPr="00961E0F" w:rsidRDefault="007D642D" w:rsidP="00B92E0B">
            <w:pPr>
              <w:keepNext/>
              <w:tabs>
                <w:tab w:val="left" w:pos="284"/>
              </w:tabs>
              <w:rPr>
                <w:rFonts w:ascii="Times New Roman" w:eastAsia="MS Mincho" w:hAnsi="Times New Roman"/>
                <w:b/>
                <w:szCs w:val="22"/>
              </w:rPr>
            </w:pPr>
            <w:r w:rsidRPr="00961E0F">
              <w:rPr>
                <w:rFonts w:ascii="Times New Roman" w:eastAsia="MS Mincho" w:hAnsi="Times New Roman"/>
                <w:b/>
                <w:szCs w:val="22"/>
              </w:rPr>
              <w:t>Survie</w:t>
            </w:r>
          </w:p>
        </w:tc>
        <w:tc>
          <w:tcPr>
            <w:tcW w:w="3100" w:type="dxa"/>
            <w:shd w:val="clear" w:color="auto" w:fill="auto"/>
          </w:tcPr>
          <w:p w14:paraId="4F0A571C" w14:textId="77777777" w:rsidR="007D642D" w:rsidRPr="00961E0F" w:rsidRDefault="007D642D" w:rsidP="00B92E0B">
            <w:pPr>
              <w:keepNext/>
              <w:tabs>
                <w:tab w:val="left" w:pos="284"/>
              </w:tabs>
              <w:rPr>
                <w:rFonts w:ascii="Times New Roman" w:eastAsia="MS Mincho" w:hAnsi="Times New Roman"/>
                <w:szCs w:val="22"/>
              </w:rPr>
            </w:pPr>
          </w:p>
        </w:tc>
        <w:tc>
          <w:tcPr>
            <w:tcW w:w="3100" w:type="dxa"/>
            <w:shd w:val="clear" w:color="auto" w:fill="auto"/>
          </w:tcPr>
          <w:p w14:paraId="5ABCABBB" w14:textId="77777777" w:rsidR="007D642D" w:rsidRPr="00961E0F" w:rsidRDefault="007D642D" w:rsidP="00B92E0B">
            <w:pPr>
              <w:keepNext/>
              <w:tabs>
                <w:tab w:val="left" w:pos="284"/>
              </w:tabs>
              <w:rPr>
                <w:rFonts w:ascii="Times New Roman" w:eastAsia="MS Mincho" w:hAnsi="Times New Roman"/>
                <w:szCs w:val="22"/>
              </w:rPr>
            </w:pPr>
          </w:p>
        </w:tc>
      </w:tr>
      <w:tr w:rsidR="007D642D" w:rsidRPr="00961E0F" w14:paraId="00DD3DE4" w14:textId="77777777" w:rsidTr="00B92E0B">
        <w:trPr>
          <w:cantSplit/>
        </w:trPr>
        <w:tc>
          <w:tcPr>
            <w:tcW w:w="3099" w:type="dxa"/>
            <w:shd w:val="clear" w:color="auto" w:fill="auto"/>
          </w:tcPr>
          <w:p w14:paraId="28D1F458"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36</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19979370"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94,0 (89,5</w:t>
            </w:r>
            <w:r w:rsidRPr="00961E0F">
              <w:rPr>
                <w:rFonts w:ascii="Times New Roman" w:eastAsia="MS Mincho" w:hAnsi="Times New Roman"/>
                <w:szCs w:val="22"/>
              </w:rPr>
              <w:noBreakHyphen/>
              <w:t>96,7)</w:t>
            </w:r>
          </w:p>
        </w:tc>
        <w:tc>
          <w:tcPr>
            <w:tcW w:w="3100" w:type="dxa"/>
            <w:shd w:val="clear" w:color="auto" w:fill="auto"/>
          </w:tcPr>
          <w:p w14:paraId="66FFDD64"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96,3 (92,4</w:t>
            </w:r>
            <w:r w:rsidRPr="00961E0F">
              <w:rPr>
                <w:rFonts w:ascii="Times New Roman" w:eastAsia="MS Mincho" w:hAnsi="Times New Roman"/>
                <w:szCs w:val="22"/>
              </w:rPr>
              <w:noBreakHyphen/>
              <w:t>98,2)</w:t>
            </w:r>
          </w:p>
        </w:tc>
      </w:tr>
      <w:tr w:rsidR="007D642D" w:rsidRPr="00961E0F" w14:paraId="6E95C761" w14:textId="77777777" w:rsidTr="00B92E0B">
        <w:trPr>
          <w:cantSplit/>
        </w:trPr>
        <w:tc>
          <w:tcPr>
            <w:tcW w:w="3099" w:type="dxa"/>
            <w:shd w:val="clear" w:color="auto" w:fill="auto"/>
          </w:tcPr>
          <w:p w14:paraId="429C1145" w14:textId="77777777" w:rsidR="007D642D" w:rsidRPr="00961E0F" w:rsidRDefault="007D642D" w:rsidP="00B92E0B">
            <w:pPr>
              <w:keepNext/>
              <w:ind w:left="284"/>
              <w:rPr>
                <w:rFonts w:ascii="Times New Roman" w:eastAsia="MS Mincho" w:hAnsi="Times New Roman"/>
                <w:szCs w:val="22"/>
              </w:rPr>
            </w:pPr>
            <w:r w:rsidRPr="00961E0F">
              <w:rPr>
                <w:rFonts w:ascii="Times New Roman" w:eastAsia="MS Mincho" w:hAnsi="Times New Roman"/>
                <w:szCs w:val="22"/>
              </w:rPr>
              <w:t>48</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784F5BCE"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87,9 (81,1</w:t>
            </w:r>
            <w:r w:rsidRPr="00961E0F">
              <w:rPr>
                <w:rFonts w:ascii="Times New Roman" w:eastAsia="MS Mincho" w:hAnsi="Times New Roman"/>
                <w:szCs w:val="22"/>
              </w:rPr>
              <w:noBreakHyphen/>
              <w:t>92,3)</w:t>
            </w:r>
          </w:p>
        </w:tc>
        <w:tc>
          <w:tcPr>
            <w:tcW w:w="3100" w:type="dxa"/>
            <w:shd w:val="clear" w:color="auto" w:fill="auto"/>
          </w:tcPr>
          <w:p w14:paraId="1781EE0B" w14:textId="77777777" w:rsidR="007D642D" w:rsidRPr="00961E0F" w:rsidRDefault="007D642D" w:rsidP="00B92E0B">
            <w:pPr>
              <w:keepNext/>
              <w:tabs>
                <w:tab w:val="left" w:pos="284"/>
              </w:tabs>
              <w:rPr>
                <w:rFonts w:ascii="Times New Roman" w:eastAsia="MS Mincho" w:hAnsi="Times New Roman"/>
                <w:szCs w:val="22"/>
              </w:rPr>
            </w:pPr>
            <w:r w:rsidRPr="00961E0F">
              <w:rPr>
                <w:rFonts w:ascii="Times New Roman" w:eastAsia="MS Mincho" w:hAnsi="Times New Roman"/>
                <w:szCs w:val="22"/>
              </w:rPr>
              <w:t>95,6 (91,2</w:t>
            </w:r>
            <w:r w:rsidRPr="00961E0F">
              <w:rPr>
                <w:rFonts w:ascii="Times New Roman" w:eastAsia="MS Mincho" w:hAnsi="Times New Roman"/>
                <w:szCs w:val="22"/>
              </w:rPr>
              <w:noBreakHyphen/>
              <w:t>97,8)</w:t>
            </w:r>
          </w:p>
        </w:tc>
      </w:tr>
      <w:tr w:rsidR="007D642D" w:rsidRPr="00961E0F" w14:paraId="436E6E6A" w14:textId="77777777" w:rsidTr="00B92E0B">
        <w:trPr>
          <w:cantSplit/>
        </w:trPr>
        <w:tc>
          <w:tcPr>
            <w:tcW w:w="3099" w:type="dxa"/>
            <w:shd w:val="clear" w:color="auto" w:fill="auto"/>
          </w:tcPr>
          <w:p w14:paraId="030EB49A" w14:textId="77777777" w:rsidR="007D642D" w:rsidRPr="00961E0F" w:rsidRDefault="007D642D" w:rsidP="00B92E0B">
            <w:pPr>
              <w:ind w:left="284"/>
              <w:rPr>
                <w:rFonts w:ascii="Times New Roman" w:eastAsia="MS Mincho" w:hAnsi="Times New Roman"/>
                <w:szCs w:val="22"/>
              </w:rPr>
            </w:pPr>
            <w:r w:rsidRPr="00961E0F">
              <w:rPr>
                <w:rFonts w:ascii="Times New Roman" w:eastAsia="MS Mincho" w:hAnsi="Times New Roman"/>
                <w:szCs w:val="22"/>
              </w:rPr>
              <w:t>60</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66331BD5" w14:textId="77777777" w:rsidR="007D642D" w:rsidRPr="00961E0F" w:rsidRDefault="007D642D" w:rsidP="00B92E0B">
            <w:pPr>
              <w:tabs>
                <w:tab w:val="left" w:pos="284"/>
              </w:tabs>
              <w:rPr>
                <w:rFonts w:ascii="Times New Roman" w:eastAsia="MS Mincho" w:hAnsi="Times New Roman"/>
                <w:szCs w:val="22"/>
              </w:rPr>
            </w:pPr>
            <w:r w:rsidRPr="00961E0F">
              <w:rPr>
                <w:rFonts w:ascii="Times New Roman" w:eastAsia="MS Mincho" w:hAnsi="Times New Roman"/>
                <w:szCs w:val="22"/>
              </w:rPr>
              <w:t>81,7 (73,0</w:t>
            </w:r>
            <w:r w:rsidRPr="00961E0F">
              <w:rPr>
                <w:rFonts w:ascii="Times New Roman" w:eastAsia="MS Mincho" w:hAnsi="Times New Roman"/>
                <w:szCs w:val="22"/>
              </w:rPr>
              <w:noBreakHyphen/>
              <w:t>87,8)</w:t>
            </w:r>
          </w:p>
        </w:tc>
        <w:tc>
          <w:tcPr>
            <w:tcW w:w="3100" w:type="dxa"/>
            <w:shd w:val="clear" w:color="auto" w:fill="auto"/>
          </w:tcPr>
          <w:p w14:paraId="51BFBACF" w14:textId="77777777" w:rsidR="007D642D" w:rsidRPr="00961E0F" w:rsidRDefault="007D642D" w:rsidP="00B92E0B">
            <w:pPr>
              <w:tabs>
                <w:tab w:val="left" w:pos="284"/>
              </w:tabs>
              <w:rPr>
                <w:rFonts w:ascii="Times New Roman" w:eastAsia="MS Mincho" w:hAnsi="Times New Roman"/>
                <w:szCs w:val="22"/>
              </w:rPr>
            </w:pPr>
            <w:r w:rsidRPr="00961E0F">
              <w:rPr>
                <w:rFonts w:ascii="Times New Roman" w:eastAsia="MS Mincho" w:hAnsi="Times New Roman"/>
                <w:szCs w:val="22"/>
              </w:rPr>
              <w:t>92,0 (85,3</w:t>
            </w:r>
            <w:r w:rsidRPr="00961E0F">
              <w:rPr>
                <w:rFonts w:ascii="Times New Roman" w:eastAsia="MS Mincho" w:hAnsi="Times New Roman"/>
                <w:szCs w:val="22"/>
              </w:rPr>
              <w:noBreakHyphen/>
              <w:t>95,7)</w:t>
            </w:r>
          </w:p>
        </w:tc>
      </w:tr>
    </w:tbl>
    <w:p w14:paraId="7E8EC2D4" w14:textId="77777777" w:rsidR="007D642D" w:rsidRPr="00961E0F" w:rsidRDefault="007D642D">
      <w:pPr>
        <w:rPr>
          <w:rFonts w:ascii="Times New Roman" w:eastAsia="MS Mincho" w:hAnsi="Times New Roman"/>
          <w:szCs w:val="22"/>
        </w:rPr>
      </w:pPr>
    </w:p>
    <w:p w14:paraId="45D5358D" w14:textId="77777777" w:rsidR="007D642D" w:rsidRPr="00961E0F" w:rsidRDefault="00351949">
      <w:pPr>
        <w:keepNext/>
        <w:tabs>
          <w:tab w:val="left" w:pos="1134"/>
        </w:tabs>
        <w:ind w:left="1134" w:hanging="1134"/>
        <w:outlineLvl w:val="6"/>
        <w:rPr>
          <w:rFonts w:ascii="Times New Roman" w:eastAsia="MS Mincho" w:hAnsi="Times New Roman"/>
          <w:b/>
          <w:szCs w:val="22"/>
        </w:rPr>
      </w:pPr>
      <w:r w:rsidRPr="00961E0F">
        <w:rPr>
          <w:noProof/>
          <w:lang w:val="en-US"/>
        </w:rPr>
        <mc:AlternateContent>
          <mc:Choice Requires="wps">
            <w:drawing>
              <wp:anchor distT="0" distB="0" distL="114300" distR="114300" simplePos="0" relativeHeight="251652096" behindDoc="0" locked="0" layoutInCell="1" allowOverlap="1" wp14:anchorId="402D3981" wp14:editId="2203E98D">
                <wp:simplePos x="0" y="0"/>
                <wp:positionH relativeFrom="column">
                  <wp:posOffset>-297815</wp:posOffset>
                </wp:positionH>
                <wp:positionV relativeFrom="paragraph">
                  <wp:posOffset>284480</wp:posOffset>
                </wp:positionV>
                <wp:extent cx="335915" cy="25558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555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7DD61" w14:textId="77777777" w:rsidR="002D746F" w:rsidRDefault="002D746F">
                            <w:pPr>
                              <w:rPr>
                                <w:rFonts w:ascii="Arial" w:hAnsi="Arial" w:cs="Arial"/>
                                <w:sz w:val="20"/>
                              </w:rPr>
                            </w:pPr>
                            <w:r>
                              <w:rPr>
                                <w:rFonts w:ascii="Arial" w:hAnsi="Arial" w:cs="Arial"/>
                                <w:sz w:val="20"/>
                              </w:rPr>
                              <w:t>Probabilité de survie sans rechute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2D3981" id="_x0000_t202" coordsize="21600,21600" o:spt="202" path="m,l,21600r21600,l21600,xe">
                <v:stroke joinstyle="miter"/>
                <v:path gradientshapeok="t" o:connecttype="rect"/>
              </v:shapetype>
              <v:shape id="Text Box 2" o:spid="_x0000_s1026" type="#_x0000_t202" style="position:absolute;left:0;text-align:left;margin-left:-23.45pt;margin-top:22.4pt;width:26.45pt;height:20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" stroked="f">
                <v:fill opacity="0"/>
                <v:textbox style="layout-flow:vertical;mso-layout-flow-alt:bottom-to-top">
                  <w:txbxContent>
                    <w:p w14:paraId="6377DD61" w14:textId="77777777" w:rsidR="002D746F" w:rsidRDefault="002D746F">
                      <w:pPr>
                        <w:rPr>
                          <w:rFonts w:ascii="Arial" w:hAnsi="Arial" w:cs="Arial"/>
                          <w:sz w:val="20"/>
                        </w:rPr>
                      </w:pPr>
                      <w:r>
                        <w:rPr>
                          <w:rFonts w:ascii="Arial" w:hAnsi="Arial" w:cs="Arial"/>
                          <w:sz w:val="20"/>
                        </w:rPr>
                        <w:t>Probabilité de survie sans rechute</w:t>
                      </w:r>
                    </w:p>
                  </w:txbxContent>
                </v:textbox>
              </v:shape>
            </w:pict>
          </mc:Fallback>
        </mc:AlternateContent>
      </w:r>
      <w:r w:rsidR="007D642D" w:rsidRPr="00961E0F">
        <w:rPr>
          <w:rFonts w:ascii="Times New Roman" w:eastAsia="MS Mincho" w:hAnsi="Times New Roman"/>
          <w:b/>
          <w:szCs w:val="22"/>
        </w:rPr>
        <w:t>Figure 1</w:t>
      </w:r>
      <w:r w:rsidR="007D642D" w:rsidRPr="00961E0F">
        <w:rPr>
          <w:rFonts w:ascii="Times New Roman" w:eastAsia="MS Mincho" w:hAnsi="Times New Roman"/>
          <w:b/>
          <w:szCs w:val="22"/>
        </w:rPr>
        <w:tab/>
        <w:t>Estimations de Kaplan-Meier pour le critère principal d'évaluation : la survie sans rechute (population ITT)</w:t>
      </w:r>
    </w:p>
    <w:p w14:paraId="1F7449DA" w14:textId="77777777" w:rsidR="007D642D" w:rsidRPr="00961E0F" w:rsidRDefault="007D642D">
      <w:pPr>
        <w:pStyle w:val="EndnoteText"/>
        <w:keepNext/>
        <w:widowControl w:val="0"/>
        <w:tabs>
          <w:tab w:val="clear" w:pos="567"/>
        </w:tabs>
        <w:rPr>
          <w:color w:val="000000"/>
          <w:szCs w:val="22"/>
          <w:lang w:val="fr-FR"/>
        </w:rPr>
      </w:pPr>
    </w:p>
    <w:p w14:paraId="4B41EBB0" w14:textId="77777777" w:rsidR="007D642D" w:rsidRPr="00961E0F" w:rsidRDefault="00351949">
      <w:pPr>
        <w:pStyle w:val="EndnoteText"/>
        <w:widowControl w:val="0"/>
        <w:tabs>
          <w:tab w:val="clear" w:pos="567"/>
        </w:tabs>
        <w:rPr>
          <w:color w:val="000000"/>
          <w:szCs w:val="22"/>
          <w:lang w:val="fr-FR"/>
        </w:rPr>
      </w:pPr>
      <w:r w:rsidRPr="00961E0F">
        <w:rPr>
          <w:noProof/>
          <w:color w:val="000000"/>
          <w:szCs w:val="22"/>
          <w:lang w:val="en-US"/>
        </w:rPr>
        <mc:AlternateContent>
          <mc:Choice Requires="wps">
            <w:drawing>
              <wp:anchor distT="0" distB="0" distL="114300" distR="114300" simplePos="0" relativeHeight="251654144" behindDoc="0" locked="0" layoutInCell="1" allowOverlap="1" wp14:anchorId="0B2377FB" wp14:editId="6ABE7CAC">
                <wp:simplePos x="0" y="0"/>
                <wp:positionH relativeFrom="column">
                  <wp:posOffset>1871345</wp:posOffset>
                </wp:positionH>
                <wp:positionV relativeFrom="paragraph">
                  <wp:posOffset>2682875</wp:posOffset>
                </wp:positionV>
                <wp:extent cx="1638300" cy="2863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6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27A94" w14:textId="77777777" w:rsidR="002D746F" w:rsidRDefault="002D746F">
                            <w:pPr>
                              <w:rPr>
                                <w:rFonts w:ascii="Arial" w:hAnsi="Arial" w:cs="Arial"/>
                                <w:sz w:val="20"/>
                              </w:rPr>
                            </w:pPr>
                            <w:r>
                              <w:rPr>
                                <w:rFonts w:ascii="Arial" w:hAnsi="Arial" w:cs="Arial"/>
                                <w:sz w:val="20"/>
                              </w:rPr>
                              <w:t>Délai de survie en mois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2377FB" id="_x0000_s1027" type="#_x0000_t202" style="position:absolute;margin-left:147.35pt;margin-top:211.25pt;width:129pt;height:2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" stroked="f">
                <v:fill opacity="0"/>
                <v:textbox>
                  <w:txbxContent>
                    <w:p w14:paraId="00927A94" w14:textId="77777777" w:rsidR="002D746F" w:rsidRDefault="002D746F">
                      <w:pPr>
                        <w:rPr>
                          <w:rFonts w:ascii="Arial" w:hAnsi="Arial" w:cs="Arial"/>
                          <w:sz w:val="20"/>
                        </w:rPr>
                      </w:pPr>
                      <w:r>
                        <w:rPr>
                          <w:rFonts w:ascii="Arial" w:hAnsi="Arial" w:cs="Arial"/>
                          <w:sz w:val="20"/>
                        </w:rPr>
                        <w:t>Délai de survie en mois</w:t>
                      </w:r>
                    </w:p>
                  </w:txbxContent>
                </v:textbox>
              </v:shape>
            </w:pict>
          </mc:Fallback>
        </mc:AlternateContent>
      </w:r>
      <w:r w:rsidRPr="00961E0F">
        <w:rPr>
          <w:noProof/>
          <w:lang w:val="en-US"/>
        </w:rPr>
        <mc:AlternateContent>
          <mc:Choice Requires="wps">
            <w:drawing>
              <wp:anchor distT="0" distB="0" distL="114300" distR="114300" simplePos="0" relativeHeight="251653120" behindDoc="0" locked="0" layoutInCell="1" allowOverlap="1" wp14:anchorId="28C1BDEF" wp14:editId="2BA03F6F">
                <wp:simplePos x="0" y="0"/>
                <wp:positionH relativeFrom="column">
                  <wp:posOffset>360045</wp:posOffset>
                </wp:positionH>
                <wp:positionV relativeFrom="paragraph">
                  <wp:posOffset>1196975</wp:posOffset>
                </wp:positionV>
                <wp:extent cx="4585335" cy="12192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2D746F" w14:paraId="06289A4A" w14:textId="77777777">
                              <w:trPr>
                                <w:gridAfter w:val="3"/>
                                <w:wAfter w:w="2410" w:type="dxa"/>
                              </w:trPr>
                              <w:tc>
                                <w:tcPr>
                                  <w:tcW w:w="3281" w:type="dxa"/>
                                  <w:gridSpan w:val="2"/>
                                  <w:shd w:val="clear" w:color="auto" w:fill="auto"/>
                                </w:tcPr>
                                <w:p w14:paraId="3FB4B4C9" w14:textId="77777777" w:rsidR="002D746F" w:rsidRDefault="002D746F">
                                  <w:pPr>
                                    <w:rPr>
                                      <w:rFonts w:ascii="Arial" w:hAnsi="Arial" w:cs="Arial"/>
                                      <w:sz w:val="20"/>
                                    </w:rPr>
                                  </w:pPr>
                                  <w:r>
                                    <w:rPr>
                                      <w:rFonts w:ascii="Arial" w:hAnsi="Arial" w:cs="Arial"/>
                                      <w:sz w:val="20"/>
                                    </w:rPr>
                                    <w:t>P &lt; 0,0001</w:t>
                                  </w:r>
                                </w:p>
                                <w:p w14:paraId="128858EE" w14:textId="77777777" w:rsidR="002D746F" w:rsidRDefault="002D746F">
                                  <w:pPr>
                                    <w:rPr>
                                      <w:rFonts w:ascii="Arial" w:hAnsi="Arial" w:cs="Arial"/>
                                      <w:sz w:val="20"/>
                                    </w:rPr>
                                  </w:pPr>
                                  <w:r>
                                    <w:rPr>
                                      <w:rFonts w:ascii="Arial" w:hAnsi="Arial" w:cs="Arial"/>
                                      <w:sz w:val="20"/>
                                      <w:lang w:val="en-US"/>
                                    </w:rPr>
                                    <w:t>Hazard ratio</w:t>
                                  </w:r>
                                  <w:r>
                                    <w:rPr>
                                      <w:rFonts w:ascii="Arial" w:hAnsi="Arial" w:cs="Arial"/>
                                      <w:sz w:val="20"/>
                                    </w:rPr>
                                    <w:t xml:space="preserve"> 0,46</w:t>
                                  </w:r>
                                </w:p>
                                <w:p w14:paraId="13C84C6C" w14:textId="77777777" w:rsidR="002D746F" w:rsidRDefault="002D746F">
                                  <w:pPr>
                                    <w:rPr>
                                      <w:rFonts w:ascii="Arial" w:hAnsi="Arial" w:cs="Arial"/>
                                      <w:sz w:val="20"/>
                                      <w:lang w:val="de-DE"/>
                                    </w:rPr>
                                  </w:pPr>
                                  <w:r>
                                    <w:rPr>
                                      <w:rFonts w:ascii="Arial" w:hAnsi="Arial" w:cs="Arial"/>
                                      <w:sz w:val="20"/>
                                    </w:rPr>
                                    <w:t>(</w:t>
                                  </w:r>
                                  <w:r>
                                    <w:rPr>
                                      <w:rFonts w:ascii="Arial" w:hAnsi="Arial" w:cs="Arial"/>
                                      <w:sz w:val="20"/>
                                      <w:lang w:val="en-US"/>
                                    </w:rPr>
                                    <w:t>95% IC</w:t>
                                  </w:r>
                                  <w:r>
                                    <w:rPr>
                                      <w:rFonts w:ascii="Arial" w:hAnsi="Arial" w:cs="Arial"/>
                                      <w:sz w:val="20"/>
                                    </w:rPr>
                                    <w:t>, 0,32</w:t>
                                  </w:r>
                                  <w:r>
                                    <w:rPr>
                                      <w:rFonts w:ascii="Arial" w:hAnsi="Arial" w:cs="Arial"/>
                                      <w:sz w:val="20"/>
                                    </w:rPr>
                                    <w:noBreakHyphen/>
                                    <w:t>0,65)</w:t>
                                  </w:r>
                                </w:p>
                              </w:tc>
                            </w:tr>
                            <w:tr w:rsidR="002D746F" w14:paraId="771D80DB" w14:textId="77777777">
                              <w:tc>
                                <w:tcPr>
                                  <w:tcW w:w="817" w:type="dxa"/>
                                  <w:shd w:val="clear" w:color="auto" w:fill="auto"/>
                                </w:tcPr>
                                <w:p w14:paraId="5EB3AE32" w14:textId="77777777" w:rsidR="002D746F" w:rsidRDefault="002D746F">
                                  <w:pPr>
                                    <w:rPr>
                                      <w:rFonts w:ascii="Arial" w:hAnsi="Arial" w:cs="Arial"/>
                                      <w:sz w:val="20"/>
                                    </w:rPr>
                                  </w:pPr>
                                </w:p>
                              </w:tc>
                              <w:tc>
                                <w:tcPr>
                                  <w:tcW w:w="2464" w:type="dxa"/>
                                  <w:shd w:val="clear" w:color="auto" w:fill="auto"/>
                                </w:tcPr>
                                <w:p w14:paraId="2E2E9F8A"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4DAB2FC6"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3B549313"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369B1911" w14:textId="77777777" w:rsidR="002D746F" w:rsidRDefault="002D746F">
                                  <w:pPr>
                                    <w:rPr>
                                      <w:rFonts w:ascii="Arial" w:hAnsi="Arial" w:cs="Arial"/>
                                      <w:sz w:val="20"/>
                                    </w:rPr>
                                  </w:pPr>
                                  <w:r>
                                    <w:rPr>
                                      <w:rFonts w:ascii="Arial" w:hAnsi="Arial" w:cs="Arial"/>
                                      <w:sz w:val="20"/>
                                      <w:lang w:val="de-DE"/>
                                    </w:rPr>
                                    <w:t>Cen</w:t>
                                  </w:r>
                                </w:p>
                              </w:tc>
                            </w:tr>
                            <w:tr w:rsidR="002D746F" w14:paraId="5B0DD7AF" w14:textId="77777777">
                              <w:tc>
                                <w:tcPr>
                                  <w:tcW w:w="817" w:type="dxa"/>
                                  <w:shd w:val="clear" w:color="auto" w:fill="auto"/>
                                </w:tcPr>
                                <w:p w14:paraId="41E5500A"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153C5A7D"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4768327E"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0365F7C0" w14:textId="77777777" w:rsidR="002D746F" w:rsidRDefault="002D746F">
                                  <w:pPr>
                                    <w:rPr>
                                      <w:rFonts w:ascii="Arial" w:hAnsi="Arial" w:cs="Arial"/>
                                      <w:sz w:val="20"/>
                                    </w:rPr>
                                  </w:pPr>
                                  <w:r>
                                    <w:rPr>
                                      <w:rFonts w:ascii="Arial" w:hAnsi="Arial" w:cs="Arial"/>
                                      <w:sz w:val="20"/>
                                    </w:rPr>
                                    <w:t>84</w:t>
                                  </w:r>
                                </w:p>
                              </w:tc>
                              <w:tc>
                                <w:tcPr>
                                  <w:tcW w:w="850" w:type="dxa"/>
                                  <w:tcBorders>
                                    <w:top w:val="single" w:sz="4" w:space="0" w:color="auto"/>
                                  </w:tcBorders>
                                  <w:shd w:val="clear" w:color="auto" w:fill="auto"/>
                                </w:tcPr>
                                <w:p w14:paraId="79DE2A68" w14:textId="77777777" w:rsidR="002D746F" w:rsidRDefault="002D746F">
                                  <w:pPr>
                                    <w:rPr>
                                      <w:rFonts w:ascii="Arial" w:hAnsi="Arial" w:cs="Arial"/>
                                      <w:sz w:val="20"/>
                                    </w:rPr>
                                  </w:pPr>
                                  <w:r>
                                    <w:rPr>
                                      <w:rFonts w:ascii="Arial" w:hAnsi="Arial" w:cs="Arial"/>
                                      <w:sz w:val="20"/>
                                    </w:rPr>
                                    <w:t>115</w:t>
                                  </w:r>
                                </w:p>
                              </w:tc>
                            </w:tr>
                            <w:tr w:rsidR="002D746F" w14:paraId="31A92225" w14:textId="77777777">
                              <w:tc>
                                <w:tcPr>
                                  <w:tcW w:w="817" w:type="dxa"/>
                                  <w:shd w:val="clear" w:color="auto" w:fill="auto"/>
                                </w:tcPr>
                                <w:p w14:paraId="3D1830D0"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415660A"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23F87C9B"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0ED0FA2A" w14:textId="77777777" w:rsidR="002D746F" w:rsidRDefault="002D746F">
                                  <w:pPr>
                                    <w:rPr>
                                      <w:rFonts w:ascii="Arial" w:hAnsi="Arial" w:cs="Arial"/>
                                      <w:sz w:val="20"/>
                                    </w:rPr>
                                  </w:pPr>
                                  <w:r>
                                    <w:rPr>
                                      <w:rFonts w:ascii="Arial" w:hAnsi="Arial" w:cs="Arial"/>
                                      <w:sz w:val="20"/>
                                    </w:rPr>
                                    <w:t>50</w:t>
                                  </w:r>
                                </w:p>
                              </w:tc>
                              <w:tc>
                                <w:tcPr>
                                  <w:tcW w:w="850" w:type="dxa"/>
                                  <w:tcBorders>
                                    <w:bottom w:val="single" w:sz="4" w:space="0" w:color="auto"/>
                                  </w:tcBorders>
                                  <w:shd w:val="clear" w:color="auto" w:fill="auto"/>
                                </w:tcPr>
                                <w:p w14:paraId="0219C50D" w14:textId="77777777" w:rsidR="002D746F" w:rsidRDefault="002D746F">
                                  <w:pPr>
                                    <w:rPr>
                                      <w:rFonts w:ascii="Arial" w:hAnsi="Arial" w:cs="Arial"/>
                                      <w:sz w:val="20"/>
                                    </w:rPr>
                                  </w:pPr>
                                  <w:r>
                                    <w:rPr>
                                      <w:rFonts w:ascii="Arial" w:hAnsi="Arial" w:cs="Arial"/>
                                      <w:sz w:val="20"/>
                                    </w:rPr>
                                    <w:t>148</w:t>
                                  </w:r>
                                </w:p>
                              </w:tc>
                            </w:tr>
                            <w:tr w:rsidR="002D746F" w14:paraId="2CCD371C" w14:textId="77777777">
                              <w:tc>
                                <w:tcPr>
                                  <w:tcW w:w="817" w:type="dxa"/>
                                  <w:shd w:val="clear" w:color="auto" w:fill="auto"/>
                                </w:tcPr>
                                <w:p w14:paraId="408FB58B"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43466A4"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495296EA"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00747A16"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0F7C40C3" w14:textId="77777777" w:rsidR="002D746F" w:rsidRDefault="002D746F">
                                  <w:pPr>
                                    <w:rPr>
                                      <w:rFonts w:ascii="Arial" w:hAnsi="Arial" w:cs="Arial"/>
                                      <w:sz w:val="20"/>
                                    </w:rPr>
                                  </w:pPr>
                                </w:p>
                              </w:tc>
                            </w:tr>
                          </w:tbl>
                          <w:p w14:paraId="57C7E9FA" w14:textId="77777777" w:rsidR="002D746F" w:rsidRDefault="002D746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1BDEF" id="_x0000_s1028" type="#_x0000_t202" style="position:absolute;margin-left:28.35pt;margin-top:94.25pt;width:361.05pt;height: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Bt9QEAAM8DAAAOAAAAZHJzL2Uyb0RvYy54bWysU8Fu2zAMvQ/YPwi6L47TZ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851"/>
                        <w:gridCol w:w="709"/>
                        <w:gridCol w:w="850"/>
                      </w:tblGrid>
                      <w:tr w:rsidR="002D746F" w14:paraId="06289A4A" w14:textId="77777777">
                        <w:trPr>
                          <w:gridAfter w:val="3"/>
                          <w:wAfter w:w="2410" w:type="dxa"/>
                        </w:trPr>
                        <w:tc>
                          <w:tcPr>
                            <w:tcW w:w="3281" w:type="dxa"/>
                            <w:gridSpan w:val="2"/>
                            <w:shd w:val="clear" w:color="auto" w:fill="auto"/>
                          </w:tcPr>
                          <w:p w14:paraId="3FB4B4C9" w14:textId="77777777" w:rsidR="002D746F" w:rsidRDefault="002D746F">
                            <w:pPr>
                              <w:rPr>
                                <w:rFonts w:ascii="Arial" w:hAnsi="Arial" w:cs="Arial"/>
                                <w:sz w:val="20"/>
                              </w:rPr>
                            </w:pPr>
                            <w:r>
                              <w:rPr>
                                <w:rFonts w:ascii="Arial" w:hAnsi="Arial" w:cs="Arial"/>
                                <w:sz w:val="20"/>
                              </w:rPr>
                              <w:t>P &lt; 0,0001</w:t>
                            </w:r>
                          </w:p>
                          <w:p w14:paraId="128858EE" w14:textId="77777777" w:rsidR="002D746F" w:rsidRDefault="002D746F">
                            <w:pPr>
                              <w:rPr>
                                <w:rFonts w:ascii="Arial" w:hAnsi="Arial" w:cs="Arial"/>
                                <w:sz w:val="20"/>
                              </w:rPr>
                            </w:pPr>
                            <w:r>
                              <w:rPr>
                                <w:rFonts w:ascii="Arial" w:hAnsi="Arial" w:cs="Arial"/>
                                <w:sz w:val="20"/>
                                <w:lang w:val="en-US"/>
                              </w:rPr>
                              <w:t>Hazard ratio</w:t>
                            </w:r>
                            <w:r>
                              <w:rPr>
                                <w:rFonts w:ascii="Arial" w:hAnsi="Arial" w:cs="Arial"/>
                                <w:sz w:val="20"/>
                              </w:rPr>
                              <w:t xml:space="preserve"> 0,46</w:t>
                            </w:r>
                          </w:p>
                          <w:p w14:paraId="13C84C6C" w14:textId="77777777" w:rsidR="002D746F" w:rsidRDefault="002D746F">
                            <w:pPr>
                              <w:rPr>
                                <w:rFonts w:ascii="Arial" w:hAnsi="Arial" w:cs="Arial"/>
                                <w:sz w:val="20"/>
                                <w:lang w:val="de-DE"/>
                              </w:rPr>
                            </w:pPr>
                            <w:r>
                              <w:rPr>
                                <w:rFonts w:ascii="Arial" w:hAnsi="Arial" w:cs="Arial"/>
                                <w:sz w:val="20"/>
                              </w:rPr>
                              <w:t>(</w:t>
                            </w:r>
                            <w:r>
                              <w:rPr>
                                <w:rFonts w:ascii="Arial" w:hAnsi="Arial" w:cs="Arial"/>
                                <w:sz w:val="20"/>
                                <w:lang w:val="en-US"/>
                              </w:rPr>
                              <w:t>95% IC</w:t>
                            </w:r>
                            <w:r>
                              <w:rPr>
                                <w:rFonts w:ascii="Arial" w:hAnsi="Arial" w:cs="Arial"/>
                                <w:sz w:val="20"/>
                              </w:rPr>
                              <w:t>, 0,32</w:t>
                            </w:r>
                            <w:r>
                              <w:rPr>
                                <w:rFonts w:ascii="Arial" w:hAnsi="Arial" w:cs="Arial"/>
                                <w:sz w:val="20"/>
                              </w:rPr>
                              <w:noBreakHyphen/>
                              <w:t>0,65)</w:t>
                            </w:r>
                          </w:p>
                        </w:tc>
                      </w:tr>
                      <w:tr w:rsidR="002D746F" w14:paraId="771D80DB" w14:textId="77777777">
                        <w:tc>
                          <w:tcPr>
                            <w:tcW w:w="817" w:type="dxa"/>
                            <w:shd w:val="clear" w:color="auto" w:fill="auto"/>
                          </w:tcPr>
                          <w:p w14:paraId="5EB3AE32" w14:textId="77777777" w:rsidR="002D746F" w:rsidRDefault="002D746F">
                            <w:pPr>
                              <w:rPr>
                                <w:rFonts w:ascii="Arial" w:hAnsi="Arial" w:cs="Arial"/>
                                <w:sz w:val="20"/>
                              </w:rPr>
                            </w:pPr>
                          </w:p>
                        </w:tc>
                        <w:tc>
                          <w:tcPr>
                            <w:tcW w:w="2464" w:type="dxa"/>
                            <w:shd w:val="clear" w:color="auto" w:fill="auto"/>
                          </w:tcPr>
                          <w:p w14:paraId="2E2E9F8A"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4DAB2FC6"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3B549313"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369B1911" w14:textId="77777777" w:rsidR="002D746F" w:rsidRDefault="002D746F">
                            <w:pPr>
                              <w:rPr>
                                <w:rFonts w:ascii="Arial" w:hAnsi="Arial" w:cs="Arial"/>
                                <w:sz w:val="20"/>
                              </w:rPr>
                            </w:pPr>
                            <w:r>
                              <w:rPr>
                                <w:rFonts w:ascii="Arial" w:hAnsi="Arial" w:cs="Arial"/>
                                <w:sz w:val="20"/>
                                <w:lang w:val="de-DE"/>
                              </w:rPr>
                              <w:t>Cen</w:t>
                            </w:r>
                          </w:p>
                        </w:tc>
                      </w:tr>
                      <w:tr w:rsidR="002D746F" w14:paraId="5B0DD7AF" w14:textId="77777777">
                        <w:tc>
                          <w:tcPr>
                            <w:tcW w:w="817" w:type="dxa"/>
                            <w:shd w:val="clear" w:color="auto" w:fill="auto"/>
                          </w:tcPr>
                          <w:p w14:paraId="41E5500A"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153C5A7D"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4768327E"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0365F7C0" w14:textId="77777777" w:rsidR="002D746F" w:rsidRDefault="002D746F">
                            <w:pPr>
                              <w:rPr>
                                <w:rFonts w:ascii="Arial" w:hAnsi="Arial" w:cs="Arial"/>
                                <w:sz w:val="20"/>
                              </w:rPr>
                            </w:pPr>
                            <w:r>
                              <w:rPr>
                                <w:rFonts w:ascii="Arial" w:hAnsi="Arial" w:cs="Arial"/>
                                <w:sz w:val="20"/>
                              </w:rPr>
                              <w:t>84</w:t>
                            </w:r>
                          </w:p>
                        </w:tc>
                        <w:tc>
                          <w:tcPr>
                            <w:tcW w:w="850" w:type="dxa"/>
                            <w:tcBorders>
                              <w:top w:val="single" w:sz="4" w:space="0" w:color="auto"/>
                            </w:tcBorders>
                            <w:shd w:val="clear" w:color="auto" w:fill="auto"/>
                          </w:tcPr>
                          <w:p w14:paraId="79DE2A68" w14:textId="77777777" w:rsidR="002D746F" w:rsidRDefault="002D746F">
                            <w:pPr>
                              <w:rPr>
                                <w:rFonts w:ascii="Arial" w:hAnsi="Arial" w:cs="Arial"/>
                                <w:sz w:val="20"/>
                              </w:rPr>
                            </w:pPr>
                            <w:r>
                              <w:rPr>
                                <w:rFonts w:ascii="Arial" w:hAnsi="Arial" w:cs="Arial"/>
                                <w:sz w:val="20"/>
                              </w:rPr>
                              <w:t>115</w:t>
                            </w:r>
                          </w:p>
                        </w:tc>
                      </w:tr>
                      <w:tr w:rsidR="002D746F" w14:paraId="31A92225" w14:textId="77777777">
                        <w:tc>
                          <w:tcPr>
                            <w:tcW w:w="817" w:type="dxa"/>
                            <w:shd w:val="clear" w:color="auto" w:fill="auto"/>
                          </w:tcPr>
                          <w:p w14:paraId="3D1830D0"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415660A"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23F87C9B"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0ED0FA2A" w14:textId="77777777" w:rsidR="002D746F" w:rsidRDefault="002D746F">
                            <w:pPr>
                              <w:rPr>
                                <w:rFonts w:ascii="Arial" w:hAnsi="Arial" w:cs="Arial"/>
                                <w:sz w:val="20"/>
                              </w:rPr>
                            </w:pPr>
                            <w:r>
                              <w:rPr>
                                <w:rFonts w:ascii="Arial" w:hAnsi="Arial" w:cs="Arial"/>
                                <w:sz w:val="20"/>
                              </w:rPr>
                              <w:t>50</w:t>
                            </w:r>
                          </w:p>
                        </w:tc>
                        <w:tc>
                          <w:tcPr>
                            <w:tcW w:w="850" w:type="dxa"/>
                            <w:tcBorders>
                              <w:bottom w:val="single" w:sz="4" w:space="0" w:color="auto"/>
                            </w:tcBorders>
                            <w:shd w:val="clear" w:color="auto" w:fill="auto"/>
                          </w:tcPr>
                          <w:p w14:paraId="0219C50D" w14:textId="77777777" w:rsidR="002D746F" w:rsidRDefault="002D746F">
                            <w:pPr>
                              <w:rPr>
                                <w:rFonts w:ascii="Arial" w:hAnsi="Arial" w:cs="Arial"/>
                                <w:sz w:val="20"/>
                              </w:rPr>
                            </w:pPr>
                            <w:r>
                              <w:rPr>
                                <w:rFonts w:ascii="Arial" w:hAnsi="Arial" w:cs="Arial"/>
                                <w:sz w:val="20"/>
                              </w:rPr>
                              <w:t>148</w:t>
                            </w:r>
                          </w:p>
                        </w:tc>
                      </w:tr>
                      <w:tr w:rsidR="002D746F" w14:paraId="2CCD371C" w14:textId="77777777">
                        <w:tc>
                          <w:tcPr>
                            <w:tcW w:w="817" w:type="dxa"/>
                            <w:shd w:val="clear" w:color="auto" w:fill="auto"/>
                          </w:tcPr>
                          <w:p w14:paraId="408FB58B"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43466A4"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495296EA"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00747A16"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0F7C40C3" w14:textId="77777777" w:rsidR="002D746F" w:rsidRDefault="002D746F">
                            <w:pPr>
                              <w:rPr>
                                <w:rFonts w:ascii="Arial" w:hAnsi="Arial" w:cs="Arial"/>
                                <w:sz w:val="20"/>
                              </w:rPr>
                            </w:pPr>
                          </w:p>
                        </w:tc>
                      </w:tr>
                    </w:tbl>
                    <w:p w14:paraId="57C7E9FA" w14:textId="77777777" w:rsidR="002D746F" w:rsidRDefault="002D746F">
                      <w:pPr>
                        <w:rPr>
                          <w:rFonts w:ascii="Arial" w:hAnsi="Arial" w:cs="Arial"/>
                          <w:sz w:val="20"/>
                        </w:rPr>
                      </w:pPr>
                    </w:p>
                  </w:txbxContent>
                </v:textbox>
              </v:shape>
            </w:pict>
          </mc:Fallback>
        </mc:AlternateContent>
      </w:r>
      <w:r w:rsidRPr="00961E0F">
        <w:rPr>
          <w:noProof/>
          <w:lang w:val="en-US"/>
        </w:rPr>
        <w:drawing>
          <wp:inline distT="0" distB="0" distL="0" distR="0" wp14:anchorId="3DAE5559" wp14:editId="640D10DF">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AFBA152" w14:textId="77777777" w:rsidR="007D642D" w:rsidRPr="00961E0F" w:rsidRDefault="007D642D">
      <w:pPr>
        <w:pStyle w:val="EndnoteText"/>
        <w:widowControl w:val="0"/>
        <w:tabs>
          <w:tab w:val="clear" w:pos="567"/>
        </w:tabs>
        <w:rPr>
          <w:color w:val="000000"/>
          <w:szCs w:val="22"/>
          <w:lang w:val="fr-FR"/>
        </w:rPr>
      </w:pPr>
    </w:p>
    <w:p w14:paraId="62688D38" w14:textId="77777777" w:rsidR="007D642D" w:rsidRPr="00961E0F" w:rsidRDefault="007D642D">
      <w:pPr>
        <w:rPr>
          <w:rFonts w:ascii="Times New Roman" w:hAnsi="Times New Roman"/>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7D642D" w:rsidRPr="00961E0F" w14:paraId="4473669A" w14:textId="77777777">
        <w:tc>
          <w:tcPr>
            <w:tcW w:w="10599" w:type="dxa"/>
            <w:gridSpan w:val="16"/>
            <w:shd w:val="clear" w:color="auto" w:fill="auto"/>
          </w:tcPr>
          <w:p w14:paraId="5FFE93A7" w14:textId="77777777" w:rsidR="007D642D" w:rsidRPr="00961E0F" w:rsidRDefault="007D642D">
            <w:pPr>
              <w:ind w:left="-27"/>
              <w:rPr>
                <w:rFonts w:ascii="Arial" w:hAnsi="Arial" w:cs="Arial"/>
                <w:sz w:val="16"/>
                <w:szCs w:val="16"/>
              </w:rPr>
            </w:pPr>
            <w:r w:rsidRPr="00961E0F">
              <w:rPr>
                <w:rFonts w:ascii="Arial" w:hAnsi="Arial" w:cs="Arial"/>
                <w:sz w:val="20"/>
              </w:rPr>
              <w:t>Patients à risque : Evènements</w:t>
            </w:r>
          </w:p>
        </w:tc>
      </w:tr>
      <w:tr w:rsidR="007D642D" w:rsidRPr="00961E0F" w14:paraId="125931AC" w14:textId="77777777">
        <w:tc>
          <w:tcPr>
            <w:tcW w:w="450" w:type="dxa"/>
            <w:shd w:val="clear" w:color="auto" w:fill="auto"/>
          </w:tcPr>
          <w:p w14:paraId="1A34023B" w14:textId="77777777" w:rsidR="007D642D" w:rsidRPr="00961E0F" w:rsidRDefault="007D642D">
            <w:pPr>
              <w:rPr>
                <w:rFonts w:ascii="Times New Roman" w:hAnsi="Times New Roman"/>
                <w:sz w:val="20"/>
              </w:rPr>
            </w:pPr>
            <w:r w:rsidRPr="00961E0F">
              <w:rPr>
                <w:rFonts w:ascii="Times New Roman" w:hAnsi="Times New Roman"/>
                <w:sz w:val="20"/>
              </w:rPr>
              <w:t>(1)</w:t>
            </w:r>
          </w:p>
        </w:tc>
        <w:tc>
          <w:tcPr>
            <w:tcW w:w="646" w:type="dxa"/>
            <w:shd w:val="clear" w:color="auto" w:fill="auto"/>
          </w:tcPr>
          <w:p w14:paraId="58465491" w14:textId="77777777" w:rsidR="007D642D" w:rsidRPr="00961E0F" w:rsidRDefault="007D642D">
            <w:pPr>
              <w:ind w:left="-27"/>
              <w:rPr>
                <w:rFonts w:ascii="Times New Roman" w:hAnsi="Times New Roman"/>
                <w:sz w:val="20"/>
              </w:rPr>
            </w:pPr>
            <w:r w:rsidRPr="00961E0F">
              <w:rPr>
                <w:rFonts w:ascii="Times New Roman" w:hAnsi="Times New Roman"/>
                <w:sz w:val="20"/>
              </w:rPr>
              <w:t>199:0</w:t>
            </w:r>
          </w:p>
        </w:tc>
        <w:tc>
          <w:tcPr>
            <w:tcW w:w="645" w:type="dxa"/>
            <w:shd w:val="clear" w:color="auto" w:fill="auto"/>
          </w:tcPr>
          <w:p w14:paraId="1D27354A" w14:textId="77777777" w:rsidR="007D642D" w:rsidRPr="00961E0F" w:rsidRDefault="007D642D">
            <w:pPr>
              <w:ind w:left="-27"/>
              <w:rPr>
                <w:rFonts w:ascii="Times New Roman" w:hAnsi="Times New Roman"/>
                <w:sz w:val="20"/>
              </w:rPr>
            </w:pPr>
            <w:r w:rsidRPr="00961E0F">
              <w:rPr>
                <w:rFonts w:ascii="Times New Roman" w:hAnsi="Times New Roman"/>
                <w:sz w:val="20"/>
              </w:rPr>
              <w:t>182:8</w:t>
            </w:r>
          </w:p>
        </w:tc>
        <w:tc>
          <w:tcPr>
            <w:tcW w:w="745" w:type="dxa"/>
            <w:shd w:val="clear" w:color="auto" w:fill="auto"/>
          </w:tcPr>
          <w:p w14:paraId="04341FF8" w14:textId="77777777" w:rsidR="007D642D" w:rsidRPr="00961E0F" w:rsidRDefault="007D642D">
            <w:pPr>
              <w:ind w:left="-27"/>
              <w:rPr>
                <w:rFonts w:ascii="Times New Roman" w:hAnsi="Times New Roman"/>
                <w:sz w:val="20"/>
              </w:rPr>
            </w:pPr>
            <w:r w:rsidRPr="00961E0F">
              <w:rPr>
                <w:rFonts w:ascii="Times New Roman" w:hAnsi="Times New Roman"/>
                <w:sz w:val="20"/>
              </w:rPr>
              <w:t>177:12</w:t>
            </w:r>
          </w:p>
        </w:tc>
        <w:tc>
          <w:tcPr>
            <w:tcW w:w="745" w:type="dxa"/>
            <w:shd w:val="clear" w:color="auto" w:fill="auto"/>
          </w:tcPr>
          <w:p w14:paraId="5EBB1687" w14:textId="77777777" w:rsidR="007D642D" w:rsidRPr="00961E0F" w:rsidRDefault="007D642D">
            <w:pPr>
              <w:ind w:left="-27"/>
              <w:rPr>
                <w:rFonts w:ascii="Times New Roman" w:hAnsi="Times New Roman"/>
                <w:sz w:val="20"/>
              </w:rPr>
            </w:pPr>
            <w:r w:rsidRPr="00961E0F">
              <w:rPr>
                <w:rFonts w:ascii="Times New Roman" w:hAnsi="Times New Roman"/>
                <w:sz w:val="20"/>
              </w:rPr>
              <w:t>163:25</w:t>
            </w:r>
          </w:p>
        </w:tc>
        <w:tc>
          <w:tcPr>
            <w:tcW w:w="745" w:type="dxa"/>
            <w:shd w:val="clear" w:color="auto" w:fill="auto"/>
          </w:tcPr>
          <w:p w14:paraId="4A5C240A" w14:textId="77777777" w:rsidR="007D642D" w:rsidRPr="00961E0F" w:rsidRDefault="007D642D">
            <w:pPr>
              <w:ind w:left="-27"/>
              <w:rPr>
                <w:rFonts w:ascii="Times New Roman" w:hAnsi="Times New Roman"/>
                <w:sz w:val="20"/>
              </w:rPr>
            </w:pPr>
            <w:r w:rsidRPr="00961E0F">
              <w:rPr>
                <w:rFonts w:ascii="Times New Roman" w:hAnsi="Times New Roman"/>
                <w:sz w:val="20"/>
              </w:rPr>
              <w:t>137:46</w:t>
            </w:r>
          </w:p>
        </w:tc>
        <w:tc>
          <w:tcPr>
            <w:tcW w:w="752" w:type="dxa"/>
            <w:shd w:val="clear" w:color="auto" w:fill="auto"/>
          </w:tcPr>
          <w:p w14:paraId="4BDF7C28" w14:textId="77777777" w:rsidR="007D642D" w:rsidRPr="00961E0F" w:rsidRDefault="007D642D">
            <w:pPr>
              <w:ind w:left="-27"/>
              <w:rPr>
                <w:rFonts w:ascii="Times New Roman" w:hAnsi="Times New Roman"/>
                <w:sz w:val="20"/>
              </w:rPr>
            </w:pPr>
            <w:r w:rsidRPr="00961E0F">
              <w:rPr>
                <w:rFonts w:ascii="Times New Roman" w:hAnsi="Times New Roman"/>
                <w:sz w:val="20"/>
              </w:rPr>
              <w:t>105:65</w:t>
            </w:r>
          </w:p>
        </w:tc>
        <w:tc>
          <w:tcPr>
            <w:tcW w:w="745" w:type="dxa"/>
            <w:shd w:val="clear" w:color="auto" w:fill="auto"/>
          </w:tcPr>
          <w:p w14:paraId="57AAF348" w14:textId="77777777" w:rsidR="007D642D" w:rsidRPr="00961E0F" w:rsidRDefault="007D642D">
            <w:pPr>
              <w:ind w:left="-27"/>
              <w:rPr>
                <w:rFonts w:ascii="Times New Roman" w:hAnsi="Times New Roman"/>
                <w:sz w:val="20"/>
              </w:rPr>
            </w:pPr>
            <w:r w:rsidRPr="00961E0F">
              <w:rPr>
                <w:rFonts w:ascii="Times New Roman" w:hAnsi="Times New Roman"/>
                <w:sz w:val="20"/>
              </w:rPr>
              <w:t>88:72</w:t>
            </w:r>
          </w:p>
        </w:tc>
        <w:tc>
          <w:tcPr>
            <w:tcW w:w="745" w:type="dxa"/>
            <w:shd w:val="clear" w:color="auto" w:fill="auto"/>
          </w:tcPr>
          <w:p w14:paraId="5443E872" w14:textId="77777777" w:rsidR="007D642D" w:rsidRPr="00961E0F" w:rsidRDefault="007D642D">
            <w:pPr>
              <w:ind w:left="-27"/>
              <w:rPr>
                <w:rFonts w:ascii="Times New Roman" w:hAnsi="Times New Roman"/>
                <w:sz w:val="20"/>
              </w:rPr>
            </w:pPr>
            <w:r w:rsidRPr="00961E0F">
              <w:rPr>
                <w:rFonts w:ascii="Times New Roman" w:hAnsi="Times New Roman"/>
                <w:sz w:val="20"/>
              </w:rPr>
              <w:t>61:77</w:t>
            </w:r>
          </w:p>
        </w:tc>
        <w:tc>
          <w:tcPr>
            <w:tcW w:w="652" w:type="dxa"/>
            <w:shd w:val="clear" w:color="auto" w:fill="auto"/>
          </w:tcPr>
          <w:p w14:paraId="4C394EB5" w14:textId="77777777" w:rsidR="007D642D" w:rsidRPr="00961E0F" w:rsidRDefault="007D642D">
            <w:pPr>
              <w:ind w:left="-27"/>
              <w:rPr>
                <w:rFonts w:ascii="Times New Roman" w:hAnsi="Times New Roman"/>
                <w:sz w:val="20"/>
              </w:rPr>
            </w:pPr>
            <w:r w:rsidRPr="00961E0F">
              <w:rPr>
                <w:rFonts w:ascii="Times New Roman" w:hAnsi="Times New Roman"/>
                <w:sz w:val="20"/>
              </w:rPr>
              <w:t>49:81</w:t>
            </w:r>
          </w:p>
        </w:tc>
        <w:tc>
          <w:tcPr>
            <w:tcW w:w="652" w:type="dxa"/>
            <w:shd w:val="clear" w:color="auto" w:fill="auto"/>
          </w:tcPr>
          <w:p w14:paraId="4D8D41CE" w14:textId="77777777" w:rsidR="007D642D" w:rsidRPr="00961E0F" w:rsidRDefault="007D642D">
            <w:pPr>
              <w:ind w:left="-27"/>
              <w:rPr>
                <w:rFonts w:ascii="Times New Roman" w:hAnsi="Times New Roman"/>
                <w:sz w:val="20"/>
              </w:rPr>
            </w:pPr>
            <w:r w:rsidRPr="00961E0F">
              <w:rPr>
                <w:rFonts w:ascii="Times New Roman" w:hAnsi="Times New Roman"/>
                <w:sz w:val="20"/>
              </w:rPr>
              <w:t>36:83</w:t>
            </w:r>
          </w:p>
        </w:tc>
        <w:tc>
          <w:tcPr>
            <w:tcW w:w="649" w:type="dxa"/>
            <w:shd w:val="clear" w:color="auto" w:fill="auto"/>
          </w:tcPr>
          <w:p w14:paraId="3F2263B0" w14:textId="77777777" w:rsidR="007D642D" w:rsidRPr="00961E0F" w:rsidRDefault="007D642D">
            <w:pPr>
              <w:ind w:left="-27"/>
              <w:rPr>
                <w:rFonts w:ascii="Times New Roman" w:hAnsi="Times New Roman"/>
                <w:sz w:val="20"/>
              </w:rPr>
            </w:pPr>
            <w:r w:rsidRPr="00961E0F">
              <w:rPr>
                <w:rFonts w:ascii="Times New Roman" w:hAnsi="Times New Roman"/>
                <w:sz w:val="20"/>
              </w:rPr>
              <w:t>27:84</w:t>
            </w:r>
          </w:p>
        </w:tc>
        <w:tc>
          <w:tcPr>
            <w:tcW w:w="660" w:type="dxa"/>
            <w:shd w:val="clear" w:color="auto" w:fill="auto"/>
          </w:tcPr>
          <w:p w14:paraId="25572756" w14:textId="77777777" w:rsidR="007D642D" w:rsidRPr="00961E0F" w:rsidRDefault="007D642D">
            <w:pPr>
              <w:ind w:left="-27"/>
              <w:rPr>
                <w:rFonts w:ascii="Times New Roman" w:hAnsi="Times New Roman"/>
                <w:sz w:val="20"/>
              </w:rPr>
            </w:pPr>
            <w:r w:rsidRPr="00961E0F">
              <w:rPr>
                <w:rFonts w:ascii="Times New Roman" w:hAnsi="Times New Roman"/>
                <w:sz w:val="20"/>
              </w:rPr>
              <w:t>14:84</w:t>
            </w:r>
          </w:p>
        </w:tc>
        <w:tc>
          <w:tcPr>
            <w:tcW w:w="649" w:type="dxa"/>
            <w:shd w:val="clear" w:color="auto" w:fill="auto"/>
          </w:tcPr>
          <w:p w14:paraId="1B8CE443" w14:textId="77777777" w:rsidR="007D642D" w:rsidRPr="00961E0F" w:rsidRDefault="007D642D">
            <w:pPr>
              <w:ind w:left="-27"/>
              <w:rPr>
                <w:rFonts w:ascii="Times New Roman" w:hAnsi="Times New Roman"/>
                <w:sz w:val="20"/>
              </w:rPr>
            </w:pPr>
            <w:r w:rsidRPr="00961E0F">
              <w:rPr>
                <w:rFonts w:ascii="Times New Roman" w:hAnsi="Times New Roman"/>
                <w:sz w:val="20"/>
              </w:rPr>
              <w:t>10:84</w:t>
            </w:r>
          </w:p>
        </w:tc>
        <w:tc>
          <w:tcPr>
            <w:tcW w:w="564" w:type="dxa"/>
            <w:shd w:val="clear" w:color="auto" w:fill="auto"/>
          </w:tcPr>
          <w:p w14:paraId="071DA5E6" w14:textId="77777777" w:rsidR="007D642D" w:rsidRPr="00961E0F" w:rsidRDefault="007D642D">
            <w:pPr>
              <w:ind w:left="-27"/>
              <w:rPr>
                <w:rFonts w:ascii="Times New Roman" w:hAnsi="Times New Roman"/>
                <w:sz w:val="20"/>
              </w:rPr>
            </w:pPr>
            <w:r w:rsidRPr="00961E0F">
              <w:rPr>
                <w:rFonts w:ascii="Times New Roman" w:hAnsi="Times New Roman"/>
                <w:sz w:val="20"/>
              </w:rPr>
              <w:t>2:84</w:t>
            </w:r>
          </w:p>
        </w:tc>
        <w:tc>
          <w:tcPr>
            <w:tcW w:w="555" w:type="dxa"/>
            <w:shd w:val="clear" w:color="auto" w:fill="auto"/>
          </w:tcPr>
          <w:p w14:paraId="17722DF1" w14:textId="77777777" w:rsidR="007D642D" w:rsidRPr="00961E0F" w:rsidRDefault="007D642D">
            <w:pPr>
              <w:ind w:left="-27"/>
              <w:rPr>
                <w:rFonts w:ascii="Times New Roman" w:hAnsi="Times New Roman"/>
                <w:sz w:val="20"/>
              </w:rPr>
            </w:pPr>
            <w:r w:rsidRPr="00961E0F">
              <w:rPr>
                <w:rFonts w:ascii="Times New Roman" w:hAnsi="Times New Roman"/>
                <w:sz w:val="20"/>
              </w:rPr>
              <w:t>0:84</w:t>
            </w:r>
          </w:p>
        </w:tc>
      </w:tr>
      <w:tr w:rsidR="007D642D" w:rsidRPr="00961E0F" w14:paraId="69A52F93" w14:textId="77777777">
        <w:tc>
          <w:tcPr>
            <w:tcW w:w="450" w:type="dxa"/>
            <w:shd w:val="clear" w:color="auto" w:fill="auto"/>
          </w:tcPr>
          <w:p w14:paraId="02D35307" w14:textId="77777777" w:rsidR="007D642D" w:rsidRPr="00961E0F" w:rsidRDefault="007D642D">
            <w:pPr>
              <w:rPr>
                <w:rFonts w:ascii="Times New Roman" w:hAnsi="Times New Roman"/>
                <w:sz w:val="20"/>
              </w:rPr>
            </w:pPr>
            <w:r w:rsidRPr="00961E0F">
              <w:rPr>
                <w:rFonts w:ascii="Times New Roman" w:hAnsi="Times New Roman"/>
                <w:sz w:val="20"/>
              </w:rPr>
              <w:t>(2)</w:t>
            </w:r>
          </w:p>
        </w:tc>
        <w:tc>
          <w:tcPr>
            <w:tcW w:w="646" w:type="dxa"/>
            <w:shd w:val="clear" w:color="auto" w:fill="auto"/>
          </w:tcPr>
          <w:p w14:paraId="0024E839" w14:textId="77777777" w:rsidR="007D642D" w:rsidRPr="00961E0F" w:rsidRDefault="007D642D">
            <w:pPr>
              <w:ind w:left="-27"/>
              <w:rPr>
                <w:rFonts w:ascii="Times New Roman" w:hAnsi="Times New Roman"/>
                <w:sz w:val="20"/>
              </w:rPr>
            </w:pPr>
            <w:r w:rsidRPr="00961E0F">
              <w:rPr>
                <w:rFonts w:ascii="Times New Roman" w:hAnsi="Times New Roman"/>
                <w:sz w:val="20"/>
              </w:rPr>
              <w:t>198:0</w:t>
            </w:r>
          </w:p>
        </w:tc>
        <w:tc>
          <w:tcPr>
            <w:tcW w:w="645" w:type="dxa"/>
            <w:shd w:val="clear" w:color="auto" w:fill="auto"/>
          </w:tcPr>
          <w:p w14:paraId="22ED7A6C" w14:textId="77777777" w:rsidR="007D642D" w:rsidRPr="00961E0F" w:rsidRDefault="007D642D">
            <w:pPr>
              <w:ind w:left="-27"/>
              <w:rPr>
                <w:rFonts w:ascii="Times New Roman" w:hAnsi="Times New Roman"/>
                <w:sz w:val="20"/>
              </w:rPr>
            </w:pPr>
            <w:r w:rsidRPr="00961E0F">
              <w:rPr>
                <w:rFonts w:ascii="Times New Roman" w:hAnsi="Times New Roman"/>
                <w:sz w:val="20"/>
              </w:rPr>
              <w:t>189:5</w:t>
            </w:r>
          </w:p>
        </w:tc>
        <w:tc>
          <w:tcPr>
            <w:tcW w:w="745" w:type="dxa"/>
            <w:shd w:val="clear" w:color="auto" w:fill="auto"/>
          </w:tcPr>
          <w:p w14:paraId="0B7E560D" w14:textId="77777777" w:rsidR="007D642D" w:rsidRPr="00961E0F" w:rsidRDefault="007D642D">
            <w:pPr>
              <w:ind w:left="-27"/>
              <w:rPr>
                <w:rFonts w:ascii="Times New Roman" w:hAnsi="Times New Roman"/>
                <w:sz w:val="20"/>
              </w:rPr>
            </w:pPr>
            <w:r w:rsidRPr="00961E0F">
              <w:rPr>
                <w:rFonts w:ascii="Times New Roman" w:hAnsi="Times New Roman"/>
                <w:sz w:val="20"/>
              </w:rPr>
              <w:t>184:8</w:t>
            </w:r>
          </w:p>
        </w:tc>
        <w:tc>
          <w:tcPr>
            <w:tcW w:w="745" w:type="dxa"/>
            <w:shd w:val="clear" w:color="auto" w:fill="auto"/>
          </w:tcPr>
          <w:p w14:paraId="08B7EB9F" w14:textId="77777777" w:rsidR="007D642D" w:rsidRPr="00961E0F" w:rsidRDefault="007D642D">
            <w:pPr>
              <w:ind w:left="-27"/>
              <w:rPr>
                <w:rFonts w:ascii="Times New Roman" w:hAnsi="Times New Roman"/>
                <w:sz w:val="20"/>
              </w:rPr>
            </w:pPr>
            <w:r w:rsidRPr="00961E0F">
              <w:rPr>
                <w:rFonts w:ascii="Times New Roman" w:hAnsi="Times New Roman"/>
                <w:sz w:val="20"/>
              </w:rPr>
              <w:t>181:11</w:t>
            </w:r>
          </w:p>
        </w:tc>
        <w:tc>
          <w:tcPr>
            <w:tcW w:w="745" w:type="dxa"/>
            <w:shd w:val="clear" w:color="auto" w:fill="auto"/>
          </w:tcPr>
          <w:p w14:paraId="12D6DD66" w14:textId="77777777" w:rsidR="007D642D" w:rsidRPr="00961E0F" w:rsidRDefault="007D642D">
            <w:pPr>
              <w:ind w:left="-27"/>
              <w:rPr>
                <w:rFonts w:ascii="Times New Roman" w:hAnsi="Times New Roman"/>
                <w:sz w:val="20"/>
              </w:rPr>
            </w:pPr>
            <w:r w:rsidRPr="00961E0F">
              <w:rPr>
                <w:rFonts w:ascii="Times New Roman" w:hAnsi="Times New Roman"/>
                <w:sz w:val="20"/>
              </w:rPr>
              <w:t>173:18</w:t>
            </w:r>
          </w:p>
        </w:tc>
        <w:tc>
          <w:tcPr>
            <w:tcW w:w="752" w:type="dxa"/>
            <w:shd w:val="clear" w:color="auto" w:fill="auto"/>
          </w:tcPr>
          <w:p w14:paraId="57F85317" w14:textId="77777777" w:rsidR="007D642D" w:rsidRPr="00961E0F" w:rsidRDefault="007D642D">
            <w:pPr>
              <w:ind w:left="-27"/>
              <w:rPr>
                <w:rFonts w:ascii="Times New Roman" w:hAnsi="Times New Roman"/>
                <w:sz w:val="20"/>
              </w:rPr>
            </w:pPr>
            <w:r w:rsidRPr="00961E0F">
              <w:rPr>
                <w:rFonts w:ascii="Times New Roman" w:hAnsi="Times New Roman"/>
                <w:sz w:val="20"/>
              </w:rPr>
              <w:t>152:22</w:t>
            </w:r>
          </w:p>
        </w:tc>
        <w:tc>
          <w:tcPr>
            <w:tcW w:w="745" w:type="dxa"/>
            <w:shd w:val="clear" w:color="auto" w:fill="auto"/>
          </w:tcPr>
          <w:p w14:paraId="6C988CAB" w14:textId="77777777" w:rsidR="007D642D" w:rsidRPr="00961E0F" w:rsidRDefault="007D642D">
            <w:pPr>
              <w:ind w:left="-27"/>
              <w:rPr>
                <w:rFonts w:ascii="Times New Roman" w:hAnsi="Times New Roman"/>
                <w:sz w:val="20"/>
              </w:rPr>
            </w:pPr>
            <w:r w:rsidRPr="00961E0F">
              <w:rPr>
                <w:rFonts w:ascii="Times New Roman" w:hAnsi="Times New Roman"/>
                <w:sz w:val="20"/>
              </w:rPr>
              <w:t>133:25</w:t>
            </w:r>
          </w:p>
        </w:tc>
        <w:tc>
          <w:tcPr>
            <w:tcW w:w="745" w:type="dxa"/>
            <w:shd w:val="clear" w:color="auto" w:fill="auto"/>
          </w:tcPr>
          <w:p w14:paraId="33596ADE" w14:textId="77777777" w:rsidR="007D642D" w:rsidRPr="00961E0F" w:rsidRDefault="007D642D">
            <w:pPr>
              <w:ind w:left="-27"/>
              <w:rPr>
                <w:rFonts w:ascii="Times New Roman" w:hAnsi="Times New Roman"/>
                <w:sz w:val="20"/>
              </w:rPr>
            </w:pPr>
            <w:r w:rsidRPr="00961E0F">
              <w:rPr>
                <w:rFonts w:ascii="Times New Roman" w:hAnsi="Times New Roman"/>
                <w:sz w:val="20"/>
              </w:rPr>
              <w:t>102:29</w:t>
            </w:r>
          </w:p>
        </w:tc>
        <w:tc>
          <w:tcPr>
            <w:tcW w:w="652" w:type="dxa"/>
            <w:shd w:val="clear" w:color="auto" w:fill="auto"/>
          </w:tcPr>
          <w:p w14:paraId="08658C1C" w14:textId="77777777" w:rsidR="007D642D" w:rsidRPr="00961E0F" w:rsidRDefault="007D642D">
            <w:pPr>
              <w:ind w:left="-27"/>
              <w:rPr>
                <w:rFonts w:ascii="Times New Roman" w:hAnsi="Times New Roman"/>
                <w:sz w:val="20"/>
              </w:rPr>
            </w:pPr>
            <w:r w:rsidRPr="00961E0F">
              <w:rPr>
                <w:rFonts w:ascii="Times New Roman" w:hAnsi="Times New Roman"/>
                <w:sz w:val="20"/>
              </w:rPr>
              <w:t>82:35</w:t>
            </w:r>
          </w:p>
        </w:tc>
        <w:tc>
          <w:tcPr>
            <w:tcW w:w="652" w:type="dxa"/>
            <w:shd w:val="clear" w:color="auto" w:fill="auto"/>
          </w:tcPr>
          <w:p w14:paraId="3ABCD042" w14:textId="77777777" w:rsidR="007D642D" w:rsidRPr="00961E0F" w:rsidRDefault="007D642D">
            <w:pPr>
              <w:ind w:left="-27"/>
              <w:rPr>
                <w:rFonts w:ascii="Times New Roman" w:hAnsi="Times New Roman"/>
                <w:sz w:val="20"/>
              </w:rPr>
            </w:pPr>
            <w:r w:rsidRPr="00961E0F">
              <w:rPr>
                <w:rFonts w:ascii="Times New Roman" w:hAnsi="Times New Roman"/>
                <w:sz w:val="20"/>
              </w:rPr>
              <w:t>54:46</w:t>
            </w:r>
          </w:p>
        </w:tc>
        <w:tc>
          <w:tcPr>
            <w:tcW w:w="649" w:type="dxa"/>
            <w:shd w:val="clear" w:color="auto" w:fill="auto"/>
          </w:tcPr>
          <w:p w14:paraId="788E55C1" w14:textId="77777777" w:rsidR="007D642D" w:rsidRPr="00961E0F" w:rsidRDefault="007D642D">
            <w:pPr>
              <w:ind w:left="-27"/>
              <w:rPr>
                <w:rFonts w:ascii="Times New Roman" w:hAnsi="Times New Roman"/>
                <w:sz w:val="20"/>
              </w:rPr>
            </w:pPr>
            <w:r w:rsidRPr="00961E0F">
              <w:rPr>
                <w:rFonts w:ascii="Times New Roman" w:hAnsi="Times New Roman"/>
                <w:sz w:val="20"/>
              </w:rPr>
              <w:t>39:47</w:t>
            </w:r>
          </w:p>
        </w:tc>
        <w:tc>
          <w:tcPr>
            <w:tcW w:w="660" w:type="dxa"/>
            <w:shd w:val="clear" w:color="auto" w:fill="auto"/>
          </w:tcPr>
          <w:p w14:paraId="077CCEE5" w14:textId="77777777" w:rsidR="007D642D" w:rsidRPr="00961E0F" w:rsidRDefault="007D642D">
            <w:pPr>
              <w:ind w:left="-27"/>
              <w:rPr>
                <w:rFonts w:ascii="Times New Roman" w:hAnsi="Times New Roman"/>
                <w:sz w:val="20"/>
              </w:rPr>
            </w:pPr>
            <w:r w:rsidRPr="00961E0F">
              <w:rPr>
                <w:rFonts w:ascii="Times New Roman" w:hAnsi="Times New Roman"/>
                <w:sz w:val="20"/>
              </w:rPr>
              <w:t>21:49</w:t>
            </w:r>
          </w:p>
        </w:tc>
        <w:tc>
          <w:tcPr>
            <w:tcW w:w="649" w:type="dxa"/>
            <w:shd w:val="clear" w:color="auto" w:fill="auto"/>
          </w:tcPr>
          <w:p w14:paraId="5A19CB61" w14:textId="77777777" w:rsidR="007D642D" w:rsidRPr="00961E0F" w:rsidRDefault="007D642D">
            <w:pPr>
              <w:ind w:left="-27"/>
              <w:rPr>
                <w:rFonts w:ascii="Times New Roman" w:hAnsi="Times New Roman"/>
                <w:sz w:val="20"/>
              </w:rPr>
            </w:pPr>
            <w:r w:rsidRPr="00961E0F">
              <w:rPr>
                <w:rFonts w:ascii="Times New Roman" w:hAnsi="Times New Roman"/>
                <w:sz w:val="20"/>
              </w:rPr>
              <w:t>8:50</w:t>
            </w:r>
          </w:p>
        </w:tc>
        <w:tc>
          <w:tcPr>
            <w:tcW w:w="564" w:type="dxa"/>
            <w:shd w:val="clear" w:color="auto" w:fill="auto"/>
          </w:tcPr>
          <w:p w14:paraId="2A9C3E2D" w14:textId="77777777" w:rsidR="007D642D" w:rsidRPr="00961E0F" w:rsidRDefault="007D642D">
            <w:pPr>
              <w:ind w:left="-27"/>
              <w:rPr>
                <w:rFonts w:ascii="Times New Roman" w:hAnsi="Times New Roman"/>
                <w:sz w:val="20"/>
              </w:rPr>
            </w:pPr>
            <w:r w:rsidRPr="00961E0F">
              <w:rPr>
                <w:rFonts w:ascii="Times New Roman" w:hAnsi="Times New Roman"/>
                <w:sz w:val="20"/>
              </w:rPr>
              <w:t>0:50</w:t>
            </w:r>
          </w:p>
        </w:tc>
        <w:tc>
          <w:tcPr>
            <w:tcW w:w="555" w:type="dxa"/>
            <w:shd w:val="clear" w:color="auto" w:fill="auto"/>
          </w:tcPr>
          <w:p w14:paraId="470A1A71" w14:textId="77777777" w:rsidR="007D642D" w:rsidRPr="00961E0F" w:rsidRDefault="007D642D">
            <w:pPr>
              <w:ind w:left="-27"/>
              <w:rPr>
                <w:rFonts w:ascii="Times New Roman" w:hAnsi="Times New Roman"/>
                <w:sz w:val="20"/>
              </w:rPr>
            </w:pPr>
          </w:p>
        </w:tc>
      </w:tr>
    </w:tbl>
    <w:p w14:paraId="011F0208" w14:textId="77777777" w:rsidR="007D642D" w:rsidRPr="00961E0F" w:rsidRDefault="007D642D">
      <w:pPr>
        <w:pStyle w:val="EndnoteText"/>
        <w:widowControl w:val="0"/>
        <w:tabs>
          <w:tab w:val="clear" w:pos="567"/>
        </w:tabs>
        <w:rPr>
          <w:color w:val="000000"/>
          <w:szCs w:val="22"/>
          <w:lang w:val="fr-FR"/>
        </w:rPr>
      </w:pPr>
    </w:p>
    <w:p w14:paraId="1D9DA867" w14:textId="77777777" w:rsidR="007D642D" w:rsidRPr="00961E0F" w:rsidRDefault="007D642D">
      <w:pPr>
        <w:keepNext/>
        <w:ind w:left="1134" w:hanging="1134"/>
        <w:outlineLvl w:val="6"/>
        <w:rPr>
          <w:rFonts w:ascii="Times New Roman" w:eastAsia="MS Mincho" w:hAnsi="Times New Roman"/>
          <w:b/>
          <w:szCs w:val="22"/>
        </w:rPr>
      </w:pPr>
      <w:r w:rsidRPr="00961E0F">
        <w:rPr>
          <w:rFonts w:ascii="Times New Roman" w:eastAsia="MS Mincho" w:hAnsi="Times New Roman"/>
          <w:b/>
          <w:szCs w:val="22"/>
        </w:rPr>
        <w:lastRenderedPageBreak/>
        <w:t>Figure 2</w:t>
      </w:r>
      <w:r w:rsidRPr="00961E0F">
        <w:rPr>
          <w:rFonts w:ascii="Times New Roman" w:eastAsia="MS Mincho" w:hAnsi="Times New Roman"/>
          <w:b/>
          <w:szCs w:val="22"/>
        </w:rPr>
        <w:tab/>
        <w:t>Estimations de Kaplan-Meier pour la survie globale (population ITT)</w:t>
      </w:r>
    </w:p>
    <w:p w14:paraId="44523370" w14:textId="77777777" w:rsidR="007D642D" w:rsidRPr="00961E0F" w:rsidRDefault="00351949" w:rsidP="00B92E0B">
      <w:pPr>
        <w:pStyle w:val="EndnoteText"/>
        <w:keepNext/>
        <w:widowControl w:val="0"/>
        <w:tabs>
          <w:tab w:val="clear" w:pos="567"/>
        </w:tabs>
        <w:rPr>
          <w:color w:val="000000"/>
          <w:szCs w:val="22"/>
          <w:lang w:val="fr-FR"/>
        </w:rPr>
      </w:pPr>
      <w:r w:rsidRPr="00961E0F">
        <w:rPr>
          <w:noProof/>
          <w:lang w:val="en-US"/>
        </w:rPr>
        <mc:AlternateContent>
          <mc:Choice Requires="wps">
            <w:drawing>
              <wp:anchor distT="0" distB="0" distL="114300" distR="114300" simplePos="0" relativeHeight="251655168" behindDoc="0" locked="0" layoutInCell="1" allowOverlap="1" wp14:anchorId="644D172C" wp14:editId="7C7EDCDB">
                <wp:simplePos x="0" y="0"/>
                <wp:positionH relativeFrom="column">
                  <wp:posOffset>-293370</wp:posOffset>
                </wp:positionH>
                <wp:positionV relativeFrom="paragraph">
                  <wp:posOffset>122555</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6FCA2" w14:textId="77777777" w:rsidR="002D746F" w:rsidRDefault="002D746F">
                            <w:pPr>
                              <w:rPr>
                                <w:rFonts w:ascii="Arial" w:hAnsi="Arial" w:cs="Arial"/>
                                <w:sz w:val="20"/>
                              </w:rPr>
                            </w:pPr>
                            <w:r>
                              <w:rPr>
                                <w:rFonts w:ascii="Arial" w:hAnsi="Arial" w:cs="Arial"/>
                                <w:sz w:val="20"/>
                              </w:rPr>
                              <w:t>Probabilité de survie globale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4D172C" id="_x0000_s1029" type="#_x0000_t202" style="position:absolute;margin-left:-23.1pt;margin-top:9.6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" stroked="f">
                <v:fill opacity="0"/>
                <v:textbox style="layout-flow:vertical;mso-layout-flow-alt:bottom-to-top">
                  <w:txbxContent>
                    <w:p w14:paraId="4DB6FCA2" w14:textId="77777777" w:rsidR="002D746F" w:rsidRDefault="002D746F">
                      <w:pPr>
                        <w:rPr>
                          <w:rFonts w:ascii="Arial" w:hAnsi="Arial" w:cs="Arial"/>
                          <w:sz w:val="20"/>
                        </w:rPr>
                      </w:pPr>
                      <w:r>
                        <w:rPr>
                          <w:rFonts w:ascii="Arial" w:hAnsi="Arial" w:cs="Arial"/>
                          <w:sz w:val="20"/>
                        </w:rPr>
                        <w:t>Probabilité de survie globale</w:t>
                      </w:r>
                    </w:p>
                  </w:txbxContent>
                </v:textbox>
              </v:shape>
            </w:pict>
          </mc:Fallback>
        </mc:AlternateContent>
      </w:r>
    </w:p>
    <w:p w14:paraId="208C21A0" w14:textId="77777777" w:rsidR="007D642D" w:rsidRPr="00961E0F" w:rsidRDefault="00351949">
      <w:pPr>
        <w:pStyle w:val="EndnoteText"/>
        <w:widowControl w:val="0"/>
        <w:tabs>
          <w:tab w:val="clear" w:pos="567"/>
        </w:tabs>
        <w:rPr>
          <w:color w:val="000000"/>
          <w:szCs w:val="22"/>
          <w:lang w:val="fr-FR"/>
        </w:rPr>
      </w:pPr>
      <w:r w:rsidRPr="00961E0F">
        <w:rPr>
          <w:noProof/>
          <w:color w:val="000000"/>
          <w:szCs w:val="22"/>
          <w:lang w:val="en-US"/>
        </w:rPr>
        <mc:AlternateContent>
          <mc:Choice Requires="wps">
            <w:drawing>
              <wp:anchor distT="0" distB="0" distL="114300" distR="114300" simplePos="0" relativeHeight="251657216" behindDoc="0" locked="0" layoutInCell="1" allowOverlap="1" wp14:anchorId="29EBB0A6" wp14:editId="51E4AA25">
                <wp:simplePos x="0" y="0"/>
                <wp:positionH relativeFrom="column">
                  <wp:posOffset>2186940</wp:posOffset>
                </wp:positionH>
                <wp:positionV relativeFrom="paragraph">
                  <wp:posOffset>2646045</wp:posOffset>
                </wp:positionV>
                <wp:extent cx="1619250" cy="3238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1729C" w14:textId="77777777" w:rsidR="002D746F" w:rsidRDefault="002D746F">
                            <w:pPr>
                              <w:rPr>
                                <w:rFonts w:ascii="Arial" w:hAnsi="Arial" w:cs="Arial"/>
                                <w:sz w:val="20"/>
                              </w:rPr>
                            </w:pPr>
                            <w:r>
                              <w:rPr>
                                <w:rFonts w:ascii="Arial" w:hAnsi="Arial" w:cs="Arial"/>
                                <w:sz w:val="20"/>
                                <w:lang w:val="de-DE"/>
                              </w:rPr>
                              <w:t>Délai de survie en mois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EBB0A6" id="_x0000_s1030" type="#_x0000_t202" style="position:absolute;margin-left:172.2pt;margin-top:208.35pt;width:12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" stroked="f">
                <v:fill opacity="0"/>
                <v:textbox>
                  <w:txbxContent>
                    <w:p w14:paraId="1E01729C" w14:textId="77777777" w:rsidR="002D746F" w:rsidRDefault="002D746F">
                      <w:pPr>
                        <w:rPr>
                          <w:rFonts w:ascii="Arial" w:hAnsi="Arial" w:cs="Arial"/>
                          <w:sz w:val="20"/>
                        </w:rPr>
                      </w:pPr>
                      <w:r>
                        <w:rPr>
                          <w:rFonts w:ascii="Arial" w:hAnsi="Arial" w:cs="Arial"/>
                          <w:sz w:val="20"/>
                          <w:lang w:val="de-DE"/>
                        </w:rPr>
                        <w:t>Délai de survie en mois</w:t>
                      </w:r>
                    </w:p>
                  </w:txbxContent>
                </v:textbox>
              </v:shape>
            </w:pict>
          </mc:Fallback>
        </mc:AlternateContent>
      </w:r>
      <w:r w:rsidRPr="00961E0F">
        <w:rPr>
          <w:noProof/>
          <w:lang w:val="en-US"/>
        </w:rPr>
        <mc:AlternateContent>
          <mc:Choice Requires="wps">
            <w:drawing>
              <wp:anchor distT="0" distB="0" distL="114300" distR="114300" simplePos="0" relativeHeight="251656192" behindDoc="0" locked="0" layoutInCell="1" allowOverlap="1" wp14:anchorId="4C601F1D" wp14:editId="1E9674ED">
                <wp:simplePos x="0" y="0"/>
                <wp:positionH relativeFrom="column">
                  <wp:posOffset>340995</wp:posOffset>
                </wp:positionH>
                <wp:positionV relativeFrom="paragraph">
                  <wp:posOffset>899160</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4C503" w14:textId="77777777" w:rsidR="002D746F" w:rsidRDefault="002D746F">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2D746F" w14:paraId="7ADE76AD" w14:textId="77777777">
                              <w:tc>
                                <w:tcPr>
                                  <w:tcW w:w="5691" w:type="dxa"/>
                                  <w:gridSpan w:val="5"/>
                                  <w:shd w:val="clear" w:color="auto" w:fill="auto"/>
                                </w:tcPr>
                                <w:p w14:paraId="0C06B7DE" w14:textId="77777777" w:rsidR="002D746F" w:rsidRDefault="002D746F">
                                  <w:pPr>
                                    <w:rPr>
                                      <w:rFonts w:ascii="Arial" w:hAnsi="Arial" w:cs="Arial"/>
                                      <w:sz w:val="20"/>
                                      <w:lang w:val="en-US"/>
                                    </w:rPr>
                                  </w:pPr>
                                  <w:r>
                                    <w:rPr>
                                      <w:rFonts w:ascii="Arial" w:hAnsi="Arial" w:cs="Arial"/>
                                      <w:sz w:val="20"/>
                                      <w:lang w:val="en-US"/>
                                    </w:rPr>
                                    <w:t>P = 0,019</w:t>
                                  </w:r>
                                </w:p>
                                <w:p w14:paraId="78C886D4" w14:textId="77777777" w:rsidR="002D746F" w:rsidRDefault="002D746F">
                                  <w:pPr>
                                    <w:rPr>
                                      <w:rFonts w:ascii="Arial" w:hAnsi="Arial" w:cs="Arial"/>
                                      <w:sz w:val="20"/>
                                      <w:lang w:val="en-US"/>
                                    </w:rPr>
                                  </w:pPr>
                                  <w:r>
                                    <w:rPr>
                                      <w:rFonts w:ascii="Arial" w:hAnsi="Arial" w:cs="Arial"/>
                                      <w:sz w:val="20"/>
                                      <w:lang w:val="en-US"/>
                                    </w:rPr>
                                    <w:t>Hazard ratio 0,45</w:t>
                                  </w:r>
                                </w:p>
                                <w:p w14:paraId="3FE97947" w14:textId="77777777" w:rsidR="002D746F" w:rsidRDefault="002D746F">
                                  <w:pPr>
                                    <w:rPr>
                                      <w:rFonts w:ascii="Arial" w:hAnsi="Arial" w:cs="Arial"/>
                                      <w:sz w:val="20"/>
                                      <w:lang w:val="de-DE"/>
                                    </w:rPr>
                                  </w:pPr>
                                  <w:r>
                                    <w:rPr>
                                      <w:rFonts w:ascii="Arial" w:hAnsi="Arial" w:cs="Arial"/>
                                      <w:sz w:val="20"/>
                                      <w:lang w:val="en-US"/>
                                    </w:rPr>
                                    <w:t>(95% IC, 0,22</w:t>
                                  </w:r>
                                  <w:r>
                                    <w:rPr>
                                      <w:rFonts w:ascii="Arial" w:hAnsi="Arial" w:cs="Arial"/>
                                      <w:sz w:val="20"/>
                                      <w:lang w:val="en-US"/>
                                    </w:rPr>
                                    <w:noBreakHyphen/>
                                    <w:t>0,89)</w:t>
                                  </w:r>
                                </w:p>
                              </w:tc>
                            </w:tr>
                            <w:tr w:rsidR="002D746F" w14:paraId="61C73630" w14:textId="77777777">
                              <w:tc>
                                <w:tcPr>
                                  <w:tcW w:w="817" w:type="dxa"/>
                                  <w:shd w:val="clear" w:color="auto" w:fill="auto"/>
                                </w:tcPr>
                                <w:p w14:paraId="437BBB8A" w14:textId="77777777" w:rsidR="002D746F" w:rsidRDefault="002D746F">
                                  <w:pPr>
                                    <w:rPr>
                                      <w:rFonts w:ascii="Arial" w:hAnsi="Arial" w:cs="Arial"/>
                                      <w:sz w:val="20"/>
                                    </w:rPr>
                                  </w:pPr>
                                </w:p>
                              </w:tc>
                              <w:tc>
                                <w:tcPr>
                                  <w:tcW w:w="2464" w:type="dxa"/>
                                  <w:shd w:val="clear" w:color="auto" w:fill="auto"/>
                                </w:tcPr>
                                <w:p w14:paraId="7CD67E29"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4BB2F3B7"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2B3C8108"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4B2EE9AC" w14:textId="77777777" w:rsidR="002D746F" w:rsidRDefault="002D746F">
                                  <w:pPr>
                                    <w:rPr>
                                      <w:rFonts w:ascii="Arial" w:hAnsi="Arial" w:cs="Arial"/>
                                      <w:sz w:val="20"/>
                                    </w:rPr>
                                  </w:pPr>
                                  <w:r>
                                    <w:rPr>
                                      <w:rFonts w:ascii="Arial" w:hAnsi="Arial" w:cs="Arial"/>
                                      <w:sz w:val="20"/>
                                      <w:lang w:val="de-DE"/>
                                    </w:rPr>
                                    <w:t>Cen</w:t>
                                  </w:r>
                                </w:p>
                              </w:tc>
                            </w:tr>
                            <w:tr w:rsidR="002D746F" w14:paraId="2A5B9E28" w14:textId="77777777">
                              <w:tc>
                                <w:tcPr>
                                  <w:tcW w:w="817" w:type="dxa"/>
                                  <w:shd w:val="clear" w:color="auto" w:fill="auto"/>
                                </w:tcPr>
                                <w:p w14:paraId="3276ACF3"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0DD5B422"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5A6C2543"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01DE5BED" w14:textId="77777777" w:rsidR="002D746F" w:rsidRDefault="002D746F">
                                  <w:pPr>
                                    <w:rPr>
                                      <w:rFonts w:ascii="Arial" w:hAnsi="Arial" w:cs="Arial"/>
                                      <w:sz w:val="20"/>
                                    </w:rPr>
                                  </w:pPr>
                                  <w:r>
                                    <w:rPr>
                                      <w:rFonts w:ascii="Arial" w:hAnsi="Arial" w:cs="Arial"/>
                                      <w:sz w:val="20"/>
                                    </w:rPr>
                                    <w:t>25</w:t>
                                  </w:r>
                                </w:p>
                              </w:tc>
                              <w:tc>
                                <w:tcPr>
                                  <w:tcW w:w="850" w:type="dxa"/>
                                  <w:tcBorders>
                                    <w:top w:val="single" w:sz="4" w:space="0" w:color="auto"/>
                                  </w:tcBorders>
                                  <w:shd w:val="clear" w:color="auto" w:fill="auto"/>
                                </w:tcPr>
                                <w:p w14:paraId="4A794BBE" w14:textId="77777777" w:rsidR="002D746F" w:rsidRDefault="002D746F">
                                  <w:pPr>
                                    <w:rPr>
                                      <w:rFonts w:ascii="Arial" w:hAnsi="Arial" w:cs="Arial"/>
                                      <w:sz w:val="20"/>
                                    </w:rPr>
                                  </w:pPr>
                                  <w:r>
                                    <w:rPr>
                                      <w:rFonts w:ascii="Arial" w:hAnsi="Arial" w:cs="Arial"/>
                                      <w:sz w:val="20"/>
                                    </w:rPr>
                                    <w:t>174</w:t>
                                  </w:r>
                                </w:p>
                              </w:tc>
                            </w:tr>
                            <w:tr w:rsidR="002D746F" w14:paraId="334C9654" w14:textId="77777777">
                              <w:tc>
                                <w:tcPr>
                                  <w:tcW w:w="817" w:type="dxa"/>
                                  <w:shd w:val="clear" w:color="auto" w:fill="auto"/>
                                </w:tcPr>
                                <w:p w14:paraId="17CF1EC1"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FDB8AC1"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24671A9B"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227475F7" w14:textId="77777777" w:rsidR="002D746F" w:rsidRDefault="002D746F">
                                  <w:pPr>
                                    <w:rPr>
                                      <w:rFonts w:ascii="Arial" w:hAnsi="Arial" w:cs="Arial"/>
                                      <w:sz w:val="20"/>
                                    </w:rPr>
                                  </w:pPr>
                                  <w:r>
                                    <w:rPr>
                                      <w:rFonts w:ascii="Arial" w:hAnsi="Arial" w:cs="Arial"/>
                                      <w:sz w:val="20"/>
                                    </w:rPr>
                                    <w:t>12</w:t>
                                  </w:r>
                                </w:p>
                              </w:tc>
                              <w:tc>
                                <w:tcPr>
                                  <w:tcW w:w="850" w:type="dxa"/>
                                  <w:tcBorders>
                                    <w:bottom w:val="single" w:sz="4" w:space="0" w:color="auto"/>
                                  </w:tcBorders>
                                  <w:shd w:val="clear" w:color="auto" w:fill="auto"/>
                                </w:tcPr>
                                <w:p w14:paraId="68DE4D69" w14:textId="77777777" w:rsidR="002D746F" w:rsidRDefault="002D746F">
                                  <w:pPr>
                                    <w:rPr>
                                      <w:rFonts w:ascii="Arial" w:hAnsi="Arial" w:cs="Arial"/>
                                      <w:sz w:val="20"/>
                                    </w:rPr>
                                  </w:pPr>
                                  <w:r>
                                    <w:rPr>
                                      <w:rFonts w:ascii="Arial" w:hAnsi="Arial" w:cs="Arial"/>
                                      <w:sz w:val="20"/>
                                    </w:rPr>
                                    <w:t>186</w:t>
                                  </w:r>
                                </w:p>
                              </w:tc>
                            </w:tr>
                            <w:tr w:rsidR="002D746F" w14:paraId="75E421C5" w14:textId="77777777">
                              <w:tc>
                                <w:tcPr>
                                  <w:tcW w:w="817" w:type="dxa"/>
                                  <w:shd w:val="clear" w:color="auto" w:fill="auto"/>
                                </w:tcPr>
                                <w:p w14:paraId="1C2FDE8C"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3796604"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134B9A65"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566EE0BE"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76B0C0DF" w14:textId="77777777" w:rsidR="002D746F" w:rsidRDefault="002D746F">
                                  <w:pPr>
                                    <w:rPr>
                                      <w:rFonts w:ascii="Arial" w:hAnsi="Arial" w:cs="Arial"/>
                                      <w:sz w:val="20"/>
                                    </w:rPr>
                                  </w:pPr>
                                </w:p>
                              </w:tc>
                            </w:tr>
                          </w:tbl>
                          <w:p w14:paraId="4BF07F06" w14:textId="77777777" w:rsidR="002D746F" w:rsidRDefault="002D746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601F1D" id="_x0000_s1031" type="#_x0000_t202" style="position:absolute;margin-left:26.85pt;margin-top:70.8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" filled="f" stroked="f">
                <v:textbox>
                  <w:txbxContent>
                    <w:p w14:paraId="0204C503" w14:textId="77777777" w:rsidR="002D746F" w:rsidRDefault="002D746F">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2D746F" w14:paraId="7ADE76AD" w14:textId="77777777">
                        <w:tc>
                          <w:tcPr>
                            <w:tcW w:w="5691" w:type="dxa"/>
                            <w:gridSpan w:val="5"/>
                            <w:shd w:val="clear" w:color="auto" w:fill="auto"/>
                          </w:tcPr>
                          <w:p w14:paraId="0C06B7DE" w14:textId="77777777" w:rsidR="002D746F" w:rsidRDefault="002D746F">
                            <w:pPr>
                              <w:rPr>
                                <w:rFonts w:ascii="Arial" w:hAnsi="Arial" w:cs="Arial"/>
                                <w:sz w:val="20"/>
                                <w:lang w:val="en-US"/>
                              </w:rPr>
                            </w:pPr>
                            <w:r>
                              <w:rPr>
                                <w:rFonts w:ascii="Arial" w:hAnsi="Arial" w:cs="Arial"/>
                                <w:sz w:val="20"/>
                                <w:lang w:val="en-US"/>
                              </w:rPr>
                              <w:t>P = 0,019</w:t>
                            </w:r>
                          </w:p>
                          <w:p w14:paraId="78C886D4" w14:textId="77777777" w:rsidR="002D746F" w:rsidRDefault="002D746F">
                            <w:pPr>
                              <w:rPr>
                                <w:rFonts w:ascii="Arial" w:hAnsi="Arial" w:cs="Arial"/>
                                <w:sz w:val="20"/>
                                <w:lang w:val="en-US"/>
                              </w:rPr>
                            </w:pPr>
                            <w:r>
                              <w:rPr>
                                <w:rFonts w:ascii="Arial" w:hAnsi="Arial" w:cs="Arial"/>
                                <w:sz w:val="20"/>
                                <w:lang w:val="en-US"/>
                              </w:rPr>
                              <w:t>Hazard ratio 0,45</w:t>
                            </w:r>
                          </w:p>
                          <w:p w14:paraId="3FE97947" w14:textId="77777777" w:rsidR="002D746F" w:rsidRDefault="002D746F">
                            <w:pPr>
                              <w:rPr>
                                <w:rFonts w:ascii="Arial" w:hAnsi="Arial" w:cs="Arial"/>
                                <w:sz w:val="20"/>
                                <w:lang w:val="de-DE"/>
                              </w:rPr>
                            </w:pPr>
                            <w:r>
                              <w:rPr>
                                <w:rFonts w:ascii="Arial" w:hAnsi="Arial" w:cs="Arial"/>
                                <w:sz w:val="20"/>
                                <w:lang w:val="en-US"/>
                              </w:rPr>
                              <w:t>(95% IC, 0,22</w:t>
                            </w:r>
                            <w:r>
                              <w:rPr>
                                <w:rFonts w:ascii="Arial" w:hAnsi="Arial" w:cs="Arial"/>
                                <w:sz w:val="20"/>
                                <w:lang w:val="en-US"/>
                              </w:rPr>
                              <w:noBreakHyphen/>
                              <w:t>0,89)</w:t>
                            </w:r>
                          </w:p>
                        </w:tc>
                      </w:tr>
                      <w:tr w:rsidR="002D746F" w14:paraId="61C73630" w14:textId="77777777">
                        <w:tc>
                          <w:tcPr>
                            <w:tcW w:w="817" w:type="dxa"/>
                            <w:shd w:val="clear" w:color="auto" w:fill="auto"/>
                          </w:tcPr>
                          <w:p w14:paraId="437BBB8A" w14:textId="77777777" w:rsidR="002D746F" w:rsidRDefault="002D746F">
                            <w:pPr>
                              <w:rPr>
                                <w:rFonts w:ascii="Arial" w:hAnsi="Arial" w:cs="Arial"/>
                                <w:sz w:val="20"/>
                              </w:rPr>
                            </w:pPr>
                          </w:p>
                        </w:tc>
                        <w:tc>
                          <w:tcPr>
                            <w:tcW w:w="2464" w:type="dxa"/>
                            <w:shd w:val="clear" w:color="auto" w:fill="auto"/>
                          </w:tcPr>
                          <w:p w14:paraId="7CD67E29"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4BB2F3B7"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2B3C8108"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4B2EE9AC" w14:textId="77777777" w:rsidR="002D746F" w:rsidRDefault="002D746F">
                            <w:pPr>
                              <w:rPr>
                                <w:rFonts w:ascii="Arial" w:hAnsi="Arial" w:cs="Arial"/>
                                <w:sz w:val="20"/>
                              </w:rPr>
                            </w:pPr>
                            <w:r>
                              <w:rPr>
                                <w:rFonts w:ascii="Arial" w:hAnsi="Arial" w:cs="Arial"/>
                                <w:sz w:val="20"/>
                                <w:lang w:val="de-DE"/>
                              </w:rPr>
                              <w:t>Cen</w:t>
                            </w:r>
                          </w:p>
                        </w:tc>
                      </w:tr>
                      <w:tr w:rsidR="002D746F" w14:paraId="2A5B9E28" w14:textId="77777777">
                        <w:tc>
                          <w:tcPr>
                            <w:tcW w:w="817" w:type="dxa"/>
                            <w:shd w:val="clear" w:color="auto" w:fill="auto"/>
                          </w:tcPr>
                          <w:p w14:paraId="3276ACF3"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0DD5B422"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5A6C2543"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01DE5BED" w14:textId="77777777" w:rsidR="002D746F" w:rsidRDefault="002D746F">
                            <w:pPr>
                              <w:rPr>
                                <w:rFonts w:ascii="Arial" w:hAnsi="Arial" w:cs="Arial"/>
                                <w:sz w:val="20"/>
                              </w:rPr>
                            </w:pPr>
                            <w:r>
                              <w:rPr>
                                <w:rFonts w:ascii="Arial" w:hAnsi="Arial" w:cs="Arial"/>
                                <w:sz w:val="20"/>
                              </w:rPr>
                              <w:t>25</w:t>
                            </w:r>
                          </w:p>
                        </w:tc>
                        <w:tc>
                          <w:tcPr>
                            <w:tcW w:w="850" w:type="dxa"/>
                            <w:tcBorders>
                              <w:top w:val="single" w:sz="4" w:space="0" w:color="auto"/>
                            </w:tcBorders>
                            <w:shd w:val="clear" w:color="auto" w:fill="auto"/>
                          </w:tcPr>
                          <w:p w14:paraId="4A794BBE" w14:textId="77777777" w:rsidR="002D746F" w:rsidRDefault="002D746F">
                            <w:pPr>
                              <w:rPr>
                                <w:rFonts w:ascii="Arial" w:hAnsi="Arial" w:cs="Arial"/>
                                <w:sz w:val="20"/>
                              </w:rPr>
                            </w:pPr>
                            <w:r>
                              <w:rPr>
                                <w:rFonts w:ascii="Arial" w:hAnsi="Arial" w:cs="Arial"/>
                                <w:sz w:val="20"/>
                              </w:rPr>
                              <w:t>174</w:t>
                            </w:r>
                          </w:p>
                        </w:tc>
                      </w:tr>
                      <w:tr w:rsidR="002D746F" w14:paraId="334C9654" w14:textId="77777777">
                        <w:tc>
                          <w:tcPr>
                            <w:tcW w:w="817" w:type="dxa"/>
                            <w:shd w:val="clear" w:color="auto" w:fill="auto"/>
                          </w:tcPr>
                          <w:p w14:paraId="17CF1EC1"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FDB8AC1"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24671A9B"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227475F7" w14:textId="77777777" w:rsidR="002D746F" w:rsidRDefault="002D746F">
                            <w:pPr>
                              <w:rPr>
                                <w:rFonts w:ascii="Arial" w:hAnsi="Arial" w:cs="Arial"/>
                                <w:sz w:val="20"/>
                              </w:rPr>
                            </w:pPr>
                            <w:r>
                              <w:rPr>
                                <w:rFonts w:ascii="Arial" w:hAnsi="Arial" w:cs="Arial"/>
                                <w:sz w:val="20"/>
                              </w:rPr>
                              <w:t>12</w:t>
                            </w:r>
                          </w:p>
                        </w:tc>
                        <w:tc>
                          <w:tcPr>
                            <w:tcW w:w="850" w:type="dxa"/>
                            <w:tcBorders>
                              <w:bottom w:val="single" w:sz="4" w:space="0" w:color="auto"/>
                            </w:tcBorders>
                            <w:shd w:val="clear" w:color="auto" w:fill="auto"/>
                          </w:tcPr>
                          <w:p w14:paraId="68DE4D69" w14:textId="77777777" w:rsidR="002D746F" w:rsidRDefault="002D746F">
                            <w:pPr>
                              <w:rPr>
                                <w:rFonts w:ascii="Arial" w:hAnsi="Arial" w:cs="Arial"/>
                                <w:sz w:val="20"/>
                              </w:rPr>
                            </w:pPr>
                            <w:r>
                              <w:rPr>
                                <w:rFonts w:ascii="Arial" w:hAnsi="Arial" w:cs="Arial"/>
                                <w:sz w:val="20"/>
                              </w:rPr>
                              <w:t>186</w:t>
                            </w:r>
                          </w:p>
                        </w:tc>
                      </w:tr>
                      <w:tr w:rsidR="002D746F" w14:paraId="75E421C5" w14:textId="77777777">
                        <w:tc>
                          <w:tcPr>
                            <w:tcW w:w="817" w:type="dxa"/>
                            <w:shd w:val="clear" w:color="auto" w:fill="auto"/>
                          </w:tcPr>
                          <w:p w14:paraId="1C2FDE8C"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3796604"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134B9A65"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566EE0BE"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76B0C0DF" w14:textId="77777777" w:rsidR="002D746F" w:rsidRDefault="002D746F">
                            <w:pPr>
                              <w:rPr>
                                <w:rFonts w:ascii="Arial" w:hAnsi="Arial" w:cs="Arial"/>
                                <w:sz w:val="20"/>
                              </w:rPr>
                            </w:pPr>
                          </w:p>
                        </w:tc>
                      </w:tr>
                    </w:tbl>
                    <w:p w14:paraId="4BF07F06" w14:textId="77777777" w:rsidR="002D746F" w:rsidRDefault="002D746F">
                      <w:pPr>
                        <w:rPr>
                          <w:rFonts w:ascii="Arial" w:hAnsi="Arial" w:cs="Arial"/>
                          <w:sz w:val="20"/>
                        </w:rPr>
                      </w:pPr>
                    </w:p>
                  </w:txbxContent>
                </v:textbox>
              </v:shape>
            </w:pict>
          </mc:Fallback>
        </mc:AlternateContent>
      </w:r>
      <w:r w:rsidRPr="00961E0F">
        <w:rPr>
          <w:noProof/>
          <w:lang w:val="en-US"/>
        </w:rPr>
        <w:drawing>
          <wp:inline distT="0" distB="0" distL="0" distR="0" wp14:anchorId="0D107654" wp14:editId="4B9819E8">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3AF2AF52" w14:textId="77777777" w:rsidR="007D642D" w:rsidRPr="00961E0F" w:rsidRDefault="007D642D">
      <w:pPr>
        <w:pStyle w:val="EndnoteText"/>
        <w:widowControl w:val="0"/>
        <w:tabs>
          <w:tab w:val="clear" w:pos="567"/>
        </w:tabs>
        <w:rPr>
          <w:color w:val="000000"/>
          <w:szCs w:val="22"/>
          <w:lang w:val="fr-FR"/>
        </w:rPr>
      </w:pPr>
    </w:p>
    <w:p w14:paraId="0B3CBF79" w14:textId="77777777" w:rsidR="007D642D" w:rsidRPr="00961E0F" w:rsidRDefault="007D642D">
      <w:pPr>
        <w:rPr>
          <w:rFonts w:ascii="Times New Roman" w:hAnsi="Times New Roman"/>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7D642D" w:rsidRPr="00961E0F" w14:paraId="36E89D62" w14:textId="77777777">
        <w:tc>
          <w:tcPr>
            <w:tcW w:w="10632" w:type="dxa"/>
            <w:gridSpan w:val="16"/>
            <w:shd w:val="clear" w:color="auto" w:fill="auto"/>
          </w:tcPr>
          <w:p w14:paraId="348A40E7" w14:textId="77777777" w:rsidR="007D642D" w:rsidRPr="00961E0F" w:rsidRDefault="007D642D">
            <w:pPr>
              <w:ind w:left="-27"/>
              <w:rPr>
                <w:rFonts w:ascii="Arial" w:hAnsi="Arial" w:cs="Arial"/>
                <w:sz w:val="16"/>
                <w:szCs w:val="16"/>
              </w:rPr>
            </w:pPr>
            <w:r w:rsidRPr="00961E0F">
              <w:rPr>
                <w:rFonts w:ascii="Arial" w:hAnsi="Arial" w:cs="Arial"/>
                <w:sz w:val="20"/>
              </w:rPr>
              <w:t>Patients à risque : Evènements</w:t>
            </w:r>
          </w:p>
        </w:tc>
      </w:tr>
      <w:tr w:rsidR="007D642D" w:rsidRPr="00961E0F" w14:paraId="5A386F6F" w14:textId="77777777">
        <w:tc>
          <w:tcPr>
            <w:tcW w:w="450" w:type="dxa"/>
            <w:shd w:val="clear" w:color="auto" w:fill="auto"/>
          </w:tcPr>
          <w:p w14:paraId="14EA8CAD" w14:textId="77777777" w:rsidR="007D642D" w:rsidRPr="00961E0F" w:rsidRDefault="007D642D">
            <w:pPr>
              <w:rPr>
                <w:rFonts w:ascii="Times New Roman" w:hAnsi="Times New Roman"/>
                <w:sz w:val="20"/>
              </w:rPr>
            </w:pPr>
            <w:r w:rsidRPr="00961E0F">
              <w:rPr>
                <w:rFonts w:ascii="Times New Roman" w:hAnsi="Times New Roman"/>
                <w:sz w:val="20"/>
              </w:rPr>
              <w:t>(1)</w:t>
            </w:r>
          </w:p>
        </w:tc>
        <w:tc>
          <w:tcPr>
            <w:tcW w:w="691" w:type="dxa"/>
            <w:shd w:val="clear" w:color="auto" w:fill="auto"/>
          </w:tcPr>
          <w:p w14:paraId="052374AF" w14:textId="77777777" w:rsidR="007D642D" w:rsidRPr="00961E0F" w:rsidRDefault="007D642D">
            <w:pPr>
              <w:ind w:left="-45"/>
              <w:rPr>
                <w:rFonts w:ascii="Times New Roman" w:hAnsi="Times New Roman"/>
                <w:sz w:val="20"/>
              </w:rPr>
            </w:pPr>
            <w:r w:rsidRPr="00961E0F">
              <w:rPr>
                <w:rFonts w:ascii="Times New Roman" w:hAnsi="Times New Roman"/>
                <w:sz w:val="20"/>
              </w:rPr>
              <w:t>199:0</w:t>
            </w:r>
          </w:p>
        </w:tc>
        <w:tc>
          <w:tcPr>
            <w:tcW w:w="672" w:type="dxa"/>
            <w:shd w:val="clear" w:color="auto" w:fill="auto"/>
          </w:tcPr>
          <w:p w14:paraId="3C401B04" w14:textId="77777777" w:rsidR="007D642D" w:rsidRPr="00961E0F" w:rsidRDefault="007D642D">
            <w:pPr>
              <w:ind w:left="-45"/>
              <w:rPr>
                <w:rFonts w:ascii="Times New Roman" w:hAnsi="Times New Roman"/>
                <w:sz w:val="20"/>
              </w:rPr>
            </w:pPr>
            <w:r w:rsidRPr="00961E0F">
              <w:rPr>
                <w:rFonts w:ascii="Times New Roman" w:hAnsi="Times New Roman"/>
                <w:sz w:val="20"/>
              </w:rPr>
              <w:t>190:2</w:t>
            </w:r>
          </w:p>
        </w:tc>
        <w:tc>
          <w:tcPr>
            <w:tcW w:w="714" w:type="dxa"/>
            <w:shd w:val="clear" w:color="auto" w:fill="auto"/>
          </w:tcPr>
          <w:p w14:paraId="02594033" w14:textId="77777777" w:rsidR="007D642D" w:rsidRPr="00961E0F" w:rsidRDefault="007D642D">
            <w:pPr>
              <w:ind w:left="-45"/>
              <w:rPr>
                <w:rFonts w:ascii="Times New Roman" w:hAnsi="Times New Roman"/>
                <w:sz w:val="20"/>
              </w:rPr>
            </w:pPr>
            <w:r w:rsidRPr="00961E0F">
              <w:rPr>
                <w:rFonts w:ascii="Times New Roman" w:hAnsi="Times New Roman"/>
                <w:sz w:val="20"/>
              </w:rPr>
              <w:t>188:2</w:t>
            </w:r>
          </w:p>
        </w:tc>
        <w:tc>
          <w:tcPr>
            <w:tcW w:w="722" w:type="dxa"/>
            <w:shd w:val="clear" w:color="auto" w:fill="auto"/>
          </w:tcPr>
          <w:p w14:paraId="35008C8A" w14:textId="77777777" w:rsidR="007D642D" w:rsidRPr="00961E0F" w:rsidRDefault="007D642D">
            <w:pPr>
              <w:ind w:left="-45"/>
              <w:rPr>
                <w:rFonts w:ascii="Times New Roman" w:hAnsi="Times New Roman"/>
                <w:sz w:val="20"/>
              </w:rPr>
            </w:pPr>
            <w:r w:rsidRPr="00961E0F">
              <w:rPr>
                <w:rFonts w:ascii="Times New Roman" w:hAnsi="Times New Roman"/>
                <w:sz w:val="20"/>
              </w:rPr>
              <w:t>183:6</w:t>
            </w:r>
          </w:p>
        </w:tc>
        <w:tc>
          <w:tcPr>
            <w:tcW w:w="694" w:type="dxa"/>
            <w:shd w:val="clear" w:color="auto" w:fill="auto"/>
          </w:tcPr>
          <w:p w14:paraId="711C63D2" w14:textId="77777777" w:rsidR="007D642D" w:rsidRPr="00961E0F" w:rsidRDefault="007D642D">
            <w:pPr>
              <w:ind w:left="-45"/>
              <w:rPr>
                <w:rFonts w:ascii="Times New Roman" w:hAnsi="Times New Roman"/>
                <w:sz w:val="20"/>
              </w:rPr>
            </w:pPr>
            <w:r w:rsidRPr="00961E0F">
              <w:rPr>
                <w:rFonts w:ascii="Times New Roman" w:hAnsi="Times New Roman"/>
                <w:sz w:val="20"/>
              </w:rPr>
              <w:t>176:8</w:t>
            </w:r>
          </w:p>
        </w:tc>
        <w:tc>
          <w:tcPr>
            <w:tcW w:w="772" w:type="dxa"/>
            <w:shd w:val="clear" w:color="auto" w:fill="auto"/>
          </w:tcPr>
          <w:p w14:paraId="692E7063" w14:textId="77777777" w:rsidR="007D642D" w:rsidRPr="00961E0F" w:rsidRDefault="007D642D">
            <w:pPr>
              <w:ind w:left="-45"/>
              <w:rPr>
                <w:rFonts w:ascii="Times New Roman" w:hAnsi="Times New Roman"/>
                <w:sz w:val="20"/>
              </w:rPr>
            </w:pPr>
            <w:r w:rsidRPr="00961E0F">
              <w:rPr>
                <w:rFonts w:ascii="Times New Roman" w:hAnsi="Times New Roman"/>
                <w:sz w:val="20"/>
              </w:rPr>
              <w:t>156:10</w:t>
            </w:r>
          </w:p>
        </w:tc>
        <w:tc>
          <w:tcPr>
            <w:tcW w:w="782" w:type="dxa"/>
            <w:shd w:val="clear" w:color="auto" w:fill="auto"/>
          </w:tcPr>
          <w:p w14:paraId="359A84F8" w14:textId="77777777" w:rsidR="007D642D" w:rsidRPr="00961E0F" w:rsidRDefault="007D642D">
            <w:pPr>
              <w:ind w:left="-45"/>
              <w:rPr>
                <w:rFonts w:ascii="Times New Roman" w:hAnsi="Times New Roman"/>
                <w:sz w:val="20"/>
              </w:rPr>
            </w:pPr>
            <w:r w:rsidRPr="00961E0F">
              <w:rPr>
                <w:rFonts w:ascii="Times New Roman" w:hAnsi="Times New Roman"/>
                <w:sz w:val="20"/>
              </w:rPr>
              <w:t>140:11</w:t>
            </w:r>
          </w:p>
        </w:tc>
        <w:tc>
          <w:tcPr>
            <w:tcW w:w="798" w:type="dxa"/>
            <w:shd w:val="clear" w:color="auto" w:fill="auto"/>
          </w:tcPr>
          <w:p w14:paraId="03EBF35E" w14:textId="77777777" w:rsidR="007D642D" w:rsidRPr="00961E0F" w:rsidRDefault="007D642D">
            <w:pPr>
              <w:ind w:left="-45"/>
              <w:rPr>
                <w:rFonts w:ascii="Times New Roman" w:hAnsi="Times New Roman"/>
                <w:sz w:val="20"/>
              </w:rPr>
            </w:pPr>
            <w:r w:rsidRPr="00961E0F">
              <w:rPr>
                <w:rFonts w:ascii="Times New Roman" w:hAnsi="Times New Roman"/>
                <w:sz w:val="20"/>
              </w:rPr>
              <w:t>105:14</w:t>
            </w:r>
          </w:p>
        </w:tc>
        <w:tc>
          <w:tcPr>
            <w:tcW w:w="654" w:type="dxa"/>
            <w:shd w:val="clear" w:color="auto" w:fill="auto"/>
          </w:tcPr>
          <w:p w14:paraId="0DE40563" w14:textId="77777777" w:rsidR="007D642D" w:rsidRPr="00961E0F" w:rsidRDefault="007D642D">
            <w:pPr>
              <w:ind w:left="-45"/>
              <w:rPr>
                <w:rFonts w:ascii="Times New Roman" w:hAnsi="Times New Roman"/>
                <w:sz w:val="20"/>
              </w:rPr>
            </w:pPr>
            <w:r w:rsidRPr="00961E0F">
              <w:rPr>
                <w:rFonts w:ascii="Times New Roman" w:hAnsi="Times New Roman"/>
                <w:sz w:val="20"/>
              </w:rPr>
              <w:t>87:18</w:t>
            </w:r>
          </w:p>
        </w:tc>
        <w:tc>
          <w:tcPr>
            <w:tcW w:w="630" w:type="dxa"/>
            <w:shd w:val="clear" w:color="auto" w:fill="auto"/>
          </w:tcPr>
          <w:p w14:paraId="7FAF6F31" w14:textId="77777777" w:rsidR="007D642D" w:rsidRPr="00961E0F" w:rsidRDefault="007D642D">
            <w:pPr>
              <w:ind w:left="-45"/>
              <w:rPr>
                <w:rFonts w:ascii="Times New Roman" w:hAnsi="Times New Roman"/>
                <w:sz w:val="20"/>
              </w:rPr>
            </w:pPr>
            <w:r w:rsidRPr="00961E0F">
              <w:rPr>
                <w:rFonts w:ascii="Times New Roman" w:hAnsi="Times New Roman"/>
                <w:sz w:val="20"/>
              </w:rPr>
              <w:t>64:22</w:t>
            </w:r>
          </w:p>
        </w:tc>
        <w:tc>
          <w:tcPr>
            <w:tcW w:w="644" w:type="dxa"/>
            <w:shd w:val="clear" w:color="auto" w:fill="auto"/>
          </w:tcPr>
          <w:p w14:paraId="0849AEE7" w14:textId="77777777" w:rsidR="007D642D" w:rsidRPr="00961E0F" w:rsidRDefault="007D642D">
            <w:pPr>
              <w:ind w:left="-45"/>
              <w:rPr>
                <w:rFonts w:ascii="Times New Roman" w:hAnsi="Times New Roman"/>
                <w:sz w:val="20"/>
              </w:rPr>
            </w:pPr>
            <w:r w:rsidRPr="00961E0F">
              <w:rPr>
                <w:rFonts w:ascii="Times New Roman" w:hAnsi="Times New Roman"/>
                <w:sz w:val="20"/>
              </w:rPr>
              <w:t>46:23</w:t>
            </w:r>
          </w:p>
        </w:tc>
        <w:tc>
          <w:tcPr>
            <w:tcW w:w="672" w:type="dxa"/>
            <w:shd w:val="clear" w:color="auto" w:fill="auto"/>
          </w:tcPr>
          <w:p w14:paraId="0DC79063" w14:textId="77777777" w:rsidR="007D642D" w:rsidRPr="00961E0F" w:rsidRDefault="007D642D">
            <w:pPr>
              <w:ind w:left="-45"/>
              <w:rPr>
                <w:rFonts w:ascii="Times New Roman" w:hAnsi="Times New Roman"/>
                <w:sz w:val="20"/>
              </w:rPr>
            </w:pPr>
            <w:r w:rsidRPr="00961E0F">
              <w:rPr>
                <w:rFonts w:ascii="Times New Roman" w:hAnsi="Times New Roman"/>
                <w:sz w:val="20"/>
              </w:rPr>
              <w:t>27:25</w:t>
            </w:r>
          </w:p>
        </w:tc>
        <w:tc>
          <w:tcPr>
            <w:tcW w:w="686" w:type="dxa"/>
            <w:shd w:val="clear" w:color="auto" w:fill="auto"/>
          </w:tcPr>
          <w:p w14:paraId="3BFAEFD8" w14:textId="77777777" w:rsidR="007D642D" w:rsidRPr="00961E0F" w:rsidRDefault="007D642D">
            <w:pPr>
              <w:ind w:left="-45"/>
              <w:rPr>
                <w:rFonts w:ascii="Times New Roman" w:hAnsi="Times New Roman"/>
                <w:sz w:val="20"/>
              </w:rPr>
            </w:pPr>
            <w:r w:rsidRPr="00961E0F">
              <w:rPr>
                <w:rFonts w:ascii="Times New Roman" w:hAnsi="Times New Roman"/>
                <w:sz w:val="20"/>
              </w:rPr>
              <w:t>20:25</w:t>
            </w:r>
          </w:p>
        </w:tc>
        <w:tc>
          <w:tcPr>
            <w:tcW w:w="560" w:type="dxa"/>
            <w:shd w:val="clear" w:color="auto" w:fill="auto"/>
          </w:tcPr>
          <w:p w14:paraId="24D00F0E" w14:textId="77777777" w:rsidR="007D642D" w:rsidRPr="00961E0F" w:rsidRDefault="007D642D">
            <w:pPr>
              <w:ind w:left="-45"/>
              <w:rPr>
                <w:rFonts w:ascii="Times New Roman" w:hAnsi="Times New Roman"/>
                <w:sz w:val="20"/>
              </w:rPr>
            </w:pPr>
            <w:r w:rsidRPr="00961E0F">
              <w:rPr>
                <w:rFonts w:ascii="Times New Roman" w:hAnsi="Times New Roman"/>
                <w:sz w:val="20"/>
              </w:rPr>
              <w:t>2:25</w:t>
            </w:r>
          </w:p>
        </w:tc>
        <w:tc>
          <w:tcPr>
            <w:tcW w:w="491" w:type="dxa"/>
            <w:shd w:val="clear" w:color="auto" w:fill="auto"/>
          </w:tcPr>
          <w:p w14:paraId="5CDE60E7" w14:textId="77777777" w:rsidR="007D642D" w:rsidRPr="00961E0F" w:rsidRDefault="007D642D">
            <w:pPr>
              <w:ind w:left="-45"/>
              <w:rPr>
                <w:rFonts w:ascii="Times New Roman" w:hAnsi="Times New Roman"/>
                <w:sz w:val="20"/>
              </w:rPr>
            </w:pPr>
            <w:r w:rsidRPr="00961E0F">
              <w:rPr>
                <w:rFonts w:ascii="Times New Roman" w:hAnsi="Times New Roman"/>
                <w:sz w:val="20"/>
              </w:rPr>
              <w:t>0:25</w:t>
            </w:r>
          </w:p>
        </w:tc>
      </w:tr>
      <w:tr w:rsidR="007D642D" w:rsidRPr="00961E0F" w14:paraId="0FD5F65B" w14:textId="77777777">
        <w:tc>
          <w:tcPr>
            <w:tcW w:w="450" w:type="dxa"/>
            <w:shd w:val="clear" w:color="auto" w:fill="auto"/>
          </w:tcPr>
          <w:p w14:paraId="4217D648" w14:textId="77777777" w:rsidR="007D642D" w:rsidRPr="00961E0F" w:rsidRDefault="007D642D">
            <w:pPr>
              <w:rPr>
                <w:rFonts w:ascii="Times New Roman" w:hAnsi="Times New Roman"/>
                <w:sz w:val="20"/>
              </w:rPr>
            </w:pPr>
            <w:r w:rsidRPr="00961E0F">
              <w:rPr>
                <w:rFonts w:ascii="Times New Roman" w:hAnsi="Times New Roman"/>
                <w:sz w:val="20"/>
              </w:rPr>
              <w:t>(2)</w:t>
            </w:r>
          </w:p>
        </w:tc>
        <w:tc>
          <w:tcPr>
            <w:tcW w:w="691" w:type="dxa"/>
            <w:shd w:val="clear" w:color="auto" w:fill="auto"/>
          </w:tcPr>
          <w:p w14:paraId="278463A5" w14:textId="77777777" w:rsidR="007D642D" w:rsidRPr="00961E0F" w:rsidRDefault="007D642D">
            <w:pPr>
              <w:ind w:left="-45"/>
              <w:rPr>
                <w:rFonts w:ascii="Times New Roman" w:hAnsi="Times New Roman"/>
                <w:sz w:val="20"/>
              </w:rPr>
            </w:pPr>
            <w:r w:rsidRPr="00961E0F">
              <w:rPr>
                <w:rFonts w:ascii="Times New Roman" w:hAnsi="Times New Roman"/>
                <w:sz w:val="20"/>
              </w:rPr>
              <w:t>198:0</w:t>
            </w:r>
          </w:p>
        </w:tc>
        <w:tc>
          <w:tcPr>
            <w:tcW w:w="672" w:type="dxa"/>
            <w:shd w:val="clear" w:color="auto" w:fill="auto"/>
          </w:tcPr>
          <w:p w14:paraId="1CEF8277" w14:textId="77777777" w:rsidR="007D642D" w:rsidRPr="00961E0F" w:rsidRDefault="007D642D">
            <w:pPr>
              <w:ind w:left="-45"/>
              <w:rPr>
                <w:rFonts w:ascii="Times New Roman" w:hAnsi="Times New Roman"/>
                <w:sz w:val="20"/>
              </w:rPr>
            </w:pPr>
            <w:r w:rsidRPr="00961E0F">
              <w:rPr>
                <w:rFonts w:ascii="Times New Roman" w:hAnsi="Times New Roman"/>
                <w:sz w:val="20"/>
              </w:rPr>
              <w:t>196:0</w:t>
            </w:r>
          </w:p>
        </w:tc>
        <w:tc>
          <w:tcPr>
            <w:tcW w:w="714" w:type="dxa"/>
            <w:shd w:val="clear" w:color="auto" w:fill="auto"/>
          </w:tcPr>
          <w:p w14:paraId="2B6CDAAF" w14:textId="77777777" w:rsidR="007D642D" w:rsidRPr="00961E0F" w:rsidRDefault="007D642D">
            <w:pPr>
              <w:ind w:left="-45"/>
              <w:rPr>
                <w:rFonts w:ascii="Times New Roman" w:hAnsi="Times New Roman"/>
                <w:sz w:val="20"/>
              </w:rPr>
            </w:pPr>
            <w:r w:rsidRPr="00961E0F">
              <w:rPr>
                <w:rFonts w:ascii="Times New Roman" w:hAnsi="Times New Roman"/>
                <w:sz w:val="20"/>
              </w:rPr>
              <w:t>192:0</w:t>
            </w:r>
          </w:p>
        </w:tc>
        <w:tc>
          <w:tcPr>
            <w:tcW w:w="722" w:type="dxa"/>
            <w:shd w:val="clear" w:color="auto" w:fill="auto"/>
          </w:tcPr>
          <w:p w14:paraId="0A0E420C" w14:textId="77777777" w:rsidR="007D642D" w:rsidRPr="00961E0F" w:rsidRDefault="007D642D">
            <w:pPr>
              <w:ind w:left="-45"/>
              <w:rPr>
                <w:rFonts w:ascii="Times New Roman" w:hAnsi="Times New Roman"/>
                <w:sz w:val="20"/>
              </w:rPr>
            </w:pPr>
            <w:r w:rsidRPr="00961E0F">
              <w:rPr>
                <w:rFonts w:ascii="Times New Roman" w:hAnsi="Times New Roman"/>
                <w:sz w:val="20"/>
              </w:rPr>
              <w:t>187:4</w:t>
            </w:r>
          </w:p>
        </w:tc>
        <w:tc>
          <w:tcPr>
            <w:tcW w:w="694" w:type="dxa"/>
            <w:shd w:val="clear" w:color="auto" w:fill="auto"/>
          </w:tcPr>
          <w:p w14:paraId="60086AFF" w14:textId="77777777" w:rsidR="007D642D" w:rsidRPr="00961E0F" w:rsidRDefault="007D642D">
            <w:pPr>
              <w:ind w:left="-45"/>
              <w:rPr>
                <w:rFonts w:ascii="Times New Roman" w:hAnsi="Times New Roman"/>
                <w:sz w:val="20"/>
              </w:rPr>
            </w:pPr>
            <w:r w:rsidRPr="00961E0F">
              <w:rPr>
                <w:rFonts w:ascii="Times New Roman" w:hAnsi="Times New Roman"/>
                <w:sz w:val="20"/>
              </w:rPr>
              <w:t>184:5</w:t>
            </w:r>
          </w:p>
        </w:tc>
        <w:tc>
          <w:tcPr>
            <w:tcW w:w="772" w:type="dxa"/>
            <w:shd w:val="clear" w:color="auto" w:fill="auto"/>
          </w:tcPr>
          <w:p w14:paraId="3DFDB205" w14:textId="77777777" w:rsidR="007D642D" w:rsidRPr="00961E0F" w:rsidRDefault="007D642D">
            <w:pPr>
              <w:ind w:left="-45"/>
              <w:rPr>
                <w:rFonts w:ascii="Times New Roman" w:hAnsi="Times New Roman"/>
                <w:sz w:val="20"/>
              </w:rPr>
            </w:pPr>
            <w:r w:rsidRPr="00961E0F">
              <w:rPr>
                <w:rFonts w:ascii="Times New Roman" w:hAnsi="Times New Roman"/>
                <w:sz w:val="20"/>
              </w:rPr>
              <w:t>164:7</w:t>
            </w:r>
          </w:p>
        </w:tc>
        <w:tc>
          <w:tcPr>
            <w:tcW w:w="782" w:type="dxa"/>
            <w:shd w:val="clear" w:color="auto" w:fill="auto"/>
          </w:tcPr>
          <w:p w14:paraId="48A34D8C" w14:textId="77777777" w:rsidR="007D642D" w:rsidRPr="00961E0F" w:rsidRDefault="007D642D">
            <w:pPr>
              <w:ind w:left="-45"/>
              <w:rPr>
                <w:rFonts w:ascii="Times New Roman" w:hAnsi="Times New Roman"/>
                <w:sz w:val="20"/>
              </w:rPr>
            </w:pPr>
            <w:r w:rsidRPr="00961E0F">
              <w:rPr>
                <w:rFonts w:ascii="Times New Roman" w:hAnsi="Times New Roman"/>
                <w:sz w:val="20"/>
              </w:rPr>
              <w:t>152:7</w:t>
            </w:r>
          </w:p>
        </w:tc>
        <w:tc>
          <w:tcPr>
            <w:tcW w:w="798" w:type="dxa"/>
            <w:shd w:val="clear" w:color="auto" w:fill="auto"/>
          </w:tcPr>
          <w:p w14:paraId="3BE2C4A2" w14:textId="77777777" w:rsidR="007D642D" w:rsidRPr="00961E0F" w:rsidRDefault="007D642D">
            <w:pPr>
              <w:ind w:left="-45"/>
              <w:rPr>
                <w:rFonts w:ascii="Times New Roman" w:hAnsi="Times New Roman"/>
                <w:sz w:val="20"/>
              </w:rPr>
            </w:pPr>
            <w:r w:rsidRPr="00961E0F">
              <w:rPr>
                <w:rFonts w:ascii="Times New Roman" w:hAnsi="Times New Roman"/>
                <w:sz w:val="20"/>
              </w:rPr>
              <w:t>119:8</w:t>
            </w:r>
          </w:p>
        </w:tc>
        <w:tc>
          <w:tcPr>
            <w:tcW w:w="654" w:type="dxa"/>
            <w:shd w:val="clear" w:color="auto" w:fill="auto"/>
          </w:tcPr>
          <w:p w14:paraId="059E4D5A" w14:textId="77777777" w:rsidR="007D642D" w:rsidRPr="00961E0F" w:rsidRDefault="007D642D">
            <w:pPr>
              <w:ind w:left="-45"/>
              <w:rPr>
                <w:rFonts w:ascii="Times New Roman" w:hAnsi="Times New Roman"/>
                <w:sz w:val="20"/>
              </w:rPr>
            </w:pPr>
            <w:r w:rsidRPr="00961E0F">
              <w:rPr>
                <w:rFonts w:ascii="Times New Roman" w:hAnsi="Times New Roman"/>
                <w:sz w:val="20"/>
              </w:rPr>
              <w:t>100:8</w:t>
            </w:r>
          </w:p>
        </w:tc>
        <w:tc>
          <w:tcPr>
            <w:tcW w:w="630" w:type="dxa"/>
            <w:shd w:val="clear" w:color="auto" w:fill="auto"/>
          </w:tcPr>
          <w:p w14:paraId="250A28A6" w14:textId="77777777" w:rsidR="007D642D" w:rsidRPr="00961E0F" w:rsidRDefault="007D642D">
            <w:pPr>
              <w:ind w:left="-45"/>
              <w:rPr>
                <w:rFonts w:ascii="Times New Roman" w:hAnsi="Times New Roman"/>
                <w:sz w:val="20"/>
              </w:rPr>
            </w:pPr>
            <w:r w:rsidRPr="00961E0F">
              <w:rPr>
                <w:rFonts w:ascii="Times New Roman" w:hAnsi="Times New Roman"/>
                <w:sz w:val="20"/>
              </w:rPr>
              <w:t>76:10</w:t>
            </w:r>
          </w:p>
        </w:tc>
        <w:tc>
          <w:tcPr>
            <w:tcW w:w="644" w:type="dxa"/>
            <w:shd w:val="clear" w:color="auto" w:fill="auto"/>
          </w:tcPr>
          <w:p w14:paraId="11C62F91" w14:textId="77777777" w:rsidR="007D642D" w:rsidRPr="00961E0F" w:rsidRDefault="007D642D">
            <w:pPr>
              <w:ind w:left="-45"/>
              <w:rPr>
                <w:rFonts w:ascii="Times New Roman" w:hAnsi="Times New Roman"/>
                <w:sz w:val="20"/>
              </w:rPr>
            </w:pPr>
            <w:r w:rsidRPr="00961E0F">
              <w:rPr>
                <w:rFonts w:ascii="Times New Roman" w:hAnsi="Times New Roman"/>
                <w:sz w:val="20"/>
              </w:rPr>
              <w:t>56:11</w:t>
            </w:r>
          </w:p>
        </w:tc>
        <w:tc>
          <w:tcPr>
            <w:tcW w:w="672" w:type="dxa"/>
            <w:shd w:val="clear" w:color="auto" w:fill="auto"/>
          </w:tcPr>
          <w:p w14:paraId="7B1B772F" w14:textId="77777777" w:rsidR="007D642D" w:rsidRPr="00961E0F" w:rsidRDefault="007D642D">
            <w:pPr>
              <w:ind w:left="-45"/>
              <w:rPr>
                <w:rFonts w:ascii="Times New Roman" w:hAnsi="Times New Roman"/>
                <w:sz w:val="20"/>
              </w:rPr>
            </w:pPr>
            <w:r w:rsidRPr="00961E0F">
              <w:rPr>
                <w:rFonts w:ascii="Times New Roman" w:hAnsi="Times New Roman"/>
                <w:sz w:val="20"/>
              </w:rPr>
              <w:t>31:11</w:t>
            </w:r>
          </w:p>
        </w:tc>
        <w:tc>
          <w:tcPr>
            <w:tcW w:w="686" w:type="dxa"/>
            <w:shd w:val="clear" w:color="auto" w:fill="auto"/>
          </w:tcPr>
          <w:p w14:paraId="67B8380A" w14:textId="77777777" w:rsidR="007D642D" w:rsidRPr="00961E0F" w:rsidRDefault="007D642D">
            <w:pPr>
              <w:ind w:left="-45"/>
              <w:rPr>
                <w:rFonts w:ascii="Times New Roman" w:hAnsi="Times New Roman"/>
                <w:sz w:val="20"/>
              </w:rPr>
            </w:pPr>
            <w:r w:rsidRPr="00961E0F">
              <w:rPr>
                <w:rFonts w:ascii="Times New Roman" w:hAnsi="Times New Roman"/>
                <w:sz w:val="20"/>
              </w:rPr>
              <w:t>13:12</w:t>
            </w:r>
          </w:p>
        </w:tc>
        <w:tc>
          <w:tcPr>
            <w:tcW w:w="560" w:type="dxa"/>
            <w:shd w:val="clear" w:color="auto" w:fill="auto"/>
          </w:tcPr>
          <w:p w14:paraId="214ABC1D" w14:textId="77777777" w:rsidR="007D642D" w:rsidRPr="00961E0F" w:rsidRDefault="007D642D">
            <w:pPr>
              <w:ind w:left="-45"/>
              <w:rPr>
                <w:rFonts w:ascii="Times New Roman" w:hAnsi="Times New Roman"/>
                <w:sz w:val="20"/>
              </w:rPr>
            </w:pPr>
            <w:r w:rsidRPr="00961E0F">
              <w:rPr>
                <w:rFonts w:ascii="Times New Roman" w:hAnsi="Times New Roman"/>
                <w:sz w:val="20"/>
              </w:rPr>
              <w:t>0:12</w:t>
            </w:r>
          </w:p>
        </w:tc>
        <w:tc>
          <w:tcPr>
            <w:tcW w:w="491" w:type="dxa"/>
            <w:shd w:val="clear" w:color="auto" w:fill="auto"/>
          </w:tcPr>
          <w:p w14:paraId="4B1F6E44" w14:textId="77777777" w:rsidR="007D642D" w:rsidRPr="00961E0F" w:rsidRDefault="007D642D">
            <w:pPr>
              <w:ind w:left="-45"/>
              <w:rPr>
                <w:rFonts w:ascii="Times New Roman" w:hAnsi="Times New Roman"/>
                <w:sz w:val="20"/>
              </w:rPr>
            </w:pPr>
          </w:p>
        </w:tc>
      </w:tr>
    </w:tbl>
    <w:p w14:paraId="1E58B7C2" w14:textId="77777777" w:rsidR="007D642D" w:rsidRPr="00961E0F" w:rsidRDefault="007D642D">
      <w:pPr>
        <w:pStyle w:val="EndnoteText"/>
        <w:widowControl w:val="0"/>
        <w:tabs>
          <w:tab w:val="clear" w:pos="567"/>
        </w:tabs>
        <w:rPr>
          <w:color w:val="000000"/>
          <w:szCs w:val="22"/>
          <w:lang w:val="fr-FR"/>
        </w:rPr>
      </w:pPr>
    </w:p>
    <w:p w14:paraId="4C8E57E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Il n’existe pas d’étude clinique contrôlée chez les patients pédiatriques atteints de GIST c-Kit positive. Dix-sept (17) cas de patients atteints de GIST (avec ou sans mutation de Kit ou PDGFR) ont été rapportés dans 7 publications. L’âge de ces patients allait de 8 à 18 ans et l’imatinib était administré en adjuvant et en situation métastatique à une posologie comprise entre 300 et 800 mg par jour. Les données confirmant les mutations c-Kit ou PDGFR manquaient chez la majorité des patients pédiatriques, ce qui a pu conduire à des résultats cliniques mitigés.</w:t>
      </w:r>
    </w:p>
    <w:p w14:paraId="0BCE3ABE" w14:textId="77777777" w:rsidR="007D642D" w:rsidRPr="00961E0F" w:rsidRDefault="007D642D">
      <w:pPr>
        <w:pStyle w:val="EndnoteText"/>
        <w:widowControl w:val="0"/>
        <w:tabs>
          <w:tab w:val="clear" w:pos="567"/>
        </w:tabs>
        <w:rPr>
          <w:color w:val="000000"/>
          <w:szCs w:val="22"/>
          <w:lang w:val="fr-FR"/>
        </w:rPr>
      </w:pPr>
    </w:p>
    <w:p w14:paraId="01B04300"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le DFSP</w:t>
      </w:r>
    </w:p>
    <w:p w14:paraId="6206FE6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Une étude ouverte multicentrique de phase II (étude B2225) a été menée incluant 12 patients atteints de DFSP traité par Glivec à 800 mg/jour. L’âge des patients atteints de DFSP allait de 23 à 75 ans ; leur maladie était métastatique ou en rechute locale après une chirurgie d’exérèse initiale et n’était pas considéré comme relevant d’une chirurgie d’exérèse supplémentaire au moment de l’entrée dans l’étude. Le critère primaire d’efficacité reposait sur les taux de réponse objective. Parmi les 12 patients inclus, 9 ont répondu, 1 réponse complète et 8 réponses partielles. Trois des répondeurs partiels ont été rendu indemnes de maladie par chirurgie. La durée médiane de traitement dans l’étude B2225 était de 6,2 mois, avec une durée maximale de 24,3 mois. 6 autres patients atteints de DFSP et traités par Glivec ont été rapportés sous la forme de 5 observations individuelles, leur âge allait de 18 mois à 49 ans. Les patients adultes rapportés dans la littérature ont été traités par Glivec soit à la posologie de 400 mg/jour (4 cas) soit par 800 mg/jour (1 cas). </w:t>
      </w:r>
      <w:r w:rsidR="00983EE0" w:rsidRPr="00961E0F">
        <w:rPr>
          <w:color w:val="000000"/>
          <w:szCs w:val="22"/>
          <w:lang w:val="fr-FR"/>
        </w:rPr>
        <w:t>Cinq (</w:t>
      </w:r>
      <w:r w:rsidRPr="00961E0F">
        <w:rPr>
          <w:color w:val="000000"/>
          <w:szCs w:val="22"/>
          <w:lang w:val="fr-FR"/>
        </w:rPr>
        <w:t>5</w:t>
      </w:r>
      <w:r w:rsidR="00983EE0" w:rsidRPr="00961E0F">
        <w:rPr>
          <w:color w:val="000000"/>
          <w:szCs w:val="22"/>
          <w:lang w:val="fr-FR"/>
        </w:rPr>
        <w:t>)</w:t>
      </w:r>
      <w:r w:rsidRPr="00961E0F">
        <w:rPr>
          <w:color w:val="000000"/>
          <w:szCs w:val="22"/>
          <w:lang w:val="fr-FR"/>
        </w:rPr>
        <w:t> patients ont répondu, 3 complètement et 2 partiellement. La durée médiane de traitement dans la littérature allait de 4 semaines à plus de 20 mois. La translocation t(17 :22)[(q22 :q13)], ou la protéine issue de ce gène hybride était présente chez pratiquement tous les répondeurs au traitement par Glivec.</w:t>
      </w:r>
    </w:p>
    <w:p w14:paraId="415AF0D1" w14:textId="77777777" w:rsidR="007D642D" w:rsidRPr="00961E0F" w:rsidRDefault="007D642D">
      <w:pPr>
        <w:pStyle w:val="EndnoteText"/>
        <w:widowControl w:val="0"/>
        <w:tabs>
          <w:tab w:val="clear" w:pos="567"/>
        </w:tabs>
        <w:rPr>
          <w:color w:val="000000"/>
          <w:szCs w:val="22"/>
          <w:lang w:val="fr-FR"/>
        </w:rPr>
      </w:pPr>
    </w:p>
    <w:p w14:paraId="58D5574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Il n’existe pas d’étude clinique chez les patients pédiatriques atteints de DFSP. Cinq (5) cas de patients atteints de DFSP associés à des réarrangements du gène PDGFR ont été rapportés dans 3 publications. L’âge de ces patients allait du nouveau-né à 14 ans et l’imatinib était administré à une posologie de 50 mg par jour ou comprise entre 400 et 520 mg/m² par jour. Tous les patients ont atteint une réponse partielle et/ou complète.</w:t>
      </w:r>
    </w:p>
    <w:p w14:paraId="0B81C7A3" w14:textId="77777777" w:rsidR="007D642D" w:rsidRPr="00961E0F" w:rsidRDefault="007D642D">
      <w:pPr>
        <w:pStyle w:val="EndnoteText"/>
        <w:widowControl w:val="0"/>
        <w:tabs>
          <w:tab w:val="clear" w:pos="567"/>
        </w:tabs>
        <w:rPr>
          <w:color w:val="000000"/>
          <w:szCs w:val="22"/>
          <w:lang w:val="fr-FR"/>
        </w:rPr>
      </w:pPr>
    </w:p>
    <w:p w14:paraId="0CD47C54"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5.2</w:t>
      </w:r>
      <w:r w:rsidRPr="00961E0F">
        <w:rPr>
          <w:rFonts w:ascii="Times New Roman" w:hAnsi="Times New Roman"/>
          <w:b/>
          <w:color w:val="000000"/>
          <w:szCs w:val="22"/>
        </w:rPr>
        <w:tab/>
        <w:t>Propriétés pharmacocinétiques</w:t>
      </w:r>
    </w:p>
    <w:p w14:paraId="4EB25A43" w14:textId="77777777" w:rsidR="007D642D" w:rsidRPr="00961E0F" w:rsidRDefault="007D642D" w:rsidP="00B92E0B">
      <w:pPr>
        <w:pStyle w:val="EndnoteText"/>
        <w:keepNext/>
        <w:widowControl w:val="0"/>
        <w:tabs>
          <w:tab w:val="clear" w:pos="567"/>
        </w:tabs>
        <w:rPr>
          <w:color w:val="000000"/>
          <w:szCs w:val="22"/>
          <w:lang w:val="fr-FR"/>
        </w:rPr>
      </w:pPr>
    </w:p>
    <w:p w14:paraId="2B3D9B93"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Paramètres pharmacocinétiques de Glivec</w:t>
      </w:r>
    </w:p>
    <w:p w14:paraId="75862B1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pharmacocinétique de Glivec a été évaluée à des doses comprises entre 25 et 1 000 mg. Les profils </w:t>
      </w:r>
      <w:r w:rsidRPr="00961E0F">
        <w:rPr>
          <w:color w:val="000000"/>
          <w:szCs w:val="22"/>
          <w:lang w:val="fr-FR"/>
        </w:rPr>
        <w:lastRenderedPageBreak/>
        <w:t>pharmacocinétiques plasmatiques ont été analysés à J1, puis à J7 ou J28, au moment où les concentrations plasmatiques ont atteint un état d'équilibre.</w:t>
      </w:r>
    </w:p>
    <w:p w14:paraId="372F351F" w14:textId="77777777" w:rsidR="007D642D" w:rsidRPr="00961E0F" w:rsidRDefault="007D642D">
      <w:pPr>
        <w:pStyle w:val="EndnoteText"/>
        <w:widowControl w:val="0"/>
        <w:tabs>
          <w:tab w:val="clear" w:pos="567"/>
        </w:tabs>
        <w:rPr>
          <w:color w:val="000000"/>
          <w:szCs w:val="22"/>
          <w:lang w:val="fr-FR"/>
        </w:rPr>
      </w:pPr>
    </w:p>
    <w:p w14:paraId="2915A92D"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u w:val="single"/>
          <w:lang w:val="fr-FR"/>
        </w:rPr>
        <w:t>Absorption</w:t>
      </w:r>
    </w:p>
    <w:p w14:paraId="3F07DEB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biodisponibilité absolue moyenne est de 98% pour la formulation gélule. Il existe une forte variabilité inter-patient de l’ASC de l’imatinib plasmatique après une prise orale. Lorsqu’il est pris au cours d’un repas riche en lipides, le taux d'absorption de l'imatinib est peu réduit (diminution de 11% de </w:t>
      </w:r>
      <w:smartTag w:uri="urn:schemas-microsoft-com:office:smarttags" w:element="PersonName">
        <w:smartTagPr>
          <w:attr w:name="ProductID" w:val="la Cmax"/>
        </w:smartTagPr>
        <w:r w:rsidRPr="00961E0F">
          <w:rPr>
            <w:color w:val="000000"/>
            <w:szCs w:val="22"/>
            <w:lang w:val="fr-FR"/>
          </w:rPr>
          <w:t>la C</w:t>
        </w:r>
        <w:r w:rsidRPr="00961E0F">
          <w:rPr>
            <w:color w:val="000000"/>
            <w:szCs w:val="22"/>
            <w:vertAlign w:val="subscript"/>
            <w:lang w:val="fr-FR"/>
          </w:rPr>
          <w:t>max</w:t>
        </w:r>
      </w:smartTag>
      <w:r w:rsidRPr="00961E0F">
        <w:rPr>
          <w:color w:val="000000"/>
          <w:szCs w:val="22"/>
          <w:lang w:val="fr-FR"/>
        </w:rPr>
        <w:t xml:space="preserve"> et prolongation de 1,5 h de t</w:t>
      </w:r>
      <w:r w:rsidRPr="00961E0F">
        <w:rPr>
          <w:color w:val="000000"/>
          <w:szCs w:val="22"/>
          <w:vertAlign w:val="subscript"/>
          <w:lang w:val="fr-FR"/>
        </w:rPr>
        <w:t>max</w:t>
      </w:r>
      <w:r w:rsidRPr="00961E0F">
        <w:rPr>
          <w:color w:val="000000"/>
          <w:szCs w:val="22"/>
          <w:lang w:val="fr-FR"/>
        </w:rPr>
        <w:t>), avec une légère diminution de l’ASC (7,4%) comparée à une prise à jeun. L’effet d’une chirurgie gastro-intestinale antérieure sur l’absorption du produit n’a pas été étudiée.</w:t>
      </w:r>
    </w:p>
    <w:p w14:paraId="2BF700BF" w14:textId="77777777" w:rsidR="007D642D" w:rsidRPr="00961E0F" w:rsidRDefault="007D642D">
      <w:pPr>
        <w:pStyle w:val="EndnoteText"/>
        <w:widowControl w:val="0"/>
        <w:tabs>
          <w:tab w:val="clear" w:pos="567"/>
        </w:tabs>
        <w:rPr>
          <w:color w:val="000000"/>
          <w:szCs w:val="22"/>
          <w:lang w:val="fr-FR"/>
        </w:rPr>
      </w:pPr>
    </w:p>
    <w:p w14:paraId="3DE46E10"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u w:val="single"/>
          <w:lang w:val="fr-FR"/>
        </w:rPr>
        <w:t>Distribution</w:t>
      </w:r>
    </w:p>
    <w:p w14:paraId="7F5F2B0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A des concentrations d’imatinib cliniquement significatives, la fraction liée aux protéines plasmatiques est approximativement de 95%, sur la base des études </w:t>
      </w:r>
      <w:r w:rsidRPr="00961E0F">
        <w:rPr>
          <w:i/>
          <w:color w:val="000000"/>
          <w:szCs w:val="22"/>
          <w:lang w:val="fr-FR"/>
        </w:rPr>
        <w:t>in vitro</w:t>
      </w:r>
      <w:r w:rsidRPr="00961E0F">
        <w:rPr>
          <w:color w:val="000000"/>
          <w:szCs w:val="22"/>
          <w:lang w:val="fr-FR"/>
        </w:rPr>
        <w:t> ; il s’agit principalement d’une liaison à l’albumine et aux alpha-glycoprotéines acides, et dans une faible mesure aux lipoprotéines.</w:t>
      </w:r>
    </w:p>
    <w:p w14:paraId="0101EBB5" w14:textId="77777777" w:rsidR="007D642D" w:rsidRPr="00961E0F" w:rsidRDefault="007D642D">
      <w:pPr>
        <w:pStyle w:val="EndnoteText"/>
        <w:widowControl w:val="0"/>
        <w:tabs>
          <w:tab w:val="clear" w:pos="567"/>
        </w:tabs>
        <w:rPr>
          <w:color w:val="000000"/>
          <w:szCs w:val="22"/>
          <w:lang w:val="fr-FR"/>
        </w:rPr>
      </w:pPr>
    </w:p>
    <w:p w14:paraId="41BC3B85"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u w:val="single"/>
          <w:lang w:val="fr-FR"/>
        </w:rPr>
        <w:t>Biotransformation</w:t>
      </w:r>
    </w:p>
    <w:p w14:paraId="6D44431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l’homme, le principal métabolite circulant est le dérivé pipérazine N-déméthylé qui présente </w:t>
      </w:r>
      <w:r w:rsidRPr="00961E0F">
        <w:rPr>
          <w:i/>
          <w:color w:val="000000"/>
          <w:szCs w:val="22"/>
          <w:lang w:val="fr-FR"/>
        </w:rPr>
        <w:t>in vitro</w:t>
      </w:r>
      <w:r w:rsidRPr="00961E0F">
        <w:rPr>
          <w:color w:val="000000"/>
          <w:szCs w:val="22"/>
          <w:lang w:val="fr-FR"/>
        </w:rPr>
        <w:t xml:space="preserve"> une activité similaire à l’imatinib. L'ASC plasmatique de ce métabolite n’atteint que 16% de l'ASC de l'imatinib. L’affinité pour les protéines plasmatiques du métabolite N-déméthylé est similaire à celle de la molécule mère.</w:t>
      </w:r>
    </w:p>
    <w:p w14:paraId="6ECDE21A" w14:textId="77777777" w:rsidR="007D642D" w:rsidRPr="00961E0F" w:rsidRDefault="007D642D">
      <w:pPr>
        <w:pStyle w:val="EndnoteText"/>
        <w:widowControl w:val="0"/>
        <w:tabs>
          <w:tab w:val="clear" w:pos="567"/>
        </w:tabs>
        <w:rPr>
          <w:color w:val="000000"/>
          <w:szCs w:val="22"/>
          <w:lang w:val="fr-FR"/>
        </w:rPr>
      </w:pPr>
    </w:p>
    <w:p w14:paraId="6B67F44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et le métabolite N-déméthylé représentent au total environ 65% du taux circulant de radioactivité (ASC</w:t>
      </w:r>
      <w:r w:rsidRPr="00961E0F">
        <w:rPr>
          <w:color w:val="000000"/>
          <w:szCs w:val="22"/>
          <w:vertAlign w:val="subscript"/>
          <w:lang w:val="fr-FR"/>
        </w:rPr>
        <w:t>(0-48h)</w:t>
      </w:r>
      <w:r w:rsidRPr="00961E0F">
        <w:rPr>
          <w:color w:val="000000"/>
          <w:szCs w:val="22"/>
          <w:lang w:val="fr-FR"/>
        </w:rPr>
        <w:t>). Le taux circulant de radioactivité restant correspond à un nombre de métabolites mineurs.</w:t>
      </w:r>
    </w:p>
    <w:p w14:paraId="0E1268B6" w14:textId="77777777" w:rsidR="007D642D" w:rsidRPr="00961E0F" w:rsidRDefault="007D642D">
      <w:pPr>
        <w:pStyle w:val="EndnoteText"/>
        <w:widowControl w:val="0"/>
        <w:tabs>
          <w:tab w:val="clear" w:pos="567"/>
        </w:tabs>
        <w:rPr>
          <w:color w:val="000000"/>
          <w:szCs w:val="22"/>
          <w:lang w:val="fr-FR"/>
        </w:rPr>
      </w:pPr>
    </w:p>
    <w:p w14:paraId="7347D4C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tests </w:t>
      </w:r>
      <w:r w:rsidRPr="00961E0F">
        <w:rPr>
          <w:i/>
          <w:color w:val="000000"/>
          <w:szCs w:val="22"/>
          <w:lang w:val="fr-FR"/>
        </w:rPr>
        <w:t>in vitro</w:t>
      </w:r>
      <w:r w:rsidRPr="00961E0F">
        <w:rPr>
          <w:color w:val="000000"/>
          <w:szCs w:val="22"/>
          <w:lang w:val="fr-FR"/>
        </w:rPr>
        <w:t xml:space="preserve"> montrent que le CYP3A4 est le principal enzyme du cytochrome P450 humain catalysant la biotransformation de l’imatinib. Parmi un éventail de médicaments potentiellement co-administrés (paracétamol, aciclovir, allopurinol, amphotéricine, cytarabine, érythromycine, fluconazole, hydroxyurée, norfloxacine, pénicilline V) seuls l’érythromycine (IC</w:t>
      </w:r>
      <w:r w:rsidRPr="00961E0F">
        <w:rPr>
          <w:color w:val="000000"/>
          <w:szCs w:val="22"/>
          <w:vertAlign w:val="subscript"/>
          <w:lang w:val="fr-FR"/>
        </w:rPr>
        <w:t>50</w:t>
      </w:r>
      <w:r w:rsidRPr="00961E0F">
        <w:rPr>
          <w:color w:val="000000"/>
          <w:szCs w:val="22"/>
          <w:lang w:val="fr-FR"/>
        </w:rPr>
        <w:t xml:space="preserve"> 50 µM) et le fluconazole (IC</w:t>
      </w:r>
      <w:r w:rsidRPr="00961E0F">
        <w:rPr>
          <w:color w:val="000000"/>
          <w:szCs w:val="22"/>
          <w:vertAlign w:val="subscript"/>
          <w:lang w:val="fr-FR"/>
        </w:rPr>
        <w:t>50</w:t>
      </w:r>
      <w:r w:rsidRPr="00961E0F">
        <w:rPr>
          <w:color w:val="000000"/>
          <w:szCs w:val="22"/>
          <w:lang w:val="fr-FR"/>
        </w:rPr>
        <w:t xml:space="preserve"> 118 µM) ont montré une inhibition du métabolisme de l’imatinib pouvant être cliniquement significative.</w:t>
      </w:r>
    </w:p>
    <w:p w14:paraId="25BA94C9" w14:textId="77777777" w:rsidR="007D642D" w:rsidRPr="00961E0F" w:rsidRDefault="007D642D">
      <w:pPr>
        <w:pStyle w:val="EndnoteText"/>
        <w:widowControl w:val="0"/>
        <w:tabs>
          <w:tab w:val="clear" w:pos="567"/>
        </w:tabs>
        <w:rPr>
          <w:color w:val="000000"/>
          <w:szCs w:val="22"/>
          <w:lang w:val="fr-FR"/>
        </w:rPr>
      </w:pPr>
    </w:p>
    <w:p w14:paraId="01EAA962"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l’imatinib est un inhibiteur compétitif des substrats marqués du CYP2C9, des CYP2D6 et des CYP3A4/5 avec des valeurs de Ki de 27, 7,5 et 7,9 respectivement obtenues sur les microsomes hépatiques humains. Les concentrations plasmatiques maximales de l’imatinib sont de 2–4 µmol/l. Par conséquent, une inhibition du métabolisme de produits co-administrés mettant en jeu les CYP2D6 et CYP3A4/5 est possible. L’imatinib n’interfère pas avec la biotransformation du 5-fluorouracile mais inhibe le métabolisme du paclitaxel par inhibition compétitive du CYP2C8 (K</w:t>
      </w:r>
      <w:r w:rsidRPr="00961E0F">
        <w:rPr>
          <w:color w:val="000000"/>
          <w:szCs w:val="22"/>
          <w:vertAlign w:val="subscript"/>
          <w:lang w:val="fr-FR"/>
        </w:rPr>
        <w:t>i</w:t>
      </w:r>
      <w:r w:rsidRPr="00961E0F">
        <w:rPr>
          <w:color w:val="000000"/>
          <w:szCs w:val="22"/>
          <w:lang w:val="fr-FR"/>
        </w:rPr>
        <w:t xml:space="preserve"> = 34,7). Cette valeur de Ki est de loin supérieure aux taux plasmatiques d’imatinib prévisibles chez les patients. Par conséquent, aucune interaction n’est attendue en cas de co-administration de l’imatinib avec le 5-fluorouracile ou le paclitaxel.</w:t>
      </w:r>
    </w:p>
    <w:p w14:paraId="2270B738" w14:textId="77777777" w:rsidR="007D642D" w:rsidRPr="00961E0F" w:rsidRDefault="007D642D">
      <w:pPr>
        <w:pStyle w:val="EndnoteText"/>
        <w:widowControl w:val="0"/>
        <w:tabs>
          <w:tab w:val="clear" w:pos="567"/>
        </w:tabs>
        <w:rPr>
          <w:color w:val="000000"/>
          <w:szCs w:val="22"/>
          <w:lang w:val="fr-FR"/>
        </w:rPr>
      </w:pPr>
    </w:p>
    <w:p w14:paraId="5931B609" w14:textId="77777777" w:rsidR="007D642D" w:rsidRPr="00961E0F" w:rsidRDefault="00564E06" w:rsidP="00B92E0B">
      <w:pPr>
        <w:pStyle w:val="EndnoteText"/>
        <w:keepNext/>
        <w:widowControl w:val="0"/>
        <w:tabs>
          <w:tab w:val="clear" w:pos="567"/>
        </w:tabs>
        <w:rPr>
          <w:color w:val="000000"/>
          <w:szCs w:val="22"/>
          <w:lang w:val="fr-FR"/>
        </w:rPr>
      </w:pPr>
      <w:r w:rsidRPr="00961E0F">
        <w:rPr>
          <w:color w:val="000000"/>
          <w:szCs w:val="22"/>
          <w:u w:val="single"/>
          <w:lang w:val="fr-CH"/>
        </w:rPr>
        <w:t>É</w:t>
      </w:r>
      <w:r w:rsidR="007D642D" w:rsidRPr="00961E0F">
        <w:rPr>
          <w:color w:val="000000"/>
          <w:szCs w:val="22"/>
          <w:u w:val="single"/>
          <w:lang w:val="fr-FR"/>
        </w:rPr>
        <w:t>limination</w:t>
      </w:r>
    </w:p>
    <w:p w14:paraId="63216E2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Après administration d'une dose orale d'imatinib marqué au </w:t>
      </w:r>
      <w:smartTag w:uri="urn:schemas-microsoft-com:office:smarttags" w:element="metricconverter">
        <w:smartTagPr>
          <w:attr w:name="ProductID" w:val="14C"/>
        </w:smartTagPr>
        <w:r w:rsidRPr="00961E0F">
          <w:rPr>
            <w:color w:val="000000"/>
            <w:szCs w:val="22"/>
            <w:vertAlign w:val="superscript"/>
            <w:lang w:val="fr-FR"/>
          </w:rPr>
          <w:t>14</w:t>
        </w:r>
        <w:r w:rsidRPr="00961E0F">
          <w:rPr>
            <w:color w:val="000000"/>
            <w:szCs w:val="22"/>
            <w:lang w:val="fr-FR"/>
          </w:rPr>
          <w:t>C</w:t>
        </w:r>
      </w:smartTag>
      <w:r w:rsidRPr="00961E0F">
        <w:rPr>
          <w:color w:val="000000"/>
          <w:szCs w:val="22"/>
          <w:lang w:val="fr-FR"/>
        </w:rPr>
        <w:t>, environ 81% de la dose est éliminée au bout de 7 jours (68% dans les fèces et 13% dans les urines). La forme inchangée représente 25% de la dose (5% dans les urines, 20% dans les fèces), le reste étant composé de métabolites.</w:t>
      </w:r>
    </w:p>
    <w:p w14:paraId="148CBEAB" w14:textId="77777777" w:rsidR="007D642D" w:rsidRPr="00961E0F" w:rsidRDefault="007D642D">
      <w:pPr>
        <w:pStyle w:val="EndnoteText"/>
        <w:widowControl w:val="0"/>
        <w:tabs>
          <w:tab w:val="clear" w:pos="567"/>
        </w:tabs>
        <w:rPr>
          <w:color w:val="000000"/>
          <w:szCs w:val="22"/>
          <w:lang w:val="fr-FR"/>
        </w:rPr>
      </w:pPr>
    </w:p>
    <w:p w14:paraId="767B656F"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u w:val="single"/>
          <w:lang w:val="fr-FR"/>
        </w:rPr>
        <w:t>Pharmacocinétique plasmatique</w:t>
      </w:r>
    </w:p>
    <w:p w14:paraId="76EF3FD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Après administration par voie orale chez le volontaire sain, la demi-vie, d’environ 18 h, est compatible avec une prise quotidienne unique. L'augmentation de l'ASC moyenne de l'imatinib est linéaire et proportionnelle à la dose administrée à des doses orales allant de 25 à 1 000 mg. Lors d’administrations répétées en prise quotidienne unique, la cinétique de l'imatinib n’est pas modifiée, mais son accumulation, à l’état d'équilibre, est augmentée d’un facteur de 1,5 à 2,5.</w:t>
      </w:r>
    </w:p>
    <w:p w14:paraId="537035BA" w14:textId="77777777" w:rsidR="007D642D" w:rsidRPr="00961E0F" w:rsidRDefault="007D642D">
      <w:pPr>
        <w:pStyle w:val="EndnoteText"/>
        <w:widowControl w:val="0"/>
        <w:tabs>
          <w:tab w:val="clear" w:pos="567"/>
        </w:tabs>
        <w:rPr>
          <w:color w:val="000000"/>
          <w:szCs w:val="22"/>
          <w:lang w:val="fr-FR"/>
        </w:rPr>
      </w:pPr>
    </w:p>
    <w:p w14:paraId="12CA03B4"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 chez des patients atteints de GIST</w:t>
      </w:r>
    </w:p>
    <w:p w14:paraId="6AFCCFC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des patients atteints de GIST, l’exposition à l’état d’équilibre était 1,5 fois supérieure à celle </w:t>
      </w:r>
      <w:r w:rsidRPr="00961E0F">
        <w:rPr>
          <w:color w:val="000000"/>
          <w:szCs w:val="22"/>
          <w:lang w:val="fr-FR"/>
        </w:rPr>
        <w:lastRenderedPageBreak/>
        <w:t xml:space="preserve">observée à la même dose (400 mg/jour) chez des patients atteints de LMC. Sur la base d’une analyse préliminaire de pharmacocinétique de population de patients atteints de GIST, on a identifié 3 variables (albumine, taux de globules blancs et bilirubine) qui présentaient une relation statistiquement significative avec la pharmacocinétique de l’imatinib. Des valeurs diminuées de l’albumine étaient associées à une diminution de la clairance (Cl/f) et les valeurs plus élevées du taux de globules blancs étaient associées à une réduction de </w:t>
      </w:r>
      <w:smartTag w:uri="urn:schemas-microsoft-com:office:smarttags" w:element="PersonName">
        <w:smartTagPr>
          <w:attr w:name="ProductID" w:val="la Cl"/>
        </w:smartTagPr>
        <w:r w:rsidRPr="00961E0F">
          <w:rPr>
            <w:color w:val="000000"/>
            <w:szCs w:val="22"/>
            <w:lang w:val="fr-FR"/>
          </w:rPr>
          <w:t>la Cl</w:t>
        </w:r>
      </w:smartTag>
      <w:r w:rsidRPr="00961E0F">
        <w:rPr>
          <w:color w:val="000000"/>
          <w:szCs w:val="22"/>
          <w:lang w:val="fr-FR"/>
        </w:rPr>
        <w:t>/f. Toutefois, ces associations n’étaient pas suffisantes pour justifier un ajustement des doses. Dans cette population de patients, la présence de métastases hépatiques pourrait potentiellement conduire à une insuffisance hépatique et à une diminution du métabolisme.</w:t>
      </w:r>
    </w:p>
    <w:p w14:paraId="7FBBF8C1" w14:textId="77777777" w:rsidR="007D642D" w:rsidRPr="00961E0F" w:rsidRDefault="007D642D">
      <w:pPr>
        <w:pStyle w:val="EndnoteText"/>
        <w:widowControl w:val="0"/>
        <w:tabs>
          <w:tab w:val="clear" w:pos="567"/>
        </w:tabs>
        <w:rPr>
          <w:color w:val="000000"/>
          <w:szCs w:val="22"/>
          <w:lang w:val="fr-FR"/>
        </w:rPr>
      </w:pPr>
    </w:p>
    <w:p w14:paraId="694300DE"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Pharmacocinétiques de population</w:t>
      </w:r>
    </w:p>
    <w:p w14:paraId="4A852F1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Une analyse de pharmacocinétique de population de patients atteints de LMC a montré une légère influence de l'âge sur le volume de distribution (augmentation de 12% chez les patients &gt; 65 ans), mais cette variation ne semble pas cliniquement significative. Bien que l’effet du poids corporel sur la clairance de l'imatinib laisse attendre une clairance moyenne de 8,5 l/h pour un patient pesant </w:t>
      </w:r>
      <w:smartTag w:uri="urn:schemas-microsoft-com:office:smarttags" w:element="metricconverter">
        <w:smartTagPr>
          <w:attr w:name="ProductID" w:val="50ﾠkg"/>
        </w:smartTagPr>
        <w:r w:rsidRPr="00961E0F">
          <w:rPr>
            <w:color w:val="000000"/>
            <w:szCs w:val="22"/>
            <w:lang w:val="fr-FR"/>
          </w:rPr>
          <w:t>50 kg</w:t>
        </w:r>
      </w:smartTag>
      <w:r w:rsidRPr="00961E0F">
        <w:rPr>
          <w:color w:val="000000"/>
          <w:szCs w:val="22"/>
          <w:lang w:val="fr-FR"/>
        </w:rPr>
        <w:t xml:space="preserve">, contre 11,8 l/h pour un patient pesant </w:t>
      </w:r>
      <w:smartTag w:uri="urn:schemas-microsoft-com:office:smarttags" w:element="metricconverter">
        <w:smartTagPr>
          <w:attr w:name="ProductID" w:val="100ﾠkg"/>
        </w:smartTagPr>
        <w:r w:rsidRPr="00961E0F">
          <w:rPr>
            <w:color w:val="000000"/>
            <w:szCs w:val="22"/>
            <w:lang w:val="fr-FR"/>
          </w:rPr>
          <w:t>100 kg</w:t>
        </w:r>
      </w:smartTag>
      <w:r w:rsidRPr="00961E0F">
        <w:rPr>
          <w:color w:val="000000"/>
          <w:szCs w:val="22"/>
          <w:lang w:val="fr-FR"/>
        </w:rPr>
        <w:t>, une adaptation de la posologie en fonction du poids n’est pas requise. Le sexe n'a aucune influence sur les paramètres cinétiques de l'imatinib.</w:t>
      </w:r>
    </w:p>
    <w:p w14:paraId="726D965E" w14:textId="77777777" w:rsidR="007D642D" w:rsidRPr="00961E0F" w:rsidRDefault="007D642D">
      <w:pPr>
        <w:pStyle w:val="EndnoteText"/>
        <w:widowControl w:val="0"/>
        <w:tabs>
          <w:tab w:val="clear" w:pos="567"/>
        </w:tabs>
        <w:rPr>
          <w:color w:val="000000"/>
          <w:szCs w:val="22"/>
          <w:lang w:val="fr-FR"/>
        </w:rPr>
      </w:pPr>
    </w:p>
    <w:p w14:paraId="712E99BE"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 chez l'enfant</w:t>
      </w:r>
    </w:p>
    <w:p w14:paraId="23CD0922" w14:textId="77777777" w:rsidR="007D642D" w:rsidRPr="00961E0F" w:rsidRDefault="007D642D">
      <w:pPr>
        <w:pStyle w:val="EndnoteText"/>
        <w:widowControl w:val="0"/>
        <w:rPr>
          <w:color w:val="000000"/>
          <w:szCs w:val="22"/>
          <w:lang w:val="fr-FR"/>
        </w:rPr>
      </w:pPr>
      <w:r w:rsidRPr="00961E0F">
        <w:rPr>
          <w:color w:val="000000"/>
          <w:szCs w:val="22"/>
          <w:lang w:val="fr-FR"/>
        </w:rPr>
        <w:t>Comme chez l'adulte, l'imatinib a été rapidement absorbé après administration orale chez le patient pédiatrique dans des études de phase I et de phase II. Chez l'enfant, l'administration de doses de 260 et 340 mg/m</w:t>
      </w:r>
      <w:r w:rsidRPr="00961E0F">
        <w:rPr>
          <w:color w:val="000000"/>
          <w:szCs w:val="22"/>
          <w:vertAlign w:val="superscript"/>
          <w:lang w:val="fr-FR"/>
        </w:rPr>
        <w:t>2</w:t>
      </w:r>
      <w:r w:rsidRPr="00961E0F">
        <w:rPr>
          <w:color w:val="000000"/>
          <w:szCs w:val="22"/>
          <w:lang w:val="fr-FR"/>
        </w:rPr>
        <w:t>/jour a permis d'obtenir des concentrations plasmatiques équivalentes aux doses de respectivement 400 mg et 600 mg chez l'adulte. La comparaison de l'ASC</w:t>
      </w:r>
      <w:r w:rsidRPr="00961E0F">
        <w:rPr>
          <w:color w:val="000000"/>
          <w:szCs w:val="22"/>
          <w:vertAlign w:val="subscript"/>
          <w:lang w:val="fr-FR"/>
        </w:rPr>
        <w:t>(0-24)</w:t>
      </w:r>
      <w:r w:rsidRPr="00961E0F">
        <w:rPr>
          <w:color w:val="000000"/>
          <w:szCs w:val="22"/>
          <w:lang w:val="fr-FR"/>
        </w:rPr>
        <w:t xml:space="preserve"> à J 8 et J 1 pour une dose de 340 mg/m</w:t>
      </w:r>
      <w:r w:rsidRPr="00961E0F">
        <w:rPr>
          <w:color w:val="000000"/>
          <w:szCs w:val="22"/>
          <w:vertAlign w:val="superscript"/>
          <w:lang w:val="fr-FR"/>
        </w:rPr>
        <w:t>2</w:t>
      </w:r>
      <w:r w:rsidRPr="00961E0F">
        <w:rPr>
          <w:color w:val="000000"/>
          <w:szCs w:val="22"/>
          <w:lang w:val="fr-FR"/>
        </w:rPr>
        <w:t>/jour a révélé une accumulation de 1,7 fois après des prises uniques quotidiennes itératives.</w:t>
      </w:r>
    </w:p>
    <w:p w14:paraId="0BE4219D" w14:textId="77777777" w:rsidR="00020B74" w:rsidRPr="00961E0F" w:rsidRDefault="00020B74">
      <w:pPr>
        <w:pStyle w:val="EndnoteText"/>
        <w:widowControl w:val="0"/>
        <w:rPr>
          <w:color w:val="000000"/>
          <w:szCs w:val="22"/>
          <w:lang w:val="fr-FR"/>
        </w:rPr>
      </w:pPr>
    </w:p>
    <w:p w14:paraId="49EA49B8" w14:textId="77777777" w:rsidR="00020B74" w:rsidRPr="00961E0F" w:rsidRDefault="00FA516F">
      <w:pPr>
        <w:pStyle w:val="EndnoteText"/>
        <w:widowControl w:val="0"/>
        <w:rPr>
          <w:color w:val="000000"/>
          <w:szCs w:val="22"/>
          <w:lang w:val="fr-FR"/>
        </w:rPr>
      </w:pPr>
      <w:r w:rsidRPr="00961E0F">
        <w:rPr>
          <w:color w:val="000000"/>
          <w:szCs w:val="22"/>
          <w:lang w:val="fr-FR"/>
        </w:rPr>
        <w:t xml:space="preserve">Des </w:t>
      </w:r>
      <w:r w:rsidR="00020B74" w:rsidRPr="00961E0F">
        <w:rPr>
          <w:color w:val="000000"/>
          <w:szCs w:val="22"/>
          <w:lang w:val="fr-FR"/>
        </w:rPr>
        <w:t>analyse</w:t>
      </w:r>
      <w:r w:rsidRPr="00961E0F">
        <w:rPr>
          <w:color w:val="000000"/>
          <w:szCs w:val="22"/>
          <w:lang w:val="fr-FR"/>
        </w:rPr>
        <w:t>s</w:t>
      </w:r>
      <w:r w:rsidR="00020B74" w:rsidRPr="00961E0F">
        <w:rPr>
          <w:color w:val="000000"/>
          <w:szCs w:val="22"/>
          <w:lang w:val="fr-FR"/>
        </w:rPr>
        <w:t xml:space="preserve"> </w:t>
      </w:r>
      <w:r w:rsidR="006934AF" w:rsidRPr="00961E0F">
        <w:rPr>
          <w:color w:val="000000"/>
          <w:szCs w:val="22"/>
          <w:lang w:val="fr-FR"/>
        </w:rPr>
        <w:t xml:space="preserve">poolées </w:t>
      </w:r>
      <w:r w:rsidR="00162162" w:rsidRPr="00961E0F">
        <w:rPr>
          <w:color w:val="000000"/>
          <w:szCs w:val="22"/>
          <w:lang w:val="fr-FR"/>
        </w:rPr>
        <w:t xml:space="preserve">de données </w:t>
      </w:r>
      <w:r w:rsidR="00020B74" w:rsidRPr="00961E0F">
        <w:rPr>
          <w:color w:val="000000"/>
          <w:szCs w:val="22"/>
          <w:lang w:val="fr-FR"/>
        </w:rPr>
        <w:t xml:space="preserve">de pharmacocinétique </w:t>
      </w:r>
      <w:r w:rsidR="009D01E6" w:rsidRPr="00961E0F">
        <w:rPr>
          <w:color w:val="000000"/>
          <w:szCs w:val="22"/>
          <w:lang w:val="fr-FR"/>
        </w:rPr>
        <w:t xml:space="preserve">de </w:t>
      </w:r>
      <w:r w:rsidR="00162162" w:rsidRPr="00961E0F">
        <w:rPr>
          <w:color w:val="000000"/>
          <w:szCs w:val="22"/>
          <w:lang w:val="fr-FR"/>
        </w:rPr>
        <w:t>population chez les enfants</w:t>
      </w:r>
      <w:r w:rsidR="00020B74" w:rsidRPr="00961E0F">
        <w:rPr>
          <w:color w:val="000000"/>
          <w:szCs w:val="22"/>
          <w:lang w:val="fr-FR"/>
        </w:rPr>
        <w:t xml:space="preserve"> atteints d</w:t>
      </w:r>
      <w:r w:rsidR="009D01E6" w:rsidRPr="00961E0F">
        <w:rPr>
          <w:color w:val="000000"/>
          <w:szCs w:val="22"/>
          <w:lang w:val="fr-FR"/>
        </w:rPr>
        <w:t>’affections</w:t>
      </w:r>
      <w:r w:rsidR="00020B74" w:rsidRPr="00961E0F">
        <w:rPr>
          <w:color w:val="000000"/>
          <w:szCs w:val="22"/>
          <w:lang w:val="fr-FR"/>
        </w:rPr>
        <w:t xml:space="preserve"> hématologiques (LMC, LAL Ph+, ou autres </w:t>
      </w:r>
      <w:r w:rsidR="009D01E6" w:rsidRPr="00961E0F">
        <w:rPr>
          <w:color w:val="000000"/>
          <w:szCs w:val="22"/>
          <w:lang w:val="fr-FR"/>
        </w:rPr>
        <w:t xml:space="preserve">affections </w:t>
      </w:r>
      <w:r w:rsidR="00020B74" w:rsidRPr="00961E0F">
        <w:rPr>
          <w:color w:val="000000"/>
          <w:szCs w:val="22"/>
          <w:lang w:val="fr-FR"/>
        </w:rPr>
        <w:t>hématologiques traité</w:t>
      </w:r>
      <w:r w:rsidR="009D01E6" w:rsidRPr="00961E0F">
        <w:rPr>
          <w:color w:val="000000"/>
          <w:szCs w:val="22"/>
          <w:lang w:val="fr-FR"/>
        </w:rPr>
        <w:t>e</w:t>
      </w:r>
      <w:r w:rsidR="00020B74" w:rsidRPr="00961E0F">
        <w:rPr>
          <w:color w:val="000000"/>
          <w:szCs w:val="22"/>
          <w:lang w:val="fr-FR"/>
        </w:rPr>
        <w:t xml:space="preserve">s par l’imatinib) </w:t>
      </w:r>
      <w:r w:rsidR="00162162" w:rsidRPr="00961E0F">
        <w:rPr>
          <w:color w:val="000000"/>
          <w:szCs w:val="22"/>
          <w:lang w:val="fr-FR"/>
        </w:rPr>
        <w:t>ont</w:t>
      </w:r>
      <w:r w:rsidR="00020B74" w:rsidRPr="00961E0F">
        <w:rPr>
          <w:color w:val="000000"/>
          <w:szCs w:val="22"/>
          <w:lang w:val="fr-FR"/>
        </w:rPr>
        <w:t xml:space="preserve"> montré que la clairance de l’imatinib augmente </w:t>
      </w:r>
      <w:r w:rsidR="00162162" w:rsidRPr="00961E0F">
        <w:rPr>
          <w:color w:val="000000"/>
          <w:szCs w:val="22"/>
          <w:lang w:val="fr-FR"/>
        </w:rPr>
        <w:t>parallèlement à celle</w:t>
      </w:r>
      <w:r w:rsidR="00020B74" w:rsidRPr="00961E0F">
        <w:rPr>
          <w:color w:val="000000"/>
          <w:szCs w:val="22"/>
          <w:lang w:val="fr-FR"/>
        </w:rPr>
        <w:t xml:space="preserve"> de la surface corpor</w:t>
      </w:r>
      <w:r w:rsidR="00162162" w:rsidRPr="00961E0F">
        <w:rPr>
          <w:color w:val="000000"/>
          <w:szCs w:val="22"/>
          <w:lang w:val="fr-FR"/>
        </w:rPr>
        <w:t>e</w:t>
      </w:r>
      <w:r w:rsidR="00020B74" w:rsidRPr="00961E0F">
        <w:rPr>
          <w:color w:val="000000"/>
          <w:szCs w:val="22"/>
          <w:lang w:val="fr-FR"/>
        </w:rPr>
        <w:t xml:space="preserve">lle (SC). Après correction de l’effet de </w:t>
      </w:r>
      <w:smartTag w:uri="urn:schemas-microsoft-com:office:smarttags" w:element="PersonName">
        <w:smartTagPr>
          <w:attr w:name="ProductID" w:val="la SC"/>
        </w:smartTagPr>
        <w:r w:rsidR="00020B74" w:rsidRPr="00961E0F">
          <w:rPr>
            <w:color w:val="000000"/>
            <w:szCs w:val="22"/>
            <w:lang w:val="fr-FR"/>
          </w:rPr>
          <w:t>la SC</w:t>
        </w:r>
      </w:smartTag>
      <w:r w:rsidR="00020B74" w:rsidRPr="00961E0F">
        <w:rPr>
          <w:color w:val="000000"/>
          <w:szCs w:val="22"/>
          <w:lang w:val="fr-FR"/>
        </w:rPr>
        <w:t xml:space="preserve">, d’autres </w:t>
      </w:r>
      <w:r w:rsidR="00B00B37" w:rsidRPr="00961E0F">
        <w:rPr>
          <w:color w:val="000000"/>
          <w:szCs w:val="22"/>
          <w:lang w:val="fr-FR"/>
        </w:rPr>
        <w:t>caractéristiques</w:t>
      </w:r>
      <w:r w:rsidR="00020B74" w:rsidRPr="00961E0F">
        <w:rPr>
          <w:color w:val="000000"/>
          <w:szCs w:val="22"/>
          <w:lang w:val="fr-FR"/>
        </w:rPr>
        <w:t xml:space="preserve"> démographiques telles que l’âge, le poids corporel, et l’indice de masse corporelle n’avaient pas d’effet cliniquement significatif sur l’exposition à l’imatinib. L’analyse a confirmé que l’exposition à l’imatinib chez les </w:t>
      </w:r>
      <w:r w:rsidR="00162162" w:rsidRPr="00961E0F">
        <w:rPr>
          <w:color w:val="000000"/>
          <w:szCs w:val="22"/>
          <w:lang w:val="fr-FR"/>
        </w:rPr>
        <w:t xml:space="preserve">enfants </w:t>
      </w:r>
      <w:r w:rsidR="00020B74" w:rsidRPr="00961E0F">
        <w:rPr>
          <w:color w:val="000000"/>
          <w:szCs w:val="22"/>
          <w:lang w:val="fr-FR"/>
        </w:rPr>
        <w:t xml:space="preserve">recevant 260 mg/m² une fois par jour </w:t>
      </w:r>
      <w:r w:rsidRPr="00961E0F">
        <w:rPr>
          <w:color w:val="000000"/>
          <w:szCs w:val="22"/>
          <w:lang w:val="fr-FR"/>
        </w:rPr>
        <w:t xml:space="preserve">(sans </w:t>
      </w:r>
      <w:r w:rsidR="00162162" w:rsidRPr="00961E0F">
        <w:rPr>
          <w:color w:val="000000"/>
          <w:szCs w:val="22"/>
          <w:lang w:val="fr-FR"/>
        </w:rPr>
        <w:t>dépasser</w:t>
      </w:r>
      <w:r w:rsidRPr="00961E0F">
        <w:rPr>
          <w:color w:val="000000"/>
          <w:szCs w:val="22"/>
          <w:lang w:val="fr-FR"/>
        </w:rPr>
        <w:t xml:space="preserve"> 400 mg une fois par jour) ou 340 mg/m² une fois par jour </w:t>
      </w:r>
      <w:r w:rsidR="00020B74" w:rsidRPr="00961E0F">
        <w:rPr>
          <w:color w:val="000000"/>
          <w:szCs w:val="22"/>
          <w:lang w:val="fr-FR"/>
        </w:rPr>
        <w:t xml:space="preserve">(sans </w:t>
      </w:r>
      <w:r w:rsidR="00162162" w:rsidRPr="00961E0F">
        <w:rPr>
          <w:color w:val="000000"/>
          <w:szCs w:val="22"/>
          <w:lang w:val="fr-FR"/>
        </w:rPr>
        <w:t>dépasser</w:t>
      </w:r>
      <w:r w:rsidR="00020B74" w:rsidRPr="00961E0F">
        <w:rPr>
          <w:color w:val="000000"/>
          <w:szCs w:val="22"/>
          <w:lang w:val="fr-FR"/>
        </w:rPr>
        <w:t xml:space="preserve"> </w:t>
      </w:r>
      <w:r w:rsidR="00FB5DE6" w:rsidRPr="00961E0F">
        <w:rPr>
          <w:color w:val="000000"/>
          <w:szCs w:val="22"/>
          <w:lang w:val="fr-FR"/>
        </w:rPr>
        <w:t>600 mg une fois par jour) étai</w:t>
      </w:r>
      <w:r w:rsidR="00020B74" w:rsidRPr="00961E0F">
        <w:rPr>
          <w:color w:val="000000"/>
          <w:szCs w:val="22"/>
          <w:lang w:val="fr-FR"/>
        </w:rPr>
        <w:t xml:space="preserve">t </w:t>
      </w:r>
      <w:r w:rsidR="00162162" w:rsidRPr="00961E0F">
        <w:rPr>
          <w:color w:val="000000"/>
          <w:szCs w:val="22"/>
          <w:lang w:val="fr-FR"/>
        </w:rPr>
        <w:t xml:space="preserve">comparable </w:t>
      </w:r>
      <w:r w:rsidR="00020B74" w:rsidRPr="00961E0F">
        <w:rPr>
          <w:color w:val="000000"/>
          <w:szCs w:val="22"/>
          <w:lang w:val="fr-FR"/>
        </w:rPr>
        <w:t>à celle des adultes qui ont reçu 400 mg ou 600 mg d’imatinib une fois par jour.</w:t>
      </w:r>
    </w:p>
    <w:p w14:paraId="3C1AEED6" w14:textId="77777777" w:rsidR="007D642D" w:rsidRPr="00961E0F" w:rsidRDefault="007D642D">
      <w:pPr>
        <w:pStyle w:val="EndnoteText"/>
        <w:widowControl w:val="0"/>
        <w:tabs>
          <w:tab w:val="clear" w:pos="567"/>
        </w:tabs>
        <w:rPr>
          <w:color w:val="000000"/>
          <w:szCs w:val="22"/>
          <w:lang w:val="fr-FR"/>
        </w:rPr>
      </w:pPr>
    </w:p>
    <w:p w14:paraId="70495D28"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u w:val="single"/>
          <w:lang w:val="fr-FR"/>
        </w:rPr>
        <w:t>Altération des fonctions organiques</w:t>
      </w:r>
    </w:p>
    <w:p w14:paraId="4987CA6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et ses métabolites ne sont pas excrétés de façon significative par le rein. Les patients ayant une altération de la fonction rénale légère à modérée présentent une exposition plasmatique supérieure à celle des patients présentant une fonction rénale normale. L’augmentation est approximativement 1,5 à 2 fois plus, correspondant à une augmentation de 1,5 fois le taux plasmatique d’AGP à laquelle l’imatinib est fortement lié. La clairance de l’imatinib libre chez les patients ayant une altération de la fonction rénale est probablement similaire à celle des patients avec une fonction rénale normale, puisque l’excrétion rénale représente une voie d’élimination mineure de l’imatinib (voir rubrique 4.2 et 4.4).</w:t>
      </w:r>
    </w:p>
    <w:p w14:paraId="796DC462" w14:textId="77777777" w:rsidR="007D642D" w:rsidRPr="00961E0F" w:rsidRDefault="007D642D">
      <w:pPr>
        <w:pStyle w:val="EndnoteText"/>
        <w:widowControl w:val="0"/>
        <w:tabs>
          <w:tab w:val="clear" w:pos="567"/>
        </w:tabs>
        <w:rPr>
          <w:color w:val="000000"/>
          <w:szCs w:val="22"/>
          <w:lang w:val="fr-FR"/>
        </w:rPr>
      </w:pPr>
    </w:p>
    <w:p w14:paraId="0313EF6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Bien que l’analyse des résultats pharmacocinétiques ait montré une variabilité interindividuelle considérable, l’exposition moyenne à l’imatinib n’était pas augmentée chez des patients qui présentaient une altération de la fonction hépatique à des degrés variables par comparaison aux patients ayant une fonction hépatique normale (voir les rubriques 4.2, 4.4 et 4.8).</w:t>
      </w:r>
    </w:p>
    <w:p w14:paraId="2ED4B39D" w14:textId="77777777" w:rsidR="007D642D" w:rsidRPr="00961E0F" w:rsidRDefault="007D642D">
      <w:pPr>
        <w:pStyle w:val="EndnoteText"/>
        <w:widowControl w:val="0"/>
        <w:tabs>
          <w:tab w:val="clear" w:pos="567"/>
        </w:tabs>
        <w:rPr>
          <w:color w:val="000000"/>
          <w:szCs w:val="22"/>
          <w:lang w:val="fr-FR"/>
        </w:rPr>
      </w:pPr>
    </w:p>
    <w:p w14:paraId="30FB5C6A"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5.3</w:t>
      </w:r>
      <w:r w:rsidRPr="00961E0F">
        <w:rPr>
          <w:rFonts w:ascii="Times New Roman" w:hAnsi="Times New Roman"/>
          <w:b/>
          <w:color w:val="000000"/>
          <w:szCs w:val="22"/>
        </w:rPr>
        <w:tab/>
        <w:t>Données de sécurité préclinique</w:t>
      </w:r>
    </w:p>
    <w:p w14:paraId="361518D6" w14:textId="77777777" w:rsidR="007D642D" w:rsidRPr="00961E0F" w:rsidRDefault="007D642D" w:rsidP="00B92E0B">
      <w:pPr>
        <w:pStyle w:val="EndnoteText"/>
        <w:keepNext/>
        <w:widowControl w:val="0"/>
        <w:tabs>
          <w:tab w:val="clear" w:pos="567"/>
        </w:tabs>
        <w:rPr>
          <w:color w:val="000000"/>
          <w:szCs w:val="22"/>
          <w:lang w:val="fr-FR"/>
        </w:rPr>
      </w:pPr>
    </w:p>
    <w:p w14:paraId="6266AAC6"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Le profil de tolérance préclinique de l’imatinib a été évalué chez le rat, le chien, le singe et le lapin.</w:t>
      </w:r>
    </w:p>
    <w:p w14:paraId="17B25063" w14:textId="77777777" w:rsidR="007D642D" w:rsidRPr="00961E0F" w:rsidRDefault="007D642D">
      <w:pPr>
        <w:widowControl w:val="0"/>
        <w:rPr>
          <w:rFonts w:ascii="Times New Roman" w:hAnsi="Times New Roman"/>
          <w:color w:val="000000"/>
          <w:szCs w:val="22"/>
        </w:rPr>
      </w:pPr>
    </w:p>
    <w:p w14:paraId="2EC2B35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Des études de toxicité à doses multiples ont mis en évidence des modifications hématologiques légères à modérées chez le rat, le chien et le singe, avec des modifications de la moelle osseuse chez le rat et </w:t>
      </w:r>
      <w:r w:rsidRPr="00961E0F">
        <w:rPr>
          <w:rFonts w:ascii="Times New Roman" w:hAnsi="Times New Roman"/>
          <w:color w:val="000000"/>
          <w:szCs w:val="22"/>
        </w:rPr>
        <w:lastRenderedPageBreak/>
        <w:t>le chien.</w:t>
      </w:r>
    </w:p>
    <w:p w14:paraId="7E67E8F9" w14:textId="77777777" w:rsidR="007D642D" w:rsidRPr="00961E0F" w:rsidRDefault="007D642D">
      <w:pPr>
        <w:widowControl w:val="0"/>
        <w:rPr>
          <w:rFonts w:ascii="Times New Roman" w:hAnsi="Times New Roman"/>
          <w:color w:val="000000"/>
          <w:szCs w:val="22"/>
        </w:rPr>
      </w:pPr>
    </w:p>
    <w:p w14:paraId="736191C3" w14:textId="77777777" w:rsidR="007D642D" w:rsidRPr="00961E0F" w:rsidRDefault="007D642D">
      <w:pPr>
        <w:pStyle w:val="paragraphSIF"/>
        <w:widowControl w:val="0"/>
        <w:tabs>
          <w:tab w:val="clear" w:pos="-720"/>
        </w:tabs>
        <w:jc w:val="left"/>
        <w:rPr>
          <w:color w:val="000000"/>
          <w:szCs w:val="22"/>
          <w:lang w:val="fr-FR"/>
        </w:rPr>
      </w:pPr>
      <w:r w:rsidRPr="00961E0F">
        <w:rPr>
          <w:color w:val="000000"/>
          <w:szCs w:val="22"/>
          <w:lang w:val="fr-FR"/>
        </w:rPr>
        <w:t>Le foie est un organe cible chez le rat et le chien. Des augmentations faibles à modérées des transaminases et de légères diminutions des taux de cholestérol, triglycérides, protéines totales et albumine ont été observées chez les deux espèces. Aucune modification histopathologique n’a été mise en évidence sur le foie de rat. Une toxicité hépatique sévère a été observée chez des chiens traités pendant deux semaines, avec une élévation des enzymes hépatiques, une nécrose hépato-cellulaire, une nécrose des canaux biliaires et une hyperplasie des canaux biliaires.</w:t>
      </w:r>
    </w:p>
    <w:p w14:paraId="0121E90B" w14:textId="77777777" w:rsidR="007D642D" w:rsidRPr="00961E0F" w:rsidRDefault="007D642D">
      <w:pPr>
        <w:widowControl w:val="0"/>
        <w:rPr>
          <w:rFonts w:ascii="Times New Roman" w:hAnsi="Times New Roman"/>
          <w:color w:val="000000"/>
          <w:szCs w:val="22"/>
        </w:rPr>
      </w:pPr>
    </w:p>
    <w:p w14:paraId="0CF6009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Une toxicité rénale a été observée chez des singes traités pendant deux semaines, avec une minéralisation et une dilatation focales des tubules rénaux et une néphrose tubulaire. Une augmentation de la créatinine et de l’azotémie a été observée chez plusieurs de ces animaux. Chez les rats une hyperplasie de l’épithélium de transition dans la papille rénale et dans la vessie a été observée à des doses &gt; 6 mg/kg dans l’étude de 13 semaines, sans modification des paramètres urinaires et sanguins. Une augmentation du nombre d’infections opportunistes a été observée avec le traitement chronique par l’imatinib.</w:t>
      </w:r>
    </w:p>
    <w:p w14:paraId="5480B602" w14:textId="77777777" w:rsidR="007D642D" w:rsidRPr="00961E0F" w:rsidRDefault="007D642D">
      <w:pPr>
        <w:widowControl w:val="0"/>
        <w:rPr>
          <w:rFonts w:ascii="Times New Roman" w:hAnsi="Times New Roman"/>
          <w:color w:val="000000"/>
          <w:szCs w:val="22"/>
        </w:rPr>
      </w:pPr>
    </w:p>
    <w:p w14:paraId="68D34F51"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Dans une étude de 39 semaines chez le singe, la dose dépourvue d’effet indésirable observable n’a pu être définie avec la plus faible dose de 15 mg/kg, correspondant approximativement à un tiers de la dose maximale de 800 mg chez l’homme basée sur la surface corporelle. Le traitement a entraîné une aggravation des infections paludéennes normalement réprimées chez ces animaux.</w:t>
      </w:r>
    </w:p>
    <w:p w14:paraId="0D96BDD5" w14:textId="77777777" w:rsidR="007D642D" w:rsidRPr="00961E0F" w:rsidRDefault="007D642D">
      <w:pPr>
        <w:widowControl w:val="0"/>
        <w:rPr>
          <w:rFonts w:ascii="Times New Roman" w:hAnsi="Times New Roman"/>
          <w:color w:val="000000"/>
          <w:szCs w:val="22"/>
        </w:rPr>
      </w:pPr>
    </w:p>
    <w:p w14:paraId="6AFD3AF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L’imatinib n’a pas été considéré comme génotoxique dans un test sur cellules bactériennes </w:t>
      </w:r>
      <w:r w:rsidRPr="00961E0F">
        <w:rPr>
          <w:rFonts w:ascii="Times New Roman" w:hAnsi="Times New Roman"/>
          <w:i/>
          <w:color w:val="000000"/>
          <w:szCs w:val="22"/>
        </w:rPr>
        <w:t xml:space="preserve">in vitro </w:t>
      </w:r>
      <w:r w:rsidRPr="00961E0F">
        <w:rPr>
          <w:rFonts w:ascii="Times New Roman" w:hAnsi="Times New Roman"/>
          <w:color w:val="000000"/>
          <w:szCs w:val="22"/>
        </w:rPr>
        <w:t>(test d’</w:t>
      </w:r>
      <w:smartTag w:uri="urn:schemas-microsoft-com:office:smarttags" w:element="stockticker">
        <w:r w:rsidRPr="00961E0F">
          <w:rPr>
            <w:rFonts w:ascii="Times New Roman" w:hAnsi="Times New Roman"/>
            <w:color w:val="000000"/>
            <w:szCs w:val="22"/>
          </w:rPr>
          <w:t>AMES</w:t>
        </w:r>
      </w:smartTag>
      <w:r w:rsidRPr="00961E0F">
        <w:rPr>
          <w:rFonts w:ascii="Times New Roman" w:hAnsi="Times New Roman"/>
          <w:color w:val="000000"/>
          <w:szCs w:val="22"/>
        </w:rPr>
        <w:t xml:space="preserve">), dans un test sur cellules de mammifères </w:t>
      </w:r>
      <w:r w:rsidRPr="00961E0F">
        <w:rPr>
          <w:rFonts w:ascii="Times New Roman" w:hAnsi="Times New Roman"/>
          <w:i/>
          <w:color w:val="000000"/>
          <w:szCs w:val="22"/>
        </w:rPr>
        <w:t>in vitro</w:t>
      </w:r>
      <w:r w:rsidRPr="00961E0F">
        <w:rPr>
          <w:rFonts w:ascii="Times New Roman" w:hAnsi="Times New Roman"/>
          <w:color w:val="000000"/>
          <w:szCs w:val="22"/>
        </w:rPr>
        <w:t xml:space="preserve"> (lymphome de souris) et dans un test sur micronoyaux de rat </w:t>
      </w:r>
      <w:r w:rsidRPr="00961E0F">
        <w:rPr>
          <w:rFonts w:ascii="Times New Roman" w:hAnsi="Times New Roman"/>
          <w:i/>
          <w:color w:val="000000"/>
          <w:szCs w:val="22"/>
        </w:rPr>
        <w:t>in vivo</w:t>
      </w:r>
      <w:r w:rsidRPr="00961E0F">
        <w:rPr>
          <w:rFonts w:ascii="Times New Roman" w:hAnsi="Times New Roman"/>
          <w:color w:val="000000"/>
          <w:szCs w:val="22"/>
        </w:rPr>
        <w:t xml:space="preserve">. Toutefois, des effets génotoxiques positifs ont été obtenus avec l’imatinib dans un test de clastogenèse (aberration chromosomique) sur cellules de mammifères </w:t>
      </w:r>
      <w:r w:rsidRPr="00961E0F">
        <w:rPr>
          <w:rFonts w:ascii="Times New Roman" w:hAnsi="Times New Roman"/>
          <w:i/>
          <w:color w:val="000000"/>
          <w:szCs w:val="22"/>
        </w:rPr>
        <w:t>in vitro</w:t>
      </w:r>
      <w:r w:rsidRPr="00961E0F">
        <w:rPr>
          <w:rFonts w:ascii="Times New Roman" w:hAnsi="Times New Roman"/>
          <w:color w:val="000000"/>
          <w:szCs w:val="22"/>
        </w:rPr>
        <w:t xml:space="preserve"> (cellules ovariennes de hamster chinois) avec activation métabolique. Deux intermédiaires de synthèse, présents dans le produit final, sont positifs au test de mutagenèse d’</w:t>
      </w:r>
      <w:smartTag w:uri="urn:schemas-microsoft-com:office:smarttags" w:element="stockticker">
        <w:r w:rsidRPr="00961E0F">
          <w:rPr>
            <w:rFonts w:ascii="Times New Roman" w:hAnsi="Times New Roman"/>
            <w:color w:val="000000"/>
            <w:szCs w:val="22"/>
          </w:rPr>
          <w:t>AMES</w:t>
        </w:r>
      </w:smartTag>
      <w:r w:rsidRPr="00961E0F">
        <w:rPr>
          <w:rFonts w:ascii="Times New Roman" w:hAnsi="Times New Roman"/>
          <w:color w:val="000000"/>
          <w:szCs w:val="22"/>
        </w:rPr>
        <w:t>. L’un de ces intermédiaires était aussi positif dans le test sur le lymphome de souris.</w:t>
      </w:r>
    </w:p>
    <w:p w14:paraId="0FCC047A" w14:textId="77777777" w:rsidR="007D642D" w:rsidRPr="00961E0F" w:rsidRDefault="007D642D">
      <w:pPr>
        <w:pStyle w:val="paragraphSIF"/>
        <w:widowControl w:val="0"/>
        <w:tabs>
          <w:tab w:val="clear" w:pos="-720"/>
        </w:tabs>
        <w:jc w:val="left"/>
        <w:rPr>
          <w:color w:val="000000"/>
          <w:szCs w:val="22"/>
          <w:lang w:val="fr-FR"/>
        </w:rPr>
      </w:pPr>
    </w:p>
    <w:p w14:paraId="20D481C8"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Dans une étude de fertilité, chez le rat mâle traité pendant 70 j avant accouplement, le poids des testicules et de l’épididyme et le pourcentage de mobilité des spermatozoïdes ont diminué à la dose de 60 mg/kg, approximativement équivalente à la dose clinique maximale de 800 mg/j, basée sur la surface corporelle. Cela n’a pas été observé à des doses </w:t>
      </w:r>
      <w:r w:rsidRPr="00961E0F">
        <w:rPr>
          <w:rFonts w:ascii="Times New Roman" w:hAnsi="Times New Roman"/>
          <w:color w:val="000000"/>
          <w:szCs w:val="22"/>
        </w:rPr>
        <w:sym w:font="Symbol" w:char="F0A3"/>
      </w:r>
      <w:r w:rsidRPr="00961E0F">
        <w:rPr>
          <w:rFonts w:ascii="Times New Roman" w:hAnsi="Times New Roman"/>
          <w:color w:val="000000"/>
          <w:szCs w:val="22"/>
        </w:rPr>
        <w:t xml:space="preserve"> 20 mg/kg. Une réduction légère à modérée de la spermatogenèse a aussi été observée chez le chien à des doses orales &gt; 30 mg/kg. Chez des rats femelles traitées pendant 14 jours avant accouplement et pendant 6 jours de gestation, aucun effet n’a été observé sur l’accouplement ou sur le nombre de femelles gestantes. Par contre, à la dose de 60 mg/kg, les rats femelles ont présenté une perte fœtale post-implantation significative et un nombre de fœtus vivants réduit significativement. Ceci n’a pas été observé à des doses </w:t>
      </w:r>
      <w:r w:rsidRPr="00961E0F">
        <w:rPr>
          <w:rFonts w:ascii="Times New Roman" w:hAnsi="Times New Roman"/>
          <w:color w:val="000000"/>
          <w:szCs w:val="22"/>
        </w:rPr>
        <w:sym w:font="Symbol" w:char="F0A3"/>
      </w:r>
      <w:r w:rsidRPr="00961E0F">
        <w:rPr>
          <w:rFonts w:ascii="Times New Roman" w:hAnsi="Times New Roman"/>
          <w:color w:val="000000"/>
          <w:szCs w:val="22"/>
        </w:rPr>
        <w:t> 20 mg/kg.</w:t>
      </w:r>
    </w:p>
    <w:p w14:paraId="138397BF" w14:textId="77777777" w:rsidR="007D642D" w:rsidRPr="00961E0F" w:rsidRDefault="007D642D">
      <w:pPr>
        <w:widowControl w:val="0"/>
        <w:rPr>
          <w:rFonts w:ascii="Times New Roman" w:hAnsi="Times New Roman"/>
          <w:color w:val="000000"/>
          <w:szCs w:val="22"/>
        </w:rPr>
      </w:pPr>
    </w:p>
    <w:p w14:paraId="3A6135CE" w14:textId="77777777" w:rsidR="007D642D" w:rsidRPr="00961E0F" w:rsidRDefault="007D642D">
      <w:pPr>
        <w:pStyle w:val="Text"/>
        <w:widowControl w:val="0"/>
        <w:spacing w:before="0"/>
        <w:jc w:val="left"/>
        <w:rPr>
          <w:color w:val="000000"/>
          <w:sz w:val="22"/>
          <w:szCs w:val="22"/>
          <w:lang w:val="fr-FR"/>
        </w:rPr>
      </w:pPr>
      <w:r w:rsidRPr="00961E0F">
        <w:rPr>
          <w:color w:val="000000"/>
          <w:sz w:val="22"/>
          <w:szCs w:val="22"/>
          <w:lang w:val="fr-FR"/>
        </w:rPr>
        <w:t>Après administration orale au cours d'une étude sur le développement prénatal et post-natal chez le rat un écoulement vaginal rouge a été observé dans le groupe sous 45 mg/kg/jour au 14–15</w:t>
      </w:r>
      <w:r w:rsidRPr="00961E0F">
        <w:rPr>
          <w:color w:val="000000"/>
          <w:sz w:val="22"/>
          <w:szCs w:val="22"/>
          <w:vertAlign w:val="superscript"/>
          <w:lang w:val="fr-FR"/>
        </w:rPr>
        <w:t>ème</w:t>
      </w:r>
      <w:r w:rsidRPr="00961E0F">
        <w:rPr>
          <w:color w:val="000000"/>
          <w:sz w:val="22"/>
          <w:szCs w:val="22"/>
          <w:lang w:val="fr-FR"/>
        </w:rPr>
        <w:t xml:space="preserve"> jour de gestation. A la même dose, le nombre de ratons mort-nés ou décédant au cours des 4 premiers jours du post-partum était plus élevé. Dans la descendance F</w:t>
      </w:r>
      <w:r w:rsidRPr="00961E0F">
        <w:rPr>
          <w:color w:val="000000"/>
          <w:sz w:val="22"/>
          <w:szCs w:val="22"/>
          <w:vertAlign w:val="subscript"/>
          <w:lang w:val="fr-FR"/>
        </w:rPr>
        <w:t>1</w:t>
      </w:r>
      <w:r w:rsidRPr="00961E0F">
        <w:rPr>
          <w:color w:val="000000"/>
          <w:sz w:val="22"/>
          <w:szCs w:val="22"/>
          <w:lang w:val="fr-FR"/>
        </w:rPr>
        <w:t>, à la même dose, les poids moyens étaient réduits de la naissance jusqu’au sacrifice final et le nombre de portées atteignant le critère de séparation prépuciale était légèrement plus faible. La fertilité de la descendance F</w:t>
      </w:r>
      <w:r w:rsidRPr="00961E0F">
        <w:rPr>
          <w:color w:val="000000"/>
          <w:sz w:val="22"/>
          <w:szCs w:val="22"/>
          <w:vertAlign w:val="subscript"/>
          <w:lang w:val="fr-FR"/>
        </w:rPr>
        <w:t>1</w:t>
      </w:r>
      <w:r w:rsidRPr="00961E0F">
        <w:rPr>
          <w:color w:val="000000"/>
          <w:sz w:val="22"/>
          <w:szCs w:val="22"/>
          <w:lang w:val="fr-FR"/>
        </w:rPr>
        <w:t xml:space="preserve"> n'était pas modifiée alors qu'un nombre accru de résorptions fœtales et une diminution du nombre de fœtus viables étaient observés à 45 mg/kg/jour. La dose sans effet observable (DSEO) pour les mères et la génération F</w:t>
      </w:r>
      <w:r w:rsidRPr="00961E0F">
        <w:rPr>
          <w:color w:val="000000"/>
          <w:sz w:val="22"/>
          <w:szCs w:val="22"/>
          <w:vertAlign w:val="subscript"/>
          <w:lang w:val="fr-FR"/>
        </w:rPr>
        <w:t>1</w:t>
      </w:r>
      <w:r w:rsidRPr="00961E0F">
        <w:rPr>
          <w:color w:val="000000"/>
          <w:sz w:val="22"/>
          <w:szCs w:val="22"/>
          <w:lang w:val="fr-FR"/>
        </w:rPr>
        <w:t xml:space="preserve"> était de 15 mg/kg/jour (soit un quart de la dose maximale humaine de 800 mg).</w:t>
      </w:r>
    </w:p>
    <w:p w14:paraId="3E59FB40" w14:textId="77777777" w:rsidR="007D642D" w:rsidRPr="00961E0F" w:rsidRDefault="007D642D">
      <w:pPr>
        <w:widowControl w:val="0"/>
        <w:rPr>
          <w:rFonts w:ascii="Times New Roman" w:hAnsi="Times New Roman"/>
          <w:color w:val="000000"/>
          <w:szCs w:val="22"/>
        </w:rPr>
      </w:pPr>
    </w:p>
    <w:p w14:paraId="1D0890C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L’imatinib est tératogène chez les rats lorsqu’il est administré au cours de l’organogenèse, à des doses </w:t>
      </w:r>
      <w:r w:rsidRPr="00961E0F">
        <w:rPr>
          <w:rFonts w:ascii="Times New Roman" w:hAnsi="Times New Roman"/>
          <w:color w:val="000000"/>
          <w:szCs w:val="22"/>
        </w:rPr>
        <w:sym w:font="Symbol" w:char="F0B3"/>
      </w:r>
      <w:r w:rsidRPr="00961E0F">
        <w:rPr>
          <w:rFonts w:ascii="Times New Roman" w:hAnsi="Times New Roman"/>
          <w:color w:val="000000"/>
          <w:szCs w:val="22"/>
        </w:rPr>
        <w:t xml:space="preserve"> 100 mg/kg, approximativement équivalente à la dose clinique maximale de 800 mg/j, basée sur la surface corporelle. Les effets tératogènes observés sont : une exencéphalie, une encéphalocèle, une réduction/absence de l’os frontal et une absence des os pariétaux. Ces effets n’ont pas été observés à des doses </w:t>
      </w:r>
      <w:r w:rsidRPr="00961E0F">
        <w:rPr>
          <w:rFonts w:ascii="Times New Roman" w:hAnsi="Times New Roman"/>
          <w:color w:val="000000"/>
          <w:szCs w:val="22"/>
        </w:rPr>
        <w:sym w:font="Symbol" w:char="F0A3"/>
      </w:r>
      <w:r w:rsidRPr="00961E0F">
        <w:rPr>
          <w:rFonts w:ascii="Times New Roman" w:hAnsi="Times New Roman"/>
          <w:color w:val="000000"/>
          <w:szCs w:val="22"/>
        </w:rPr>
        <w:t> 30 mg/kg.</w:t>
      </w:r>
    </w:p>
    <w:p w14:paraId="6CA7FE68" w14:textId="77777777" w:rsidR="007D642D" w:rsidRPr="00961E0F" w:rsidRDefault="007D642D">
      <w:pPr>
        <w:pStyle w:val="EndnoteText"/>
        <w:widowControl w:val="0"/>
        <w:tabs>
          <w:tab w:val="clear" w:pos="567"/>
        </w:tabs>
        <w:rPr>
          <w:color w:val="000000"/>
          <w:szCs w:val="22"/>
          <w:lang w:val="fr-FR"/>
        </w:rPr>
      </w:pPr>
    </w:p>
    <w:p w14:paraId="03D7D83E" w14:textId="77777777" w:rsidR="00213F69" w:rsidRPr="00961E0F" w:rsidRDefault="00F1645B">
      <w:pPr>
        <w:pStyle w:val="EndnoteText"/>
        <w:widowControl w:val="0"/>
        <w:tabs>
          <w:tab w:val="clear" w:pos="567"/>
        </w:tabs>
        <w:rPr>
          <w:color w:val="000000"/>
          <w:szCs w:val="22"/>
          <w:lang w:val="fr-FR"/>
        </w:rPr>
      </w:pPr>
      <w:r w:rsidRPr="00961E0F">
        <w:rPr>
          <w:color w:val="000000"/>
          <w:szCs w:val="22"/>
          <w:lang w:val="fr-FR"/>
        </w:rPr>
        <w:t>Au cours d’une étude de toxicité sur le développement du rat</w:t>
      </w:r>
      <w:r w:rsidR="00F51631" w:rsidRPr="00961E0F">
        <w:rPr>
          <w:color w:val="000000"/>
          <w:szCs w:val="22"/>
          <w:lang w:val="fr-FR"/>
        </w:rPr>
        <w:t xml:space="preserve"> juvénile</w:t>
      </w:r>
      <w:r w:rsidRPr="00961E0F">
        <w:rPr>
          <w:color w:val="000000"/>
          <w:szCs w:val="22"/>
          <w:lang w:val="fr-FR"/>
        </w:rPr>
        <w:t xml:space="preserve"> (jours 10 à 70 post-partum), </w:t>
      </w:r>
      <w:r w:rsidRPr="00961E0F">
        <w:rPr>
          <w:color w:val="000000"/>
          <w:szCs w:val="22"/>
          <w:lang w:val="fr-FR"/>
        </w:rPr>
        <w:lastRenderedPageBreak/>
        <w:t>a</w:t>
      </w:r>
      <w:r w:rsidR="00213F69" w:rsidRPr="00961E0F">
        <w:rPr>
          <w:color w:val="000000"/>
          <w:szCs w:val="22"/>
          <w:lang w:val="fr-FR"/>
        </w:rPr>
        <w:t>ucun nouvel organe-cible n’a été identifié</w:t>
      </w:r>
      <w:r w:rsidRPr="00961E0F">
        <w:rPr>
          <w:color w:val="000000"/>
          <w:szCs w:val="22"/>
          <w:lang w:val="fr-FR"/>
        </w:rPr>
        <w:t xml:space="preserve"> </w:t>
      </w:r>
      <w:r w:rsidR="00612BC1" w:rsidRPr="00961E0F">
        <w:rPr>
          <w:color w:val="000000"/>
          <w:szCs w:val="22"/>
          <w:lang w:val="fr-FR"/>
        </w:rPr>
        <w:t>par rapport aux o</w:t>
      </w:r>
      <w:r w:rsidR="00BB7CFB" w:rsidRPr="00961E0F">
        <w:rPr>
          <w:color w:val="000000"/>
          <w:szCs w:val="22"/>
          <w:lang w:val="fr-FR"/>
        </w:rPr>
        <w:t xml:space="preserve">rganes </w:t>
      </w:r>
      <w:r w:rsidR="00612BC1" w:rsidRPr="00961E0F">
        <w:rPr>
          <w:color w:val="000000"/>
          <w:szCs w:val="22"/>
          <w:lang w:val="fr-FR"/>
        </w:rPr>
        <w:t>cibles</w:t>
      </w:r>
      <w:r w:rsidR="00BB7CFB" w:rsidRPr="00961E0F">
        <w:rPr>
          <w:color w:val="000000"/>
          <w:szCs w:val="22"/>
          <w:lang w:val="fr-FR"/>
        </w:rPr>
        <w:t xml:space="preserve"> </w:t>
      </w:r>
      <w:r w:rsidR="00612BC1" w:rsidRPr="00961E0F">
        <w:rPr>
          <w:color w:val="000000"/>
          <w:szCs w:val="22"/>
          <w:lang w:val="fr-FR"/>
        </w:rPr>
        <w:t>connus chez le rat adulte. Dans l’étude de toxi</w:t>
      </w:r>
      <w:r w:rsidR="00D43054" w:rsidRPr="00961E0F">
        <w:rPr>
          <w:color w:val="000000"/>
          <w:szCs w:val="22"/>
          <w:lang w:val="fr-FR"/>
        </w:rPr>
        <w:t>cité réalisée chez les rat</w:t>
      </w:r>
      <w:r w:rsidR="00BB7CFB" w:rsidRPr="00961E0F">
        <w:rPr>
          <w:color w:val="000000"/>
          <w:szCs w:val="22"/>
          <w:lang w:val="fr-FR"/>
        </w:rPr>
        <w:t>s</w:t>
      </w:r>
      <w:r w:rsidR="00F51631" w:rsidRPr="00961E0F">
        <w:rPr>
          <w:color w:val="000000"/>
          <w:szCs w:val="22"/>
          <w:lang w:val="fr-FR"/>
        </w:rPr>
        <w:t xml:space="preserve"> juvéniles</w:t>
      </w:r>
      <w:r w:rsidR="00D43054" w:rsidRPr="00961E0F">
        <w:rPr>
          <w:color w:val="000000"/>
          <w:szCs w:val="22"/>
          <w:lang w:val="fr-FR"/>
        </w:rPr>
        <w:t xml:space="preserve">, des effets sur la croisssance, un retard de l’ouverture vaginale et </w:t>
      </w:r>
      <w:r w:rsidRPr="00961E0F">
        <w:rPr>
          <w:color w:val="000000"/>
          <w:szCs w:val="22"/>
          <w:lang w:val="fr-FR"/>
        </w:rPr>
        <w:t>de la</w:t>
      </w:r>
      <w:r w:rsidR="00D43054" w:rsidRPr="00961E0F">
        <w:rPr>
          <w:color w:val="000000"/>
          <w:szCs w:val="22"/>
          <w:lang w:val="fr-FR"/>
        </w:rPr>
        <w:t xml:space="preserve"> séparation préputiale ont été observés </w:t>
      </w:r>
      <w:r w:rsidRPr="00961E0F">
        <w:rPr>
          <w:color w:val="000000"/>
          <w:szCs w:val="22"/>
          <w:lang w:val="fr-FR"/>
        </w:rPr>
        <w:t>à la plus haute dose recommandée de 340 mg/m</w:t>
      </w:r>
      <w:r w:rsidRPr="00961E0F">
        <w:rPr>
          <w:color w:val="000000"/>
          <w:szCs w:val="22"/>
          <w:vertAlign w:val="superscript"/>
          <w:lang w:val="fr-FR"/>
        </w:rPr>
        <w:t>2</w:t>
      </w:r>
      <w:r w:rsidR="00D43054" w:rsidRPr="00961E0F">
        <w:rPr>
          <w:color w:val="000000"/>
          <w:szCs w:val="22"/>
          <w:lang w:val="fr-FR"/>
        </w:rPr>
        <w:t xml:space="preserve"> </w:t>
      </w:r>
      <w:r w:rsidRPr="00961E0F">
        <w:rPr>
          <w:color w:val="000000"/>
          <w:szCs w:val="22"/>
          <w:lang w:val="fr-FR"/>
        </w:rPr>
        <w:t xml:space="preserve">correspondant à </w:t>
      </w:r>
      <w:r w:rsidR="00D43054" w:rsidRPr="00961E0F">
        <w:rPr>
          <w:color w:val="000000"/>
          <w:szCs w:val="22"/>
          <w:lang w:val="fr-FR"/>
        </w:rPr>
        <w:t>environ 0</w:t>
      </w:r>
      <w:r w:rsidRPr="00961E0F">
        <w:rPr>
          <w:color w:val="000000"/>
          <w:szCs w:val="22"/>
          <w:lang w:val="fr-FR"/>
        </w:rPr>
        <w:t>,</w:t>
      </w:r>
      <w:r w:rsidR="00D43054" w:rsidRPr="00961E0F">
        <w:rPr>
          <w:color w:val="000000"/>
          <w:szCs w:val="22"/>
          <w:lang w:val="fr-FR"/>
        </w:rPr>
        <w:t>3 à 2</w:t>
      </w:r>
      <w:r w:rsidRPr="00961E0F">
        <w:rPr>
          <w:color w:val="000000"/>
          <w:szCs w:val="22"/>
          <w:lang w:val="fr-FR"/>
        </w:rPr>
        <w:t> </w:t>
      </w:r>
      <w:r w:rsidR="00D43054" w:rsidRPr="00961E0F">
        <w:rPr>
          <w:color w:val="000000"/>
          <w:szCs w:val="22"/>
          <w:lang w:val="fr-FR"/>
        </w:rPr>
        <w:t xml:space="preserve">fois l’exposition pédiatrique moyenne. De plus, </w:t>
      </w:r>
      <w:r w:rsidRPr="00961E0F">
        <w:rPr>
          <w:color w:val="000000"/>
          <w:szCs w:val="22"/>
          <w:lang w:val="fr-FR"/>
        </w:rPr>
        <w:t>des décès</w:t>
      </w:r>
      <w:r w:rsidR="00D43054" w:rsidRPr="00961E0F">
        <w:rPr>
          <w:color w:val="000000"/>
          <w:szCs w:val="22"/>
          <w:lang w:val="fr-FR"/>
        </w:rPr>
        <w:t xml:space="preserve"> </w:t>
      </w:r>
      <w:r w:rsidRPr="00961E0F">
        <w:rPr>
          <w:color w:val="000000"/>
          <w:szCs w:val="22"/>
          <w:lang w:val="fr-FR"/>
        </w:rPr>
        <w:t xml:space="preserve">ont </w:t>
      </w:r>
      <w:r w:rsidR="00D43054" w:rsidRPr="00961E0F">
        <w:rPr>
          <w:color w:val="000000"/>
          <w:szCs w:val="22"/>
          <w:lang w:val="fr-FR"/>
        </w:rPr>
        <w:t xml:space="preserve">été observés chez les animaux </w:t>
      </w:r>
      <w:r w:rsidR="00F51631" w:rsidRPr="00961E0F">
        <w:rPr>
          <w:color w:val="000000"/>
          <w:szCs w:val="22"/>
          <w:lang w:val="fr-FR"/>
        </w:rPr>
        <w:t xml:space="preserve">juvéniles </w:t>
      </w:r>
      <w:r w:rsidR="00D43054" w:rsidRPr="00961E0F">
        <w:rPr>
          <w:color w:val="000000"/>
          <w:szCs w:val="22"/>
          <w:lang w:val="fr-FR"/>
        </w:rPr>
        <w:t>(autour d</w:t>
      </w:r>
      <w:r w:rsidR="00F51631" w:rsidRPr="00961E0F">
        <w:rPr>
          <w:color w:val="000000"/>
          <w:szCs w:val="22"/>
          <w:lang w:val="fr-FR"/>
        </w:rPr>
        <w:t>e la phase de</w:t>
      </w:r>
      <w:r w:rsidR="00D43054" w:rsidRPr="00961E0F">
        <w:rPr>
          <w:color w:val="000000"/>
          <w:szCs w:val="22"/>
          <w:lang w:val="fr-FR"/>
        </w:rPr>
        <w:t xml:space="preserve"> sevrage) </w:t>
      </w:r>
      <w:r w:rsidRPr="00961E0F">
        <w:rPr>
          <w:color w:val="000000"/>
          <w:szCs w:val="22"/>
          <w:lang w:val="fr-FR"/>
        </w:rPr>
        <w:t>à la dose la plus haute recommandée de 340</w:t>
      </w:r>
      <w:r w:rsidR="007969B9" w:rsidRPr="00961E0F">
        <w:rPr>
          <w:color w:val="000000"/>
          <w:szCs w:val="22"/>
          <w:lang w:val="fr-FR"/>
        </w:rPr>
        <w:t> </w:t>
      </w:r>
      <w:r w:rsidRPr="00961E0F">
        <w:rPr>
          <w:color w:val="000000"/>
          <w:szCs w:val="22"/>
          <w:lang w:val="fr-FR"/>
        </w:rPr>
        <w:t>mg/m</w:t>
      </w:r>
      <w:r w:rsidRPr="00961E0F">
        <w:rPr>
          <w:color w:val="000000"/>
          <w:szCs w:val="22"/>
          <w:vertAlign w:val="superscript"/>
          <w:lang w:val="fr-FR"/>
        </w:rPr>
        <w:t>2</w:t>
      </w:r>
      <w:r w:rsidRPr="00961E0F">
        <w:rPr>
          <w:color w:val="000000"/>
          <w:szCs w:val="22"/>
          <w:lang w:val="fr-FR"/>
        </w:rPr>
        <w:t xml:space="preserve"> correspondant à e</w:t>
      </w:r>
      <w:r w:rsidR="00D43054" w:rsidRPr="00961E0F">
        <w:rPr>
          <w:color w:val="000000"/>
          <w:szCs w:val="22"/>
          <w:lang w:val="fr-FR"/>
        </w:rPr>
        <w:t>nviron 2</w:t>
      </w:r>
      <w:r w:rsidRPr="00961E0F">
        <w:rPr>
          <w:color w:val="000000"/>
          <w:szCs w:val="22"/>
          <w:lang w:val="fr-FR"/>
        </w:rPr>
        <w:t> </w:t>
      </w:r>
      <w:r w:rsidR="00D43054" w:rsidRPr="00961E0F">
        <w:rPr>
          <w:color w:val="000000"/>
          <w:szCs w:val="22"/>
          <w:lang w:val="fr-FR"/>
        </w:rPr>
        <w:t>fois l’exposition pédiatrique moyenne.</w:t>
      </w:r>
    </w:p>
    <w:p w14:paraId="0A8F6AC3" w14:textId="77777777" w:rsidR="00213F69" w:rsidRPr="00961E0F" w:rsidRDefault="00213F69">
      <w:pPr>
        <w:pStyle w:val="EndnoteText"/>
        <w:widowControl w:val="0"/>
        <w:tabs>
          <w:tab w:val="clear" w:pos="567"/>
        </w:tabs>
        <w:rPr>
          <w:color w:val="000000"/>
          <w:szCs w:val="22"/>
          <w:lang w:val="fr-FR"/>
        </w:rPr>
      </w:pPr>
    </w:p>
    <w:p w14:paraId="3AFF831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Dans une étude de carcinogénicité d’une durée de deux ans menée chez le rat avec imatinib administré à la dose de 15, 30 et 60 mg/kg/j, une réduction statistiquement significative de la longévité a été observée chez les mâles à la dose de 60 mg/kg/j et chez les femelles à une dose </w:t>
      </w:r>
      <w:r w:rsidRPr="00961E0F">
        <w:rPr>
          <w:color w:val="000000"/>
          <w:szCs w:val="22"/>
          <w:lang w:val="fr-FR"/>
        </w:rPr>
        <w:sym w:font="Symbol" w:char="F0B3"/>
      </w:r>
      <w:r w:rsidRPr="00961E0F">
        <w:rPr>
          <w:color w:val="000000"/>
          <w:szCs w:val="22"/>
          <w:lang w:val="fr-FR"/>
        </w:rPr>
        <w:t> 30 mg/kg/j. L’examen histo-pathologique des animaux a mis en évidence comme cause principale de décés ou de sacrifice des cardiomyopathies (pour les deux sexes), des néphropathies chroniques en progression (chez les femelles) et des papillomes des glandes prépuciales. Les organes cibles des modifications néoplasiques étaient les reins, la vessie, l’urètre, les glandes prépuciales et clitoridiennes, l’intestin grêle, les glandes parathyroïdes, les glandes surrénales, et l’estomac (hors tissu glandulaire).</w:t>
      </w:r>
    </w:p>
    <w:p w14:paraId="77542745" w14:textId="77777777" w:rsidR="007D642D" w:rsidRPr="00961E0F" w:rsidRDefault="007D642D">
      <w:pPr>
        <w:pStyle w:val="EndnoteText"/>
        <w:widowControl w:val="0"/>
        <w:tabs>
          <w:tab w:val="clear" w:pos="567"/>
        </w:tabs>
        <w:rPr>
          <w:color w:val="000000"/>
          <w:szCs w:val="22"/>
          <w:lang w:val="fr-FR"/>
        </w:rPr>
      </w:pPr>
    </w:p>
    <w:p w14:paraId="72738B2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papillomes/carcinomes des glandes prépuciales et clitoridiennes ont été observés à partir des doses de 30 mg/kg/j représentant approximativement 0,5 ou 0,3 fois l’exposition journalière (basée sur l’ASC) chez l’homme traité par 400 mg/j ou 800 mg/j respectivement et 0,4 fois l’exposition journalière (basée sur l’ASC) chez l’enfant traité par 340 mg/m</w:t>
      </w:r>
      <w:r w:rsidRPr="00961E0F">
        <w:rPr>
          <w:color w:val="000000"/>
          <w:szCs w:val="22"/>
          <w:vertAlign w:val="superscript"/>
          <w:lang w:val="fr-FR"/>
        </w:rPr>
        <w:t>2</w:t>
      </w:r>
      <w:r w:rsidRPr="00961E0F">
        <w:rPr>
          <w:color w:val="000000"/>
          <w:szCs w:val="22"/>
          <w:lang w:val="fr-FR"/>
        </w:rPr>
        <w:t>/jour. La dose sans effet observable (DSEO) était de 15 mg/kg/j. Les adénomes/carcinomes rénaux et les papillomes de la vessie et de l’urètre, les adénocarcinomes de l’intestin grêle, les adénomes des parathyroïdes, les tumeurs médullaires bénignes et malignes des glandes surrénales et les carcinomes/papillomes de l’estomac (hors tissu glandulaire) ont été observés à la dose de 60 mg/kg/j, représentant approximativement 1,7 ou 1 fois l’exposition journalière (basée sur l’ASC) chez l’homme traité par 400 mg/j ou 800 mg/j respectivement et 1,2 fois l’exposition journalière (basée sur l’ASC) chez l’enfant traité par 340 mg/m</w:t>
      </w:r>
      <w:r w:rsidRPr="00961E0F">
        <w:rPr>
          <w:color w:val="000000"/>
          <w:szCs w:val="22"/>
          <w:vertAlign w:val="superscript"/>
          <w:lang w:val="fr-FR"/>
        </w:rPr>
        <w:t>2</w:t>
      </w:r>
      <w:r w:rsidRPr="00961E0F">
        <w:rPr>
          <w:color w:val="000000"/>
          <w:szCs w:val="22"/>
          <w:lang w:val="fr-FR"/>
        </w:rPr>
        <w:t>/jour. La dose sans effet observable (DSEO) était de 30 mg/kg/j.</w:t>
      </w:r>
    </w:p>
    <w:p w14:paraId="55AF737F" w14:textId="77777777" w:rsidR="007D642D" w:rsidRPr="00961E0F" w:rsidRDefault="007D642D">
      <w:pPr>
        <w:pStyle w:val="EndnoteText"/>
        <w:widowControl w:val="0"/>
        <w:tabs>
          <w:tab w:val="clear" w:pos="567"/>
        </w:tabs>
        <w:rPr>
          <w:color w:val="000000"/>
          <w:szCs w:val="22"/>
          <w:lang w:val="fr-FR"/>
        </w:rPr>
      </w:pPr>
    </w:p>
    <w:p w14:paraId="46EEBED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mécanisme et la pertinence chez l’homme des résultats de l’étude de carcinogénicité menée chez le rat ne sont pas encore clarifiés.</w:t>
      </w:r>
    </w:p>
    <w:p w14:paraId="501CAABA" w14:textId="77777777" w:rsidR="007D642D" w:rsidRPr="00961E0F" w:rsidRDefault="007D642D">
      <w:pPr>
        <w:pStyle w:val="EndnoteText"/>
        <w:widowControl w:val="0"/>
        <w:tabs>
          <w:tab w:val="clear" w:pos="567"/>
        </w:tabs>
        <w:rPr>
          <w:color w:val="000000"/>
          <w:szCs w:val="22"/>
          <w:lang w:val="fr-FR"/>
        </w:rPr>
      </w:pPr>
    </w:p>
    <w:p w14:paraId="76CE933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lésions non-néoplasiques qui n’avaient pas été identifiées au cours d’études précliniques antérieures, ont été observées sur le système cardiovasculaire, le pancréas, les glandes endocrines et les dents. Les modifications les plus importantes comprenaient l’hypertrophie et la dilatation cardiaque responsables de signes d’insuffisance cardiaque.</w:t>
      </w:r>
    </w:p>
    <w:p w14:paraId="6DF353B0" w14:textId="77777777" w:rsidR="00C6557B" w:rsidRPr="00961E0F" w:rsidRDefault="00C6557B">
      <w:pPr>
        <w:pStyle w:val="EndnoteText"/>
        <w:widowControl w:val="0"/>
        <w:tabs>
          <w:tab w:val="clear" w:pos="567"/>
        </w:tabs>
        <w:rPr>
          <w:color w:val="000000"/>
          <w:szCs w:val="22"/>
          <w:lang w:val="fr-FR"/>
        </w:rPr>
      </w:pPr>
    </w:p>
    <w:p w14:paraId="2ADE808C" w14:textId="77777777" w:rsidR="00C6557B" w:rsidRPr="00961E0F" w:rsidRDefault="00C6557B">
      <w:pPr>
        <w:pStyle w:val="EndnoteText"/>
        <w:widowControl w:val="0"/>
        <w:tabs>
          <w:tab w:val="clear" w:pos="567"/>
        </w:tabs>
        <w:rPr>
          <w:color w:val="000000"/>
          <w:szCs w:val="22"/>
          <w:lang w:val="fr-FR"/>
        </w:rPr>
      </w:pPr>
      <w:r w:rsidRPr="00961E0F">
        <w:rPr>
          <w:color w:val="000000"/>
          <w:szCs w:val="22"/>
          <w:lang w:val="fr-FR"/>
        </w:rPr>
        <w:t xml:space="preserve">La substance active imatinib </w:t>
      </w:r>
      <w:r w:rsidR="00F644A1" w:rsidRPr="00961E0F">
        <w:rPr>
          <w:color w:val="000000"/>
          <w:szCs w:val="22"/>
          <w:lang w:val="fr-FR"/>
        </w:rPr>
        <w:t>présente</w:t>
      </w:r>
      <w:r w:rsidRPr="00961E0F">
        <w:rPr>
          <w:color w:val="000000"/>
          <w:szCs w:val="22"/>
          <w:lang w:val="fr-FR"/>
        </w:rPr>
        <w:t xml:space="preserve"> un risque environnemental pour les organismes </w:t>
      </w:r>
      <w:r w:rsidR="00D453B7" w:rsidRPr="00961E0F">
        <w:rPr>
          <w:color w:val="000000"/>
          <w:szCs w:val="22"/>
          <w:lang w:val="fr-FR"/>
        </w:rPr>
        <w:t>vivant dans l</w:t>
      </w:r>
      <w:r w:rsidRPr="00961E0F">
        <w:rPr>
          <w:color w:val="000000"/>
          <w:szCs w:val="22"/>
          <w:lang w:val="fr-FR"/>
        </w:rPr>
        <w:t>es sédiments.</w:t>
      </w:r>
    </w:p>
    <w:p w14:paraId="34F64D35" w14:textId="77777777" w:rsidR="007D642D" w:rsidRPr="00961E0F" w:rsidRDefault="007D642D">
      <w:pPr>
        <w:pStyle w:val="EndnoteText"/>
        <w:widowControl w:val="0"/>
        <w:tabs>
          <w:tab w:val="clear" w:pos="567"/>
        </w:tabs>
        <w:rPr>
          <w:color w:val="000000"/>
          <w:szCs w:val="22"/>
          <w:lang w:val="fr-FR"/>
        </w:rPr>
      </w:pPr>
    </w:p>
    <w:p w14:paraId="67FCB5A1" w14:textId="77777777" w:rsidR="007D642D" w:rsidRPr="00961E0F" w:rsidRDefault="007D642D">
      <w:pPr>
        <w:pStyle w:val="EndnoteText"/>
        <w:widowControl w:val="0"/>
        <w:tabs>
          <w:tab w:val="clear" w:pos="567"/>
        </w:tabs>
        <w:rPr>
          <w:color w:val="000000"/>
          <w:szCs w:val="22"/>
          <w:lang w:val="fr-FR"/>
        </w:rPr>
      </w:pPr>
    </w:p>
    <w:p w14:paraId="64D0D759" w14:textId="77777777" w:rsidR="007D642D" w:rsidRPr="00961E0F" w:rsidRDefault="007D642D" w:rsidP="000E0F96">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DONN</w:t>
      </w:r>
      <w:r w:rsidR="00D43054" w:rsidRPr="00961E0F">
        <w:rPr>
          <w:rFonts w:ascii="Times New Roman" w:hAnsi="Times New Roman"/>
          <w:b/>
          <w:color w:val="000000"/>
          <w:szCs w:val="22"/>
        </w:rPr>
        <w:t>É</w:t>
      </w:r>
      <w:r w:rsidRPr="00961E0F">
        <w:rPr>
          <w:rFonts w:ascii="Times New Roman" w:hAnsi="Times New Roman"/>
          <w:b/>
          <w:color w:val="000000"/>
          <w:szCs w:val="22"/>
        </w:rPr>
        <w:t>ES PHARMACEUTIQUES</w:t>
      </w:r>
    </w:p>
    <w:p w14:paraId="3AE266D2" w14:textId="77777777" w:rsidR="007D642D" w:rsidRPr="00961E0F" w:rsidRDefault="007D642D" w:rsidP="000E0F96">
      <w:pPr>
        <w:pStyle w:val="EndnoteText"/>
        <w:keepNext/>
        <w:widowControl w:val="0"/>
        <w:tabs>
          <w:tab w:val="clear" w:pos="567"/>
        </w:tabs>
        <w:rPr>
          <w:bCs/>
          <w:color w:val="000000"/>
          <w:szCs w:val="22"/>
          <w:lang w:val="fr-FR"/>
        </w:rPr>
      </w:pPr>
    </w:p>
    <w:p w14:paraId="1A8F58F0" w14:textId="77777777" w:rsidR="007D642D" w:rsidRPr="00961E0F" w:rsidRDefault="007D642D" w:rsidP="000E0F96">
      <w:pPr>
        <w:keepNext/>
        <w:widowControl w:val="0"/>
        <w:ind w:left="567" w:hanging="567"/>
        <w:rPr>
          <w:rFonts w:ascii="Times New Roman" w:hAnsi="Times New Roman"/>
          <w:color w:val="000000"/>
          <w:szCs w:val="22"/>
        </w:rPr>
      </w:pPr>
      <w:r w:rsidRPr="00961E0F">
        <w:rPr>
          <w:rFonts w:ascii="Times New Roman" w:hAnsi="Times New Roman"/>
          <w:b/>
          <w:color w:val="000000"/>
          <w:szCs w:val="22"/>
        </w:rPr>
        <w:t>6.1</w:t>
      </w:r>
      <w:r w:rsidRPr="00961E0F">
        <w:rPr>
          <w:rFonts w:ascii="Times New Roman" w:hAnsi="Times New Roman"/>
          <w:b/>
          <w:color w:val="000000"/>
          <w:szCs w:val="22"/>
        </w:rPr>
        <w:tab/>
        <w:t>Liste des excipients</w:t>
      </w:r>
    </w:p>
    <w:p w14:paraId="0853B014" w14:textId="77777777" w:rsidR="007D642D" w:rsidRPr="00961E0F" w:rsidRDefault="007D642D" w:rsidP="000E0F96">
      <w:pPr>
        <w:keepNext/>
        <w:widowControl w:val="0"/>
        <w:rPr>
          <w:rFonts w:ascii="Times New Roman" w:hAnsi="Times New Roman"/>
          <w:color w:val="000000"/>
          <w:szCs w:val="22"/>
        </w:rPr>
      </w:pPr>
    </w:p>
    <w:p w14:paraId="22E30953" w14:textId="77777777" w:rsidR="004D500C" w:rsidRPr="00961E0F" w:rsidRDefault="004D500C" w:rsidP="002372FC">
      <w:pPr>
        <w:keepNext/>
        <w:widowControl w:val="0"/>
        <w:rPr>
          <w:rFonts w:ascii="Times New Roman" w:hAnsi="Times New Roman"/>
          <w:color w:val="000000"/>
          <w:szCs w:val="22"/>
        </w:rPr>
      </w:pPr>
      <w:r w:rsidRPr="00961E0F">
        <w:rPr>
          <w:rFonts w:ascii="Times New Roman" w:hAnsi="Times New Roman"/>
          <w:color w:val="000000"/>
          <w:szCs w:val="22"/>
        </w:rPr>
        <w:t>Contenu de la gélule :</w:t>
      </w:r>
      <w:r w:rsidRPr="00961E0F">
        <w:rPr>
          <w:rFonts w:ascii="Times New Roman" w:hAnsi="Times New Roman"/>
          <w:color w:val="000000"/>
          <w:szCs w:val="22"/>
        </w:rPr>
        <w:tab/>
        <w:t>Cellulose microcristalline</w:t>
      </w:r>
    </w:p>
    <w:p w14:paraId="7AE96B3F" w14:textId="77777777" w:rsidR="004D500C" w:rsidRPr="00961E0F" w:rsidRDefault="004D500C" w:rsidP="002372FC">
      <w:pPr>
        <w:keepNext/>
        <w:widowControl w:val="0"/>
        <w:ind w:left="2268"/>
        <w:rPr>
          <w:rFonts w:ascii="Times New Roman" w:hAnsi="Times New Roman"/>
          <w:color w:val="000000"/>
          <w:szCs w:val="22"/>
        </w:rPr>
      </w:pPr>
      <w:r w:rsidRPr="00961E0F">
        <w:rPr>
          <w:rFonts w:ascii="Times New Roman" w:hAnsi="Times New Roman"/>
          <w:color w:val="000000"/>
          <w:szCs w:val="22"/>
        </w:rPr>
        <w:t>Crospovidone</w:t>
      </w:r>
    </w:p>
    <w:p w14:paraId="67C455A2" w14:textId="77777777" w:rsidR="004D500C" w:rsidRPr="00961E0F" w:rsidRDefault="004D500C" w:rsidP="002372FC">
      <w:pPr>
        <w:keepNext/>
        <w:widowControl w:val="0"/>
        <w:ind w:left="2268"/>
        <w:rPr>
          <w:rFonts w:ascii="Times New Roman" w:hAnsi="Times New Roman"/>
          <w:color w:val="000000"/>
          <w:szCs w:val="22"/>
        </w:rPr>
      </w:pPr>
      <w:r w:rsidRPr="00961E0F">
        <w:rPr>
          <w:rFonts w:ascii="Times New Roman" w:hAnsi="Times New Roman"/>
          <w:color w:val="000000"/>
          <w:szCs w:val="22"/>
        </w:rPr>
        <w:t>Stéarate de magnésium</w:t>
      </w:r>
    </w:p>
    <w:p w14:paraId="72160A88" w14:textId="77777777" w:rsidR="004D500C" w:rsidRPr="00961E0F" w:rsidRDefault="004D500C" w:rsidP="004D500C">
      <w:pPr>
        <w:widowControl w:val="0"/>
        <w:ind w:left="2268"/>
        <w:rPr>
          <w:rFonts w:ascii="Times New Roman" w:hAnsi="Times New Roman"/>
          <w:color w:val="000000"/>
          <w:szCs w:val="22"/>
        </w:rPr>
      </w:pPr>
      <w:r w:rsidRPr="00961E0F">
        <w:rPr>
          <w:rFonts w:ascii="Times New Roman" w:hAnsi="Times New Roman"/>
          <w:color w:val="000000"/>
          <w:szCs w:val="22"/>
        </w:rPr>
        <w:t>Silice colloïdale anhydre</w:t>
      </w:r>
    </w:p>
    <w:p w14:paraId="529EE5B6" w14:textId="77777777" w:rsidR="004D500C" w:rsidRPr="00961E0F" w:rsidRDefault="004D500C" w:rsidP="004D500C">
      <w:pPr>
        <w:widowControl w:val="0"/>
        <w:rPr>
          <w:rFonts w:ascii="Times New Roman" w:hAnsi="Times New Roman"/>
          <w:color w:val="000000"/>
          <w:szCs w:val="22"/>
        </w:rPr>
      </w:pPr>
    </w:p>
    <w:p w14:paraId="34DF5CF2" w14:textId="77777777" w:rsidR="004D500C" w:rsidRPr="00961E0F" w:rsidRDefault="004D500C" w:rsidP="002372FC">
      <w:pPr>
        <w:keepNext/>
        <w:widowControl w:val="0"/>
        <w:rPr>
          <w:rFonts w:ascii="Times New Roman" w:hAnsi="Times New Roman"/>
          <w:color w:val="000000"/>
          <w:szCs w:val="22"/>
        </w:rPr>
      </w:pPr>
      <w:r w:rsidRPr="00961E0F">
        <w:rPr>
          <w:rFonts w:ascii="Times New Roman" w:hAnsi="Times New Roman"/>
          <w:color w:val="000000"/>
          <w:szCs w:val="22"/>
        </w:rPr>
        <w:t>Enveloppe de la gélule :</w:t>
      </w:r>
      <w:r w:rsidRPr="00961E0F">
        <w:rPr>
          <w:rFonts w:ascii="Times New Roman" w:hAnsi="Times New Roman"/>
          <w:color w:val="000000"/>
          <w:szCs w:val="22"/>
        </w:rPr>
        <w:tab/>
        <w:t>Gélatine</w:t>
      </w:r>
    </w:p>
    <w:p w14:paraId="77FD83FB" w14:textId="77777777" w:rsidR="004D500C" w:rsidRPr="00961E0F" w:rsidRDefault="004D500C" w:rsidP="002372FC">
      <w:pPr>
        <w:keepNext/>
        <w:widowControl w:val="0"/>
        <w:ind w:left="1701" w:firstLine="567"/>
        <w:rPr>
          <w:rFonts w:ascii="Times New Roman" w:hAnsi="Times New Roman"/>
          <w:color w:val="000000"/>
          <w:szCs w:val="22"/>
        </w:rPr>
      </w:pPr>
      <w:r w:rsidRPr="00961E0F">
        <w:rPr>
          <w:rFonts w:ascii="Times New Roman" w:hAnsi="Times New Roman"/>
          <w:color w:val="000000"/>
          <w:szCs w:val="22"/>
        </w:rPr>
        <w:t>Oxyde de fer rouge (E172)</w:t>
      </w:r>
    </w:p>
    <w:p w14:paraId="53BD2CBE" w14:textId="77777777" w:rsidR="004D500C" w:rsidRPr="00961E0F" w:rsidRDefault="004D500C" w:rsidP="002372FC">
      <w:pPr>
        <w:keepNext/>
        <w:widowControl w:val="0"/>
        <w:ind w:left="2268"/>
        <w:rPr>
          <w:rFonts w:ascii="Times New Roman" w:hAnsi="Times New Roman"/>
          <w:color w:val="000000"/>
          <w:szCs w:val="22"/>
        </w:rPr>
      </w:pPr>
      <w:r w:rsidRPr="00961E0F">
        <w:rPr>
          <w:rFonts w:ascii="Times New Roman" w:hAnsi="Times New Roman"/>
          <w:color w:val="000000"/>
          <w:szCs w:val="22"/>
        </w:rPr>
        <w:t>Oxyde de fer jaune (E172)</w:t>
      </w:r>
    </w:p>
    <w:p w14:paraId="1B6A58E8" w14:textId="77777777" w:rsidR="004D500C" w:rsidRPr="00961E0F" w:rsidRDefault="004D500C" w:rsidP="004D500C">
      <w:pPr>
        <w:widowControl w:val="0"/>
        <w:ind w:left="2268"/>
        <w:rPr>
          <w:rFonts w:ascii="Times New Roman" w:hAnsi="Times New Roman"/>
          <w:color w:val="000000"/>
          <w:szCs w:val="22"/>
        </w:rPr>
      </w:pPr>
      <w:r w:rsidRPr="00961E0F">
        <w:rPr>
          <w:rFonts w:ascii="Times New Roman" w:hAnsi="Times New Roman"/>
          <w:color w:val="000000"/>
          <w:szCs w:val="22"/>
        </w:rPr>
        <w:t>Dioxyde de titane (E171)</w:t>
      </w:r>
    </w:p>
    <w:p w14:paraId="59E174A0" w14:textId="77777777" w:rsidR="004D500C" w:rsidRPr="00961E0F" w:rsidRDefault="004D500C" w:rsidP="004D500C">
      <w:pPr>
        <w:widowControl w:val="0"/>
        <w:rPr>
          <w:rFonts w:ascii="Times New Roman" w:hAnsi="Times New Roman"/>
          <w:color w:val="000000"/>
          <w:szCs w:val="22"/>
        </w:rPr>
      </w:pPr>
    </w:p>
    <w:p w14:paraId="39440EBE" w14:textId="77777777" w:rsidR="004D500C" w:rsidRPr="00961E0F" w:rsidRDefault="004D500C" w:rsidP="002372FC">
      <w:pPr>
        <w:keepNext/>
        <w:widowControl w:val="0"/>
        <w:rPr>
          <w:rFonts w:ascii="Times New Roman" w:hAnsi="Times New Roman"/>
          <w:color w:val="000000"/>
          <w:szCs w:val="22"/>
        </w:rPr>
      </w:pPr>
      <w:r w:rsidRPr="00961E0F">
        <w:rPr>
          <w:rFonts w:ascii="Times New Roman" w:hAnsi="Times New Roman"/>
          <w:color w:val="000000"/>
          <w:szCs w:val="22"/>
        </w:rPr>
        <w:t>Encre d'impression :</w:t>
      </w:r>
      <w:r w:rsidRPr="00961E0F">
        <w:rPr>
          <w:rFonts w:ascii="Times New Roman" w:hAnsi="Times New Roman"/>
          <w:color w:val="000000"/>
          <w:szCs w:val="22"/>
        </w:rPr>
        <w:tab/>
        <w:t>Oxyde de fer rouge (E172)</w:t>
      </w:r>
    </w:p>
    <w:p w14:paraId="02F66917" w14:textId="77777777" w:rsidR="004D500C" w:rsidRPr="00961E0F" w:rsidRDefault="004D500C" w:rsidP="004D500C">
      <w:pPr>
        <w:widowControl w:val="0"/>
        <w:ind w:left="2268"/>
        <w:rPr>
          <w:rFonts w:ascii="Times New Roman" w:hAnsi="Times New Roman"/>
          <w:color w:val="000000"/>
          <w:szCs w:val="22"/>
        </w:rPr>
      </w:pPr>
      <w:r w:rsidRPr="00961E0F">
        <w:rPr>
          <w:rFonts w:ascii="Times New Roman" w:hAnsi="Times New Roman"/>
          <w:color w:val="000000"/>
          <w:szCs w:val="22"/>
        </w:rPr>
        <w:t>Gomme laque</w:t>
      </w:r>
    </w:p>
    <w:p w14:paraId="422A5792" w14:textId="77777777" w:rsidR="004D500C" w:rsidRPr="00961E0F" w:rsidRDefault="004D500C">
      <w:pPr>
        <w:widowControl w:val="0"/>
        <w:rPr>
          <w:rFonts w:ascii="Times New Roman" w:hAnsi="Times New Roman"/>
          <w:color w:val="000000"/>
          <w:szCs w:val="22"/>
        </w:rPr>
      </w:pPr>
    </w:p>
    <w:p w14:paraId="6D6E4911"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lastRenderedPageBreak/>
        <w:t>6.2</w:t>
      </w:r>
      <w:r w:rsidRPr="00961E0F">
        <w:rPr>
          <w:rFonts w:ascii="Times New Roman" w:hAnsi="Times New Roman"/>
          <w:b/>
          <w:color w:val="000000"/>
          <w:szCs w:val="22"/>
        </w:rPr>
        <w:tab/>
        <w:t>Incompatibilités</w:t>
      </w:r>
    </w:p>
    <w:p w14:paraId="3AF5F787" w14:textId="77777777" w:rsidR="007D642D" w:rsidRPr="00961E0F" w:rsidRDefault="007D642D" w:rsidP="00B92E0B">
      <w:pPr>
        <w:keepNext/>
        <w:widowControl w:val="0"/>
        <w:rPr>
          <w:rFonts w:ascii="Times New Roman" w:hAnsi="Times New Roman"/>
          <w:color w:val="000000"/>
          <w:szCs w:val="22"/>
        </w:rPr>
      </w:pPr>
    </w:p>
    <w:p w14:paraId="0925D4A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Sans objet.</w:t>
      </w:r>
    </w:p>
    <w:p w14:paraId="0B5CDA80" w14:textId="77777777" w:rsidR="007D642D" w:rsidRPr="00961E0F" w:rsidRDefault="007D642D">
      <w:pPr>
        <w:pStyle w:val="EndnoteText"/>
        <w:widowControl w:val="0"/>
        <w:tabs>
          <w:tab w:val="clear" w:pos="567"/>
        </w:tabs>
        <w:rPr>
          <w:color w:val="000000"/>
          <w:szCs w:val="22"/>
          <w:lang w:val="fr-FR"/>
        </w:rPr>
      </w:pPr>
    </w:p>
    <w:p w14:paraId="04371853"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6.3</w:t>
      </w:r>
      <w:r w:rsidRPr="00961E0F">
        <w:rPr>
          <w:rFonts w:ascii="Times New Roman" w:hAnsi="Times New Roman"/>
          <w:b/>
          <w:color w:val="000000"/>
          <w:szCs w:val="22"/>
        </w:rPr>
        <w:tab/>
        <w:t>Durée de conservation</w:t>
      </w:r>
    </w:p>
    <w:p w14:paraId="50ACE7FE" w14:textId="77777777" w:rsidR="007D642D" w:rsidRPr="00961E0F" w:rsidRDefault="007D642D" w:rsidP="00B92E0B">
      <w:pPr>
        <w:keepNext/>
        <w:widowControl w:val="0"/>
        <w:rPr>
          <w:rFonts w:ascii="Times New Roman" w:hAnsi="Times New Roman"/>
          <w:color w:val="000000"/>
          <w:szCs w:val="22"/>
        </w:rPr>
      </w:pPr>
    </w:p>
    <w:p w14:paraId="144CCBD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2 ans</w:t>
      </w:r>
    </w:p>
    <w:p w14:paraId="61341B3E" w14:textId="77777777" w:rsidR="007D642D" w:rsidRPr="00961E0F" w:rsidRDefault="007D642D">
      <w:pPr>
        <w:pStyle w:val="EndnoteText"/>
        <w:widowControl w:val="0"/>
        <w:tabs>
          <w:tab w:val="clear" w:pos="567"/>
        </w:tabs>
        <w:rPr>
          <w:color w:val="000000"/>
          <w:szCs w:val="22"/>
          <w:lang w:val="fr-FR"/>
        </w:rPr>
      </w:pPr>
    </w:p>
    <w:p w14:paraId="2705FF34"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6.4</w:t>
      </w:r>
      <w:r w:rsidRPr="00961E0F">
        <w:rPr>
          <w:rFonts w:ascii="Times New Roman" w:hAnsi="Times New Roman"/>
          <w:b/>
          <w:color w:val="000000"/>
          <w:szCs w:val="22"/>
        </w:rPr>
        <w:tab/>
        <w:t>Précautions particulières de conservation</w:t>
      </w:r>
    </w:p>
    <w:p w14:paraId="2C1C3406" w14:textId="77777777" w:rsidR="007D642D" w:rsidRPr="00961E0F" w:rsidRDefault="007D642D" w:rsidP="00B92E0B">
      <w:pPr>
        <w:keepNext/>
        <w:widowControl w:val="0"/>
        <w:rPr>
          <w:rFonts w:ascii="Times New Roman" w:hAnsi="Times New Roman"/>
          <w:color w:val="000000"/>
          <w:szCs w:val="22"/>
        </w:rPr>
      </w:pPr>
    </w:p>
    <w:p w14:paraId="5104A49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conserver à une température ne dépassant pas 30</w:t>
      </w:r>
      <w:r w:rsidRPr="00961E0F">
        <w:rPr>
          <w:rFonts w:ascii="Times New Roman" w:hAnsi="Times New Roman"/>
          <w:color w:val="000000"/>
          <w:szCs w:val="22"/>
        </w:rPr>
        <w:sym w:font="Symbol" w:char="F0B0"/>
      </w:r>
      <w:r w:rsidRPr="00961E0F">
        <w:rPr>
          <w:rFonts w:ascii="Times New Roman" w:hAnsi="Times New Roman"/>
          <w:color w:val="000000"/>
          <w:szCs w:val="22"/>
        </w:rPr>
        <w:t>C.</w:t>
      </w:r>
    </w:p>
    <w:p w14:paraId="3A2C2474" w14:textId="77777777" w:rsidR="007D642D" w:rsidRPr="00961E0F" w:rsidRDefault="007D642D">
      <w:pPr>
        <w:widowControl w:val="0"/>
        <w:rPr>
          <w:rFonts w:ascii="Times New Roman" w:hAnsi="Times New Roman"/>
          <w:color w:val="000000"/>
          <w:szCs w:val="22"/>
        </w:rPr>
      </w:pPr>
    </w:p>
    <w:p w14:paraId="4A7F54ED"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conserver dans l’emballage extérieur d'origine à l’abri de l’humidité.</w:t>
      </w:r>
    </w:p>
    <w:p w14:paraId="11E9D953" w14:textId="77777777" w:rsidR="007D642D" w:rsidRPr="00961E0F" w:rsidRDefault="007D642D">
      <w:pPr>
        <w:widowControl w:val="0"/>
        <w:rPr>
          <w:rFonts w:ascii="Times New Roman" w:hAnsi="Times New Roman"/>
          <w:color w:val="000000"/>
          <w:szCs w:val="22"/>
        </w:rPr>
      </w:pPr>
    </w:p>
    <w:p w14:paraId="5342F4BB" w14:textId="77777777" w:rsidR="007D642D" w:rsidRPr="00961E0F" w:rsidRDefault="007D642D" w:rsidP="002372FC">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6.5</w:t>
      </w:r>
      <w:r w:rsidRPr="00961E0F">
        <w:rPr>
          <w:rFonts w:ascii="Times New Roman" w:hAnsi="Times New Roman"/>
          <w:b/>
          <w:color w:val="000000"/>
          <w:szCs w:val="22"/>
        </w:rPr>
        <w:tab/>
        <w:t>Nature et contenu de l'emballage extérieur</w:t>
      </w:r>
    </w:p>
    <w:p w14:paraId="4AB390E2" w14:textId="77777777" w:rsidR="007D642D" w:rsidRPr="00961E0F" w:rsidRDefault="007D642D" w:rsidP="002372FC">
      <w:pPr>
        <w:pStyle w:val="EndnoteText"/>
        <w:keepNext/>
        <w:widowControl w:val="0"/>
        <w:tabs>
          <w:tab w:val="clear" w:pos="567"/>
        </w:tabs>
        <w:rPr>
          <w:color w:val="000000"/>
          <w:szCs w:val="22"/>
          <w:lang w:val="fr-FR"/>
        </w:rPr>
      </w:pPr>
    </w:p>
    <w:p w14:paraId="65CA1DF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thermoformées en PVC/aluminium</w:t>
      </w:r>
    </w:p>
    <w:p w14:paraId="15EC9434" w14:textId="77777777" w:rsidR="007D642D" w:rsidRPr="00961E0F" w:rsidRDefault="007D642D">
      <w:pPr>
        <w:widowControl w:val="0"/>
        <w:ind w:left="567" w:hanging="567"/>
        <w:rPr>
          <w:rFonts w:ascii="Times New Roman" w:hAnsi="Times New Roman"/>
          <w:color w:val="000000"/>
          <w:szCs w:val="22"/>
        </w:rPr>
      </w:pPr>
    </w:p>
    <w:p w14:paraId="490B4C31" w14:textId="77777777" w:rsidR="004D500C" w:rsidRPr="00961E0F" w:rsidRDefault="004D500C" w:rsidP="004D500C">
      <w:pPr>
        <w:pStyle w:val="EndnoteText"/>
        <w:widowControl w:val="0"/>
        <w:tabs>
          <w:tab w:val="clear" w:pos="567"/>
        </w:tabs>
        <w:rPr>
          <w:color w:val="000000"/>
          <w:szCs w:val="22"/>
          <w:lang w:val="fr-FR"/>
        </w:rPr>
      </w:pPr>
      <w:r w:rsidRPr="00961E0F">
        <w:rPr>
          <w:color w:val="000000"/>
          <w:szCs w:val="22"/>
          <w:lang w:val="fr-FR"/>
        </w:rPr>
        <w:t>Boîtes de 24, 48, 96, 120 et 180 gélules.</w:t>
      </w:r>
    </w:p>
    <w:p w14:paraId="5176CA91" w14:textId="77777777" w:rsidR="002372FC" w:rsidRPr="00961E0F" w:rsidRDefault="002372FC" w:rsidP="004D500C">
      <w:pPr>
        <w:pStyle w:val="EndnoteText"/>
        <w:widowControl w:val="0"/>
        <w:tabs>
          <w:tab w:val="clear" w:pos="567"/>
        </w:tabs>
        <w:rPr>
          <w:color w:val="000000"/>
          <w:szCs w:val="22"/>
          <w:lang w:val="fr-FR"/>
        </w:rPr>
      </w:pPr>
    </w:p>
    <w:p w14:paraId="5546038D" w14:textId="77777777" w:rsidR="004D500C" w:rsidRPr="00961E0F" w:rsidRDefault="00C5439C">
      <w:pPr>
        <w:pStyle w:val="EndnoteText"/>
        <w:widowControl w:val="0"/>
        <w:tabs>
          <w:tab w:val="clear" w:pos="567"/>
        </w:tabs>
        <w:rPr>
          <w:color w:val="000000"/>
          <w:szCs w:val="22"/>
          <w:lang w:val="fr-FR"/>
        </w:rPr>
      </w:pPr>
      <w:r w:rsidRPr="00961E0F">
        <w:rPr>
          <w:color w:val="000000"/>
          <w:szCs w:val="22"/>
          <w:lang w:val="fr-FR"/>
        </w:rPr>
        <w:t>Toutes les présentations peuvent ne pas être commercialisées</w:t>
      </w:r>
    </w:p>
    <w:p w14:paraId="7A03211E" w14:textId="77777777" w:rsidR="004D500C" w:rsidRPr="00961E0F" w:rsidRDefault="004D500C" w:rsidP="002372FC">
      <w:pPr>
        <w:pStyle w:val="EndnoteText"/>
        <w:widowControl w:val="0"/>
        <w:tabs>
          <w:tab w:val="clear" w:pos="567"/>
        </w:tabs>
        <w:rPr>
          <w:color w:val="000000"/>
          <w:szCs w:val="22"/>
          <w:lang w:val="fr-CH"/>
        </w:rPr>
      </w:pPr>
    </w:p>
    <w:p w14:paraId="651A877D"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6.6</w:t>
      </w:r>
      <w:r w:rsidRPr="00961E0F">
        <w:rPr>
          <w:rFonts w:ascii="Times New Roman" w:hAnsi="Times New Roman"/>
          <w:b/>
          <w:color w:val="000000"/>
          <w:szCs w:val="22"/>
        </w:rPr>
        <w:tab/>
        <w:t>Précautions particulières d’élimination</w:t>
      </w:r>
    </w:p>
    <w:p w14:paraId="45CCAF89" w14:textId="77777777" w:rsidR="007D642D" w:rsidRPr="00961E0F" w:rsidRDefault="007D642D" w:rsidP="00B92E0B">
      <w:pPr>
        <w:pStyle w:val="EndnoteText"/>
        <w:keepNext/>
        <w:widowControl w:val="0"/>
        <w:tabs>
          <w:tab w:val="clear" w:pos="567"/>
        </w:tabs>
        <w:rPr>
          <w:color w:val="000000"/>
          <w:szCs w:val="22"/>
          <w:lang w:val="fr-FR"/>
        </w:rPr>
      </w:pPr>
    </w:p>
    <w:p w14:paraId="5876EE8A" w14:textId="77777777" w:rsidR="007D642D" w:rsidRPr="00961E0F" w:rsidRDefault="00C5388A">
      <w:pPr>
        <w:pStyle w:val="EndnoteText"/>
        <w:widowControl w:val="0"/>
        <w:tabs>
          <w:tab w:val="clear" w:pos="567"/>
        </w:tabs>
        <w:rPr>
          <w:color w:val="000000"/>
          <w:szCs w:val="22"/>
          <w:lang w:val="fr-FR"/>
        </w:rPr>
      </w:pPr>
      <w:r w:rsidRPr="00961E0F">
        <w:rPr>
          <w:color w:val="000000"/>
          <w:szCs w:val="22"/>
          <w:lang w:val="fr-FR"/>
        </w:rPr>
        <w:t>Tout médicament non utilisé ou déchet doit être éliminé conformément à la réglementation en vigueur.</w:t>
      </w:r>
    </w:p>
    <w:p w14:paraId="65AA00D1" w14:textId="77777777" w:rsidR="007D642D" w:rsidRPr="00961E0F" w:rsidRDefault="007D642D">
      <w:pPr>
        <w:pStyle w:val="EndnoteText"/>
        <w:widowControl w:val="0"/>
        <w:tabs>
          <w:tab w:val="clear" w:pos="567"/>
        </w:tabs>
        <w:rPr>
          <w:color w:val="000000"/>
          <w:szCs w:val="22"/>
          <w:lang w:val="fr-FR"/>
        </w:rPr>
      </w:pPr>
    </w:p>
    <w:p w14:paraId="45EE4637" w14:textId="77777777" w:rsidR="007D642D" w:rsidRPr="00961E0F" w:rsidRDefault="007D642D">
      <w:pPr>
        <w:pStyle w:val="EndnoteText"/>
        <w:widowControl w:val="0"/>
        <w:tabs>
          <w:tab w:val="clear" w:pos="567"/>
        </w:tabs>
        <w:rPr>
          <w:color w:val="000000"/>
          <w:szCs w:val="22"/>
          <w:lang w:val="fr-FR"/>
        </w:rPr>
      </w:pPr>
    </w:p>
    <w:p w14:paraId="61088239"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7.</w:t>
      </w:r>
      <w:r w:rsidRPr="00961E0F">
        <w:rPr>
          <w:rFonts w:ascii="Times New Roman" w:hAnsi="Times New Roman"/>
          <w:b/>
          <w:color w:val="000000"/>
          <w:szCs w:val="22"/>
        </w:rPr>
        <w:tab/>
        <w:t xml:space="preserve">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D43054" w:rsidRPr="00961E0F">
        <w:rPr>
          <w:rFonts w:ascii="Times New Roman" w:hAnsi="Times New Roman"/>
          <w:b/>
          <w:color w:val="000000"/>
          <w:szCs w:val="22"/>
        </w:rPr>
        <w:t>É</w:t>
      </w:r>
    </w:p>
    <w:p w14:paraId="1E78A12C" w14:textId="77777777" w:rsidR="007D642D" w:rsidRPr="00961E0F" w:rsidRDefault="007D642D" w:rsidP="00B92E0B">
      <w:pPr>
        <w:pStyle w:val="EndnoteText"/>
        <w:keepNext/>
        <w:widowControl w:val="0"/>
        <w:tabs>
          <w:tab w:val="clear" w:pos="567"/>
        </w:tabs>
        <w:rPr>
          <w:color w:val="000000"/>
          <w:szCs w:val="22"/>
          <w:lang w:val="fr-FR"/>
        </w:rPr>
      </w:pPr>
    </w:p>
    <w:p w14:paraId="14CBCE02" w14:textId="77777777" w:rsidR="007D642D" w:rsidRPr="00961E0F" w:rsidRDefault="007D642D" w:rsidP="00B92E0B">
      <w:pPr>
        <w:keepNext/>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69AADEF7"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5B38AB6E"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281584E9"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5C98B257"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68FE8952" w14:textId="77777777" w:rsidR="007D642D" w:rsidRPr="00961E0F" w:rsidRDefault="007D642D">
      <w:pPr>
        <w:widowControl w:val="0"/>
        <w:rPr>
          <w:rFonts w:ascii="Times New Roman" w:hAnsi="Times New Roman"/>
          <w:color w:val="000000"/>
          <w:szCs w:val="22"/>
        </w:rPr>
      </w:pPr>
    </w:p>
    <w:p w14:paraId="07E70734" w14:textId="77777777" w:rsidR="007D642D" w:rsidRPr="00961E0F" w:rsidRDefault="007D642D">
      <w:pPr>
        <w:pStyle w:val="EndnoteText"/>
        <w:widowControl w:val="0"/>
        <w:tabs>
          <w:tab w:val="clear" w:pos="567"/>
        </w:tabs>
        <w:rPr>
          <w:color w:val="000000"/>
          <w:szCs w:val="22"/>
          <w:lang w:val="fr-FR"/>
        </w:rPr>
      </w:pPr>
    </w:p>
    <w:p w14:paraId="450C0565" w14:textId="77777777" w:rsidR="007D642D" w:rsidRPr="00961E0F" w:rsidRDefault="007D642D" w:rsidP="002372FC">
      <w:pPr>
        <w:pStyle w:val="BodyTextIndent"/>
        <w:keepNext/>
        <w:widowControl w:val="0"/>
        <w:rPr>
          <w:color w:val="000000"/>
          <w:szCs w:val="22"/>
          <w:lang w:val="fr-FR"/>
        </w:rPr>
      </w:pPr>
      <w:r w:rsidRPr="00961E0F">
        <w:rPr>
          <w:color w:val="000000"/>
          <w:szCs w:val="22"/>
          <w:lang w:val="fr-FR"/>
        </w:rPr>
        <w:t>8.</w:t>
      </w:r>
      <w:r w:rsidRPr="00961E0F">
        <w:rPr>
          <w:color w:val="000000"/>
          <w:szCs w:val="22"/>
          <w:lang w:val="fr-FR"/>
        </w:rPr>
        <w:tab/>
        <w:t xml:space="preserve">NUMERO(S) D'AUTORISATION DE MISE </w:t>
      </w:r>
      <w:smartTag w:uri="urn:schemas-microsoft-com:office:smarttags" w:element="stockticker">
        <w:r w:rsidRPr="00961E0F">
          <w:rPr>
            <w:color w:val="000000"/>
            <w:szCs w:val="22"/>
            <w:lang w:val="fr-FR"/>
          </w:rPr>
          <w:t>SUR</w:t>
        </w:r>
      </w:smartTag>
      <w:r w:rsidRPr="00961E0F">
        <w:rPr>
          <w:color w:val="000000"/>
          <w:szCs w:val="22"/>
          <w:lang w:val="fr-FR"/>
        </w:rPr>
        <w:t xml:space="preserve"> LE MARCH</w:t>
      </w:r>
      <w:r w:rsidR="00D43054" w:rsidRPr="00961E0F">
        <w:rPr>
          <w:color w:val="000000"/>
          <w:szCs w:val="22"/>
          <w:lang w:val="fr-FR"/>
        </w:rPr>
        <w:t>É</w:t>
      </w:r>
    </w:p>
    <w:p w14:paraId="7937D3AC" w14:textId="77777777" w:rsidR="007D642D" w:rsidRPr="00961E0F" w:rsidRDefault="007D642D" w:rsidP="002372FC">
      <w:pPr>
        <w:pStyle w:val="EndnoteText"/>
        <w:keepNext/>
        <w:widowControl w:val="0"/>
        <w:tabs>
          <w:tab w:val="clear" w:pos="567"/>
        </w:tabs>
        <w:rPr>
          <w:color w:val="000000"/>
          <w:szCs w:val="22"/>
          <w:lang w:val="fr-FR"/>
        </w:rPr>
      </w:pPr>
    </w:p>
    <w:p w14:paraId="6A6CF421" w14:textId="77777777" w:rsidR="00C5439C" w:rsidRPr="00961E0F" w:rsidRDefault="00C5439C" w:rsidP="00C5439C">
      <w:pPr>
        <w:pStyle w:val="EndnoteText"/>
        <w:widowControl w:val="0"/>
        <w:tabs>
          <w:tab w:val="clear" w:pos="567"/>
        </w:tabs>
        <w:rPr>
          <w:color w:val="000000"/>
          <w:szCs w:val="22"/>
          <w:lang w:val="fr-FR"/>
        </w:rPr>
      </w:pPr>
      <w:r w:rsidRPr="00961E0F">
        <w:rPr>
          <w:color w:val="000000"/>
          <w:szCs w:val="22"/>
          <w:lang w:val="fr-FR"/>
        </w:rPr>
        <w:t>EU/1/01/198/002-006</w:t>
      </w:r>
    </w:p>
    <w:p w14:paraId="70DE7764" w14:textId="77777777" w:rsidR="00C5439C" w:rsidRPr="00961E0F" w:rsidRDefault="00C5439C">
      <w:pPr>
        <w:pStyle w:val="EndnoteText"/>
        <w:widowControl w:val="0"/>
        <w:tabs>
          <w:tab w:val="clear" w:pos="567"/>
        </w:tabs>
        <w:rPr>
          <w:color w:val="000000"/>
          <w:szCs w:val="22"/>
          <w:lang w:val="fr-FR"/>
        </w:rPr>
      </w:pPr>
    </w:p>
    <w:p w14:paraId="21973CA1" w14:textId="77777777" w:rsidR="007D642D" w:rsidRPr="00961E0F" w:rsidRDefault="007D642D">
      <w:pPr>
        <w:widowControl w:val="0"/>
        <w:rPr>
          <w:rFonts w:ascii="Times New Roman" w:hAnsi="Times New Roman"/>
          <w:color w:val="000000"/>
          <w:szCs w:val="22"/>
        </w:rPr>
      </w:pPr>
    </w:p>
    <w:p w14:paraId="41FDA55C" w14:textId="77777777" w:rsidR="007D642D" w:rsidRPr="00961E0F" w:rsidRDefault="007D642D"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9.</w:t>
      </w:r>
      <w:r w:rsidRPr="00961E0F">
        <w:rPr>
          <w:rFonts w:ascii="Times New Roman" w:hAnsi="Times New Roman"/>
          <w:b/>
          <w:color w:val="000000"/>
          <w:szCs w:val="22"/>
        </w:rPr>
        <w:tab/>
        <w:t>DATE DE PREMI</w:t>
      </w:r>
      <w:r w:rsidR="00D43054" w:rsidRPr="00961E0F">
        <w:rPr>
          <w:rFonts w:ascii="Times New Roman" w:hAnsi="Times New Roman"/>
          <w:b/>
          <w:color w:val="000000"/>
          <w:szCs w:val="22"/>
        </w:rPr>
        <w:t>È</w:t>
      </w:r>
      <w:r w:rsidRPr="00961E0F">
        <w:rPr>
          <w:rFonts w:ascii="Times New Roman" w:hAnsi="Times New Roman"/>
          <w:b/>
          <w:color w:val="000000"/>
          <w:szCs w:val="22"/>
        </w:rPr>
        <w:t>RE AUTORISATION/DE RENOUVELLEMENT DE L'AUTORISATION</w:t>
      </w:r>
    </w:p>
    <w:p w14:paraId="3ABD8F17" w14:textId="77777777" w:rsidR="007D642D" w:rsidRPr="00961E0F" w:rsidRDefault="007D642D" w:rsidP="00B92E0B">
      <w:pPr>
        <w:keepNext/>
        <w:widowControl w:val="0"/>
        <w:rPr>
          <w:rFonts w:ascii="Times New Roman" w:hAnsi="Times New Roman"/>
          <w:color w:val="000000"/>
          <w:szCs w:val="22"/>
        </w:rPr>
      </w:pPr>
    </w:p>
    <w:p w14:paraId="152748F0"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Date de première autorisation : 07 novembre 2001</w:t>
      </w:r>
    </w:p>
    <w:p w14:paraId="1F25E20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Date de dernier renouvellement : 07 novembre 2006</w:t>
      </w:r>
    </w:p>
    <w:p w14:paraId="0B5CDAEC" w14:textId="77777777" w:rsidR="007D642D" w:rsidRPr="00961E0F" w:rsidRDefault="007D642D">
      <w:pPr>
        <w:widowControl w:val="0"/>
        <w:rPr>
          <w:rFonts w:ascii="Times New Roman" w:hAnsi="Times New Roman"/>
          <w:color w:val="000000"/>
          <w:szCs w:val="22"/>
        </w:rPr>
      </w:pPr>
    </w:p>
    <w:p w14:paraId="044741F1" w14:textId="77777777" w:rsidR="007D642D" w:rsidRPr="00961E0F" w:rsidRDefault="007D642D">
      <w:pPr>
        <w:widowControl w:val="0"/>
        <w:rPr>
          <w:rFonts w:ascii="Times New Roman" w:hAnsi="Times New Roman"/>
          <w:color w:val="000000"/>
          <w:szCs w:val="22"/>
        </w:rPr>
      </w:pPr>
    </w:p>
    <w:p w14:paraId="3CB9627D" w14:textId="77777777" w:rsidR="007D642D" w:rsidRPr="00961E0F" w:rsidRDefault="007D642D">
      <w:pPr>
        <w:widowControl w:val="0"/>
        <w:ind w:left="567" w:hanging="567"/>
        <w:rPr>
          <w:rFonts w:ascii="Times New Roman" w:hAnsi="Times New Roman"/>
          <w:b/>
          <w:color w:val="000000"/>
          <w:szCs w:val="22"/>
        </w:rPr>
      </w:pPr>
      <w:r w:rsidRPr="00961E0F">
        <w:rPr>
          <w:rFonts w:ascii="Times New Roman" w:hAnsi="Times New Roman"/>
          <w:b/>
          <w:color w:val="000000"/>
          <w:szCs w:val="22"/>
        </w:rPr>
        <w:t>10.</w:t>
      </w:r>
      <w:r w:rsidRPr="00961E0F">
        <w:rPr>
          <w:rFonts w:ascii="Times New Roman" w:hAnsi="Times New Roman"/>
          <w:b/>
          <w:color w:val="000000"/>
          <w:szCs w:val="22"/>
        </w:rPr>
        <w:tab/>
        <w:t xml:space="preserve">DATE DE MISE </w:t>
      </w:r>
      <w:r w:rsidR="00F51631" w:rsidRPr="00961E0F">
        <w:rPr>
          <w:rFonts w:ascii="Times New Roman" w:hAnsi="Times New Roman"/>
          <w:b/>
          <w:color w:val="000000"/>
          <w:szCs w:val="22"/>
          <w:lang w:val="fr-BE"/>
        </w:rPr>
        <w:t>À</w:t>
      </w:r>
      <w:r w:rsidRPr="00961E0F">
        <w:rPr>
          <w:rFonts w:ascii="Times New Roman" w:hAnsi="Times New Roman"/>
          <w:b/>
          <w:color w:val="000000"/>
          <w:szCs w:val="22"/>
        </w:rPr>
        <w:t xml:space="preserve"> JOUR DU TEXTE</w:t>
      </w:r>
    </w:p>
    <w:p w14:paraId="2F042822" w14:textId="77777777" w:rsidR="007D642D" w:rsidRPr="00961E0F" w:rsidRDefault="007D642D">
      <w:pPr>
        <w:widowControl w:val="0"/>
        <w:ind w:left="567" w:hanging="567"/>
        <w:rPr>
          <w:rFonts w:ascii="Times New Roman" w:hAnsi="Times New Roman"/>
          <w:color w:val="000000"/>
          <w:szCs w:val="22"/>
        </w:rPr>
      </w:pPr>
    </w:p>
    <w:p w14:paraId="4D846835" w14:textId="77777777" w:rsidR="007D642D" w:rsidRPr="00961E0F" w:rsidRDefault="007D642D">
      <w:pPr>
        <w:widowControl w:val="0"/>
        <w:ind w:left="567" w:hanging="567"/>
        <w:rPr>
          <w:rFonts w:ascii="Times New Roman" w:hAnsi="Times New Roman"/>
          <w:color w:val="000000"/>
          <w:szCs w:val="22"/>
        </w:rPr>
      </w:pPr>
    </w:p>
    <w:p w14:paraId="6B9E9A8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Des informations détaillées sur ce médicament sont disponibles sur le site internet de l’Agence européenne des médicaments </w:t>
      </w:r>
      <w:r w:rsidR="007969B9" w:rsidRPr="00961E0F">
        <w:rPr>
          <w:rFonts w:ascii="Times New Roman" w:hAnsi="Times New Roman"/>
          <w:color w:val="000000"/>
          <w:szCs w:val="22"/>
        </w:rPr>
        <w:t>http://www.ema.europa.eu/</w:t>
      </w:r>
      <w:r w:rsidR="00F51631" w:rsidRPr="00961E0F">
        <w:rPr>
          <w:rFonts w:ascii="Times New Roman" w:hAnsi="Times New Roman"/>
          <w:color w:val="000000"/>
          <w:szCs w:val="22"/>
        </w:rPr>
        <w:t>.</w:t>
      </w:r>
    </w:p>
    <w:p w14:paraId="3E9A6496" w14:textId="77777777" w:rsidR="00F51631" w:rsidRPr="00961E0F" w:rsidRDefault="00F51631">
      <w:pPr>
        <w:widowControl w:val="0"/>
        <w:rPr>
          <w:rFonts w:ascii="Times New Roman" w:hAnsi="Times New Roman"/>
          <w:color w:val="000000"/>
          <w:szCs w:val="22"/>
        </w:rPr>
      </w:pPr>
    </w:p>
    <w:p w14:paraId="4411B5F8" w14:textId="77777777" w:rsidR="003848E8" w:rsidRPr="00961E0F" w:rsidRDefault="00FA7BC1" w:rsidP="007502C5">
      <w:pPr>
        <w:widowControl w:val="0"/>
        <w:rPr>
          <w:rFonts w:ascii="Times New Roman" w:hAnsi="Times New Roman"/>
          <w:snapToGrid w:val="0"/>
          <w:szCs w:val="22"/>
        </w:rPr>
      </w:pPr>
      <w:r w:rsidRPr="00961E0F">
        <w:rPr>
          <w:rFonts w:ascii="Times New Roman" w:hAnsi="Times New Roman"/>
          <w:noProof/>
          <w:snapToGrid w:val="0"/>
        </w:rPr>
        <w:br w:type="page"/>
      </w:r>
      <w:r w:rsidR="00351949" w:rsidRPr="00961E0F">
        <w:rPr>
          <w:rFonts w:ascii="Times New Roman" w:hAnsi="Times New Roman"/>
          <w:noProof/>
          <w:snapToGrid w:val="0"/>
          <w:lang w:val="en-US"/>
        </w:rPr>
        <w:lastRenderedPageBreak/>
        <w:drawing>
          <wp:inline distT="0" distB="0" distL="0" distR="0" wp14:anchorId="2526A543" wp14:editId="569EB5DC">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3848E8" w:rsidRPr="00961E0F">
        <w:rPr>
          <w:rFonts w:ascii="Times New Roman" w:hAnsi="Times New Roman"/>
          <w:snapToGrid w:val="0"/>
          <w:szCs w:val="22"/>
        </w:rPr>
        <w:t>Ce médicament fait l’objet d’une surveillance supplémentaire qui</w:t>
      </w:r>
      <w:r w:rsidR="003848E8" w:rsidRPr="00961E0F">
        <w:rPr>
          <w:rFonts w:ascii="Times New Roman" w:hAnsi="Times New Roman"/>
          <w:snapToGrid w:val="0"/>
          <w:szCs w:val="22"/>
          <w:lang w:val="fr-BE"/>
        </w:rPr>
        <w:t xml:space="preserve"> </w:t>
      </w:r>
      <w:r w:rsidR="003848E8" w:rsidRPr="00961E0F">
        <w:rPr>
          <w:rFonts w:ascii="Times New Roman" w:hAnsi="Times New Roman"/>
          <w:snapToGrid w:val="0"/>
          <w:szCs w:val="22"/>
        </w:rPr>
        <w:t>permettra l’identification rapide de nouvelles informations relatives à la sécurité.</w:t>
      </w:r>
      <w:r w:rsidR="003848E8" w:rsidRPr="00961E0F">
        <w:rPr>
          <w:rFonts w:ascii="Times New Roman" w:hAnsi="Times New Roman"/>
          <w:snapToGrid w:val="0"/>
          <w:szCs w:val="22"/>
          <w:lang w:val="fr-BE"/>
        </w:rPr>
        <w:t xml:space="preserve"> </w:t>
      </w:r>
      <w:r w:rsidR="003848E8" w:rsidRPr="00961E0F">
        <w:rPr>
          <w:rFonts w:ascii="Times New Roman" w:hAnsi="Times New Roman"/>
          <w:snapToGrid w:val="0"/>
          <w:szCs w:val="22"/>
        </w:rPr>
        <w:t>Les professionnels de la santé déclarent tout effet indésirable suspecté.</w:t>
      </w:r>
      <w:r w:rsidR="003848E8" w:rsidRPr="00961E0F">
        <w:rPr>
          <w:rFonts w:ascii="Times New Roman" w:hAnsi="Times New Roman"/>
          <w:snapToGrid w:val="0"/>
          <w:szCs w:val="22"/>
          <w:lang w:val="fr-BE"/>
        </w:rPr>
        <w:t xml:space="preserve"> </w:t>
      </w:r>
      <w:r w:rsidR="003848E8" w:rsidRPr="00961E0F">
        <w:rPr>
          <w:rFonts w:ascii="Times New Roman" w:hAnsi="Times New Roman"/>
          <w:snapToGrid w:val="0"/>
          <w:szCs w:val="22"/>
        </w:rPr>
        <w:t>Voir rubrique 4.8 pour les modalités de déclaration des effets indésirables.</w:t>
      </w:r>
    </w:p>
    <w:p w14:paraId="767EBF03" w14:textId="77777777" w:rsidR="00FA7BC1" w:rsidRPr="00961E0F" w:rsidRDefault="00FA7BC1">
      <w:pPr>
        <w:widowControl w:val="0"/>
        <w:ind w:left="567" w:hanging="567"/>
        <w:rPr>
          <w:rFonts w:ascii="Times New Roman" w:hAnsi="Times New Roman"/>
          <w:color w:val="000000"/>
          <w:szCs w:val="22"/>
        </w:rPr>
      </w:pPr>
    </w:p>
    <w:p w14:paraId="7772C0B6" w14:textId="77777777" w:rsidR="003848E8" w:rsidRPr="00961E0F" w:rsidRDefault="003848E8">
      <w:pPr>
        <w:widowControl w:val="0"/>
        <w:ind w:left="567" w:hanging="567"/>
        <w:rPr>
          <w:rFonts w:ascii="Times New Roman" w:hAnsi="Times New Roman"/>
          <w:color w:val="000000"/>
          <w:szCs w:val="22"/>
        </w:rPr>
      </w:pPr>
    </w:p>
    <w:p w14:paraId="0857F23E" w14:textId="77777777" w:rsidR="007D642D" w:rsidRPr="00961E0F" w:rsidRDefault="007D642D">
      <w:pPr>
        <w:widowControl w:val="0"/>
        <w:ind w:left="567" w:hanging="567"/>
        <w:rPr>
          <w:rFonts w:ascii="Times New Roman" w:hAnsi="Times New Roman"/>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6E7418" w:rsidRPr="00961E0F">
        <w:rPr>
          <w:rFonts w:ascii="Times New Roman" w:hAnsi="Times New Roman"/>
          <w:b/>
          <w:color w:val="000000"/>
          <w:szCs w:val="22"/>
        </w:rPr>
        <w:t>É</w:t>
      </w:r>
      <w:r w:rsidRPr="00961E0F">
        <w:rPr>
          <w:rFonts w:ascii="Times New Roman" w:hAnsi="Times New Roman"/>
          <w:b/>
          <w:color w:val="000000"/>
          <w:szCs w:val="22"/>
        </w:rPr>
        <w:t>NOMINATION DU M</w:t>
      </w:r>
      <w:r w:rsidR="006E7418" w:rsidRPr="00961E0F">
        <w:rPr>
          <w:rFonts w:ascii="Times New Roman" w:hAnsi="Times New Roman"/>
          <w:b/>
          <w:color w:val="000000"/>
          <w:szCs w:val="22"/>
        </w:rPr>
        <w:t>É</w:t>
      </w:r>
      <w:r w:rsidRPr="00961E0F">
        <w:rPr>
          <w:rFonts w:ascii="Times New Roman" w:hAnsi="Times New Roman"/>
          <w:b/>
          <w:color w:val="000000"/>
          <w:szCs w:val="22"/>
        </w:rPr>
        <w:t>DICAMENT</w:t>
      </w:r>
    </w:p>
    <w:p w14:paraId="30F4EC32" w14:textId="77777777" w:rsidR="007D642D" w:rsidRPr="00961E0F" w:rsidRDefault="007D642D">
      <w:pPr>
        <w:widowControl w:val="0"/>
        <w:ind w:left="567" w:hanging="567"/>
        <w:rPr>
          <w:rFonts w:ascii="Times New Roman" w:hAnsi="Times New Roman"/>
          <w:color w:val="000000"/>
          <w:szCs w:val="22"/>
        </w:rPr>
      </w:pPr>
    </w:p>
    <w:p w14:paraId="3F16126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Glivec 100 mg comprimés pelliculés</w:t>
      </w:r>
    </w:p>
    <w:p w14:paraId="4CCDDEC0" w14:textId="77777777" w:rsidR="00C5439C" w:rsidRPr="00961E0F" w:rsidRDefault="00C5439C" w:rsidP="00C5439C">
      <w:pPr>
        <w:pStyle w:val="EndnoteText"/>
        <w:widowControl w:val="0"/>
        <w:tabs>
          <w:tab w:val="clear" w:pos="567"/>
        </w:tabs>
        <w:rPr>
          <w:color w:val="000000"/>
          <w:szCs w:val="22"/>
          <w:lang w:val="fr-FR"/>
        </w:rPr>
      </w:pPr>
      <w:r w:rsidRPr="00961E0F">
        <w:rPr>
          <w:color w:val="000000"/>
          <w:szCs w:val="22"/>
          <w:lang w:val="fr-FR"/>
        </w:rPr>
        <w:t>Glivec 400 mg comprimés pelliculés</w:t>
      </w:r>
    </w:p>
    <w:p w14:paraId="10E74EF5" w14:textId="77777777" w:rsidR="007D642D" w:rsidRPr="00961E0F" w:rsidRDefault="007D642D">
      <w:pPr>
        <w:pStyle w:val="EndnoteText"/>
        <w:widowControl w:val="0"/>
        <w:tabs>
          <w:tab w:val="clear" w:pos="567"/>
        </w:tabs>
        <w:rPr>
          <w:color w:val="000000"/>
          <w:szCs w:val="22"/>
          <w:lang w:val="fr-FR"/>
        </w:rPr>
      </w:pPr>
    </w:p>
    <w:p w14:paraId="14CCD35D" w14:textId="77777777" w:rsidR="007D642D" w:rsidRPr="00961E0F" w:rsidRDefault="007D642D">
      <w:pPr>
        <w:pStyle w:val="EndnoteText"/>
        <w:widowControl w:val="0"/>
        <w:tabs>
          <w:tab w:val="clear" w:pos="567"/>
        </w:tabs>
        <w:rPr>
          <w:color w:val="000000"/>
          <w:szCs w:val="22"/>
          <w:lang w:val="fr-FR"/>
        </w:rPr>
      </w:pPr>
    </w:p>
    <w:p w14:paraId="10D55FC5" w14:textId="77777777" w:rsidR="007D642D" w:rsidRPr="00961E0F" w:rsidRDefault="007D642D" w:rsidP="000E0F96">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COMPOSITION QUALITATIVE ET QUANTITATIVE</w:t>
      </w:r>
    </w:p>
    <w:p w14:paraId="64C7B8E5" w14:textId="77777777" w:rsidR="00C5439C" w:rsidRPr="00961E0F" w:rsidRDefault="00C5439C" w:rsidP="000E0F96">
      <w:pPr>
        <w:keepNext/>
        <w:widowControl w:val="0"/>
        <w:ind w:left="567" w:hanging="567"/>
        <w:rPr>
          <w:rFonts w:ascii="Times New Roman" w:hAnsi="Times New Roman"/>
          <w:color w:val="000000"/>
          <w:szCs w:val="22"/>
        </w:rPr>
      </w:pPr>
    </w:p>
    <w:p w14:paraId="5D0D0919" w14:textId="77777777" w:rsidR="002372FC" w:rsidRPr="00961E0F" w:rsidRDefault="00C5439C" w:rsidP="000E0F96">
      <w:pPr>
        <w:keepNext/>
        <w:widowControl w:val="0"/>
        <w:rPr>
          <w:rFonts w:ascii="Times New Roman" w:hAnsi="Times New Roman"/>
          <w:color w:val="000000"/>
          <w:szCs w:val="22"/>
          <w:u w:val="single"/>
        </w:rPr>
      </w:pPr>
      <w:r w:rsidRPr="00961E0F">
        <w:rPr>
          <w:rFonts w:ascii="Times New Roman" w:hAnsi="Times New Roman"/>
          <w:color w:val="000000"/>
          <w:szCs w:val="22"/>
          <w:u w:val="single"/>
        </w:rPr>
        <w:t>Glivec 100 mg comprimés pelliculés</w:t>
      </w:r>
    </w:p>
    <w:p w14:paraId="5822F11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Chaque comprimé pelliculé contient 100 mg d'imatinib (sous forme de mésilate).</w:t>
      </w:r>
    </w:p>
    <w:p w14:paraId="4F88574C" w14:textId="77777777" w:rsidR="007D642D" w:rsidRPr="00961E0F" w:rsidRDefault="007D642D">
      <w:pPr>
        <w:widowControl w:val="0"/>
        <w:rPr>
          <w:rFonts w:ascii="Times New Roman" w:hAnsi="Times New Roman"/>
          <w:color w:val="000000"/>
          <w:szCs w:val="22"/>
        </w:rPr>
      </w:pPr>
    </w:p>
    <w:p w14:paraId="3C89EB2E" w14:textId="77777777" w:rsidR="00C5439C" w:rsidRPr="00961E0F" w:rsidRDefault="00C5439C" w:rsidP="000E0F96">
      <w:pPr>
        <w:pStyle w:val="EndnoteText"/>
        <w:keepNext/>
        <w:widowControl w:val="0"/>
        <w:tabs>
          <w:tab w:val="clear" w:pos="567"/>
        </w:tabs>
        <w:rPr>
          <w:color w:val="000000"/>
          <w:szCs w:val="22"/>
          <w:u w:val="single"/>
          <w:lang w:val="fr-FR"/>
        </w:rPr>
      </w:pPr>
      <w:r w:rsidRPr="00961E0F">
        <w:rPr>
          <w:color w:val="000000"/>
          <w:szCs w:val="22"/>
          <w:u w:val="single"/>
          <w:lang w:val="fr-FR"/>
        </w:rPr>
        <w:t>Glivec 400 mg comprimés pelliculés</w:t>
      </w:r>
    </w:p>
    <w:p w14:paraId="1210251F" w14:textId="77777777" w:rsidR="00C5439C" w:rsidRPr="00961E0F" w:rsidRDefault="00C5439C" w:rsidP="00C5439C">
      <w:pPr>
        <w:widowControl w:val="0"/>
        <w:rPr>
          <w:rFonts w:ascii="Times New Roman" w:hAnsi="Times New Roman"/>
          <w:color w:val="000000"/>
          <w:szCs w:val="22"/>
        </w:rPr>
      </w:pPr>
      <w:r w:rsidRPr="00961E0F">
        <w:rPr>
          <w:rFonts w:ascii="Times New Roman" w:hAnsi="Times New Roman"/>
          <w:color w:val="000000"/>
          <w:szCs w:val="22"/>
        </w:rPr>
        <w:t>Chaque comprimé pelliculé contient 100 mg d'imatinib (sous forme de mésilate).</w:t>
      </w:r>
    </w:p>
    <w:p w14:paraId="106CCED6" w14:textId="77777777" w:rsidR="00C5439C" w:rsidRPr="00961E0F" w:rsidRDefault="00C5439C">
      <w:pPr>
        <w:widowControl w:val="0"/>
        <w:rPr>
          <w:rFonts w:ascii="Times New Roman" w:hAnsi="Times New Roman"/>
          <w:color w:val="000000"/>
          <w:szCs w:val="22"/>
        </w:rPr>
      </w:pPr>
    </w:p>
    <w:p w14:paraId="3947A08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Pour la liste complète des excipients, voir rubrique 6.1.</w:t>
      </w:r>
    </w:p>
    <w:p w14:paraId="0BE69BD6" w14:textId="77777777" w:rsidR="007D642D" w:rsidRPr="00961E0F" w:rsidRDefault="007D642D">
      <w:pPr>
        <w:widowControl w:val="0"/>
        <w:rPr>
          <w:rFonts w:ascii="Times New Roman" w:hAnsi="Times New Roman"/>
          <w:color w:val="000000"/>
          <w:szCs w:val="22"/>
        </w:rPr>
      </w:pPr>
    </w:p>
    <w:p w14:paraId="28F52215" w14:textId="77777777" w:rsidR="007D642D" w:rsidRPr="00961E0F" w:rsidRDefault="007D642D">
      <w:pPr>
        <w:widowControl w:val="0"/>
        <w:rPr>
          <w:rFonts w:ascii="Times New Roman" w:hAnsi="Times New Roman"/>
          <w:color w:val="000000"/>
          <w:szCs w:val="22"/>
        </w:rPr>
      </w:pPr>
    </w:p>
    <w:p w14:paraId="5F294217" w14:textId="77777777" w:rsidR="007D642D" w:rsidRPr="00961E0F" w:rsidRDefault="007D642D" w:rsidP="000E0F96">
      <w:pPr>
        <w:keepNext/>
        <w:widowControl w:val="0"/>
        <w:ind w:left="567" w:hanging="567"/>
        <w:rPr>
          <w:rFonts w:ascii="Times New Roman" w:hAnsi="Times New Roman"/>
          <w:caps/>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FORME PHARMACEUTIQUE</w:t>
      </w:r>
    </w:p>
    <w:p w14:paraId="4CD94A9D" w14:textId="77777777" w:rsidR="007D642D" w:rsidRPr="00961E0F" w:rsidRDefault="007D642D" w:rsidP="000E0F96">
      <w:pPr>
        <w:pStyle w:val="EndnoteText"/>
        <w:keepNext/>
        <w:widowControl w:val="0"/>
        <w:tabs>
          <w:tab w:val="clear" w:pos="567"/>
        </w:tabs>
        <w:rPr>
          <w:color w:val="000000"/>
          <w:szCs w:val="22"/>
          <w:lang w:val="fr-FR"/>
        </w:rPr>
      </w:pPr>
    </w:p>
    <w:p w14:paraId="47105635"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Comprimé pelliculé</w:t>
      </w:r>
    </w:p>
    <w:p w14:paraId="58C7FBAE" w14:textId="77777777" w:rsidR="00C53181" w:rsidRPr="00961E0F" w:rsidRDefault="00C53181">
      <w:pPr>
        <w:widowControl w:val="0"/>
        <w:rPr>
          <w:rFonts w:ascii="Times New Roman" w:hAnsi="Times New Roman"/>
          <w:color w:val="000000"/>
          <w:szCs w:val="22"/>
        </w:rPr>
      </w:pPr>
    </w:p>
    <w:p w14:paraId="0B0F268B" w14:textId="77777777" w:rsidR="00C53181" w:rsidRPr="00961E0F" w:rsidRDefault="00C53181" w:rsidP="000E0F96">
      <w:pPr>
        <w:pStyle w:val="EndnoteText"/>
        <w:keepNext/>
        <w:widowControl w:val="0"/>
        <w:tabs>
          <w:tab w:val="clear" w:pos="567"/>
        </w:tabs>
        <w:rPr>
          <w:color w:val="000000"/>
          <w:szCs w:val="22"/>
          <w:u w:val="single"/>
          <w:lang w:val="fr-FR"/>
        </w:rPr>
      </w:pPr>
      <w:r w:rsidRPr="00961E0F">
        <w:rPr>
          <w:color w:val="000000"/>
          <w:szCs w:val="22"/>
          <w:u w:val="single"/>
          <w:lang w:val="fr-FR"/>
        </w:rPr>
        <w:t>Glivec 100 mg comprimés pelliculés</w:t>
      </w:r>
    </w:p>
    <w:p w14:paraId="5F465E4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Comprimé pelliculé jaune très foncé à brun orangé, rond, portant l’inscription « </w:t>
      </w:r>
      <w:smartTag w:uri="urn:schemas-microsoft-com:office:smarttags" w:element="stockticker">
        <w:r w:rsidRPr="00961E0F">
          <w:rPr>
            <w:rFonts w:ascii="Times New Roman" w:hAnsi="Times New Roman"/>
            <w:color w:val="000000"/>
            <w:szCs w:val="22"/>
          </w:rPr>
          <w:t>NVR</w:t>
        </w:r>
      </w:smartTag>
      <w:r w:rsidRPr="00961E0F">
        <w:rPr>
          <w:rFonts w:ascii="Times New Roman" w:hAnsi="Times New Roman"/>
          <w:color w:val="000000"/>
          <w:szCs w:val="22"/>
        </w:rPr>
        <w:t> » sur une face et « SA » sur l’autre (face avec barette de rupture).</w:t>
      </w:r>
    </w:p>
    <w:p w14:paraId="299C14C7" w14:textId="77777777" w:rsidR="007D642D" w:rsidRPr="00961E0F" w:rsidRDefault="007D642D">
      <w:pPr>
        <w:widowControl w:val="0"/>
        <w:rPr>
          <w:rFonts w:ascii="Times New Roman" w:hAnsi="Times New Roman"/>
          <w:color w:val="000000"/>
          <w:szCs w:val="22"/>
        </w:rPr>
      </w:pPr>
    </w:p>
    <w:p w14:paraId="63D5CC3D" w14:textId="77777777" w:rsidR="00C53181" w:rsidRPr="00961E0F" w:rsidRDefault="00C53181" w:rsidP="000E0F96">
      <w:pPr>
        <w:pStyle w:val="EndnoteText"/>
        <w:keepNext/>
        <w:widowControl w:val="0"/>
        <w:tabs>
          <w:tab w:val="clear" w:pos="567"/>
        </w:tabs>
        <w:rPr>
          <w:color w:val="000000"/>
          <w:szCs w:val="22"/>
          <w:u w:val="single"/>
          <w:lang w:val="fr-FR"/>
        </w:rPr>
      </w:pPr>
      <w:r w:rsidRPr="00961E0F">
        <w:rPr>
          <w:color w:val="000000"/>
          <w:szCs w:val="22"/>
          <w:u w:val="single"/>
          <w:lang w:val="fr-FR"/>
        </w:rPr>
        <w:t>Glivec 400 mg comprimés pelliculés</w:t>
      </w:r>
    </w:p>
    <w:p w14:paraId="1C0937F9" w14:textId="77777777" w:rsidR="00D10578" w:rsidRPr="00961E0F" w:rsidRDefault="00D10578" w:rsidP="00D10578">
      <w:pPr>
        <w:widowControl w:val="0"/>
        <w:rPr>
          <w:rFonts w:ascii="Times New Roman" w:hAnsi="Times New Roman"/>
          <w:color w:val="000000"/>
          <w:szCs w:val="22"/>
        </w:rPr>
      </w:pPr>
      <w:r w:rsidRPr="00961E0F">
        <w:rPr>
          <w:rFonts w:ascii="Times New Roman" w:hAnsi="Times New Roman"/>
          <w:color w:val="000000"/>
          <w:szCs w:val="22"/>
        </w:rPr>
        <w:t>Comprimé pelliculé jaune très foncé à brun orangé, ovaloïde, biconvexe, à bords biseautés, portant l’inscription « glivec » gravée sur une face.</w:t>
      </w:r>
    </w:p>
    <w:p w14:paraId="28B50FF1" w14:textId="77777777" w:rsidR="007D642D" w:rsidRPr="00961E0F" w:rsidRDefault="007D642D">
      <w:pPr>
        <w:widowControl w:val="0"/>
        <w:rPr>
          <w:rFonts w:ascii="Times New Roman" w:hAnsi="Times New Roman"/>
          <w:color w:val="000000"/>
          <w:szCs w:val="22"/>
        </w:rPr>
      </w:pPr>
    </w:p>
    <w:p w14:paraId="45316B24" w14:textId="77777777" w:rsidR="007D642D" w:rsidRPr="00961E0F" w:rsidRDefault="007D642D" w:rsidP="000E0F96">
      <w:pPr>
        <w:keepNext/>
        <w:widowControl w:val="0"/>
        <w:ind w:left="567" w:hanging="567"/>
        <w:rPr>
          <w:rFonts w:ascii="Times New Roman" w:hAnsi="Times New Roman"/>
          <w:caps/>
          <w:color w:val="000000"/>
          <w:szCs w:val="22"/>
        </w:rPr>
      </w:pPr>
      <w:r w:rsidRPr="00961E0F">
        <w:rPr>
          <w:rFonts w:ascii="Times New Roman" w:hAnsi="Times New Roman"/>
          <w:b/>
          <w:caps/>
          <w:color w:val="000000"/>
          <w:szCs w:val="22"/>
        </w:rPr>
        <w:t>4.</w:t>
      </w:r>
      <w:r w:rsidRPr="00961E0F">
        <w:rPr>
          <w:rFonts w:ascii="Times New Roman" w:hAnsi="Times New Roman"/>
          <w:b/>
          <w:caps/>
          <w:color w:val="000000"/>
          <w:szCs w:val="22"/>
        </w:rPr>
        <w:tab/>
      </w:r>
      <w:r w:rsidR="00EE7627" w:rsidRPr="00961E0F">
        <w:rPr>
          <w:rFonts w:ascii="Times New Roman" w:hAnsi="Times New Roman"/>
          <w:b/>
          <w:color w:val="000000"/>
          <w:szCs w:val="22"/>
        </w:rPr>
        <w:t xml:space="preserve">INFORMATIONS </w:t>
      </w:r>
      <w:r w:rsidRPr="00961E0F">
        <w:rPr>
          <w:rFonts w:ascii="Times New Roman" w:hAnsi="Times New Roman"/>
          <w:b/>
          <w:color w:val="000000"/>
          <w:szCs w:val="22"/>
        </w:rPr>
        <w:t>CLINIQUES</w:t>
      </w:r>
    </w:p>
    <w:p w14:paraId="13E80EB6" w14:textId="77777777" w:rsidR="007D642D" w:rsidRPr="00961E0F" w:rsidRDefault="007D642D" w:rsidP="000E0F96">
      <w:pPr>
        <w:pStyle w:val="EndnoteText"/>
        <w:keepNext/>
        <w:widowControl w:val="0"/>
        <w:tabs>
          <w:tab w:val="clear" w:pos="567"/>
        </w:tabs>
        <w:rPr>
          <w:color w:val="000000"/>
          <w:szCs w:val="22"/>
          <w:lang w:val="fr-FR"/>
        </w:rPr>
      </w:pPr>
    </w:p>
    <w:p w14:paraId="48890C4C" w14:textId="77777777" w:rsidR="007D642D" w:rsidRPr="00961E0F" w:rsidRDefault="007D642D" w:rsidP="000E0F96">
      <w:pPr>
        <w:keepNext/>
        <w:widowControl w:val="0"/>
        <w:ind w:left="567" w:hanging="567"/>
        <w:rPr>
          <w:rFonts w:ascii="Times New Roman" w:hAnsi="Times New Roman"/>
          <w:color w:val="000000"/>
          <w:szCs w:val="22"/>
        </w:rPr>
      </w:pPr>
      <w:r w:rsidRPr="00961E0F">
        <w:rPr>
          <w:rFonts w:ascii="Times New Roman" w:hAnsi="Times New Roman"/>
          <w:b/>
          <w:color w:val="000000"/>
          <w:szCs w:val="22"/>
        </w:rPr>
        <w:t>4.1</w:t>
      </w:r>
      <w:r w:rsidRPr="00961E0F">
        <w:rPr>
          <w:rFonts w:ascii="Times New Roman" w:hAnsi="Times New Roman"/>
          <w:b/>
          <w:color w:val="000000"/>
          <w:szCs w:val="22"/>
        </w:rPr>
        <w:tab/>
        <w:t>Indications thérapeutiques</w:t>
      </w:r>
    </w:p>
    <w:p w14:paraId="4CA99195" w14:textId="77777777" w:rsidR="007D642D" w:rsidRPr="00961E0F" w:rsidRDefault="007D642D" w:rsidP="000E0F96">
      <w:pPr>
        <w:pStyle w:val="EndnoteText"/>
        <w:keepNext/>
        <w:widowControl w:val="0"/>
        <w:tabs>
          <w:tab w:val="clear" w:pos="567"/>
        </w:tabs>
        <w:rPr>
          <w:color w:val="000000"/>
          <w:szCs w:val="22"/>
          <w:lang w:val="fr-FR"/>
        </w:rPr>
      </w:pPr>
    </w:p>
    <w:p w14:paraId="2042D008"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Glivec est indiqué dans le traitement :</w:t>
      </w:r>
    </w:p>
    <w:p w14:paraId="3E3380A6" w14:textId="77777777" w:rsidR="007D642D" w:rsidRPr="00961E0F" w:rsidRDefault="007D642D">
      <w:pPr>
        <w:pStyle w:val="EndnoteText"/>
        <w:widowControl w:val="0"/>
        <w:numPr>
          <w:ilvl w:val="0"/>
          <w:numId w:val="11"/>
        </w:numPr>
        <w:tabs>
          <w:tab w:val="clear" w:pos="366"/>
          <w:tab w:val="clear" w:pos="567"/>
        </w:tabs>
        <w:ind w:left="567" w:hanging="561"/>
        <w:rPr>
          <w:color w:val="000000"/>
          <w:szCs w:val="22"/>
          <w:lang w:val="fr-FR"/>
        </w:rPr>
      </w:pPr>
      <w:r w:rsidRPr="00961E0F">
        <w:rPr>
          <w:color w:val="000000"/>
          <w:szCs w:val="22"/>
          <w:lang w:val="fr-FR"/>
        </w:rPr>
        <w:t>des patients adultes et enfants atteints de leucémie myéloïde chronique (LMC) chromosome Philadelphie (bcr-abl) positive (Ph+) nouvellement diagnostiquée lorsque la greffe de moelle osseuse ne peut être envisagée comme un traitement de première intention.</w:t>
      </w:r>
    </w:p>
    <w:p w14:paraId="58DB2D8E"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et enfants atteints de LMC Ph+ en phase chronique après échec du traitement par l’interféron alpha, ou en phase accélérée ou en crise blastique.</w:t>
      </w:r>
    </w:p>
    <w:p w14:paraId="6B6F84D6"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 xml:space="preserve">des patients adultes </w:t>
      </w:r>
      <w:r w:rsidR="0001320F" w:rsidRPr="00961E0F">
        <w:rPr>
          <w:color w:val="000000"/>
          <w:szCs w:val="22"/>
          <w:lang w:val="fr-FR"/>
        </w:rPr>
        <w:t xml:space="preserve">et enfants </w:t>
      </w:r>
      <w:r w:rsidRPr="00961E0F">
        <w:rPr>
          <w:color w:val="000000"/>
          <w:szCs w:val="22"/>
          <w:lang w:val="fr-FR"/>
        </w:rPr>
        <w:t>atteints de leucémie aiguë lymphoïde chromosome Philadelphie positive (LAL Ph+) nouvellement diagnostiquée en association avec la chimiothérapie.</w:t>
      </w:r>
    </w:p>
    <w:p w14:paraId="3048074B"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atteints de LAL Ph+ réfractaire ou en rechute en monothérapie.</w:t>
      </w:r>
    </w:p>
    <w:p w14:paraId="564CA455"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des patients adultes atteints de syndromes myélodysplasiques/myéloprolifératifs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associés à des réarrangements du gène du PDGFR (platelet-derived growth factor receptor).</w:t>
      </w:r>
    </w:p>
    <w:p w14:paraId="554933C9" w14:textId="77777777" w:rsidR="007D642D" w:rsidRPr="00961E0F" w:rsidRDefault="007D642D">
      <w:pPr>
        <w:pStyle w:val="EndnoteText"/>
        <w:widowControl w:val="0"/>
        <w:numPr>
          <w:ilvl w:val="0"/>
          <w:numId w:val="10"/>
        </w:numPr>
        <w:tabs>
          <w:tab w:val="clear" w:pos="360"/>
          <w:tab w:val="clear" w:pos="567"/>
        </w:tabs>
        <w:ind w:left="567" w:hanging="567"/>
        <w:rPr>
          <w:color w:val="000000"/>
          <w:szCs w:val="22"/>
          <w:lang w:val="fr-FR"/>
        </w:rPr>
      </w:pPr>
      <w:r w:rsidRPr="00961E0F">
        <w:rPr>
          <w:color w:val="000000"/>
          <w:szCs w:val="22"/>
          <w:lang w:val="fr-FR"/>
        </w:rPr>
        <w:t xml:space="preserve">des patients adultes atteints d’un syndrome hyperéosinophilique (SHE) à un stade avancé et/ou d’une leucémie chronique à éosinophiles (LCE) associés à un réarrangement du </w:t>
      </w:r>
      <w:r w:rsidRPr="00961E0F">
        <w:rPr>
          <w:color w:val="000000"/>
          <w:lang w:val="fr-FR"/>
        </w:rPr>
        <w:t>FIP1L1-PDGFR</w:t>
      </w:r>
      <w:r w:rsidRPr="00961E0F">
        <w:rPr>
          <w:color w:val="000000"/>
        </w:rPr>
        <w:sym w:font="Symbol" w:char="F061"/>
      </w:r>
      <w:r w:rsidRPr="00961E0F">
        <w:rPr>
          <w:color w:val="000000"/>
          <w:szCs w:val="22"/>
          <w:lang w:val="fr-FR"/>
        </w:rPr>
        <w:t>.</w:t>
      </w:r>
    </w:p>
    <w:p w14:paraId="745476DD" w14:textId="77777777" w:rsidR="007D642D" w:rsidRPr="00961E0F" w:rsidRDefault="007D642D">
      <w:pPr>
        <w:pStyle w:val="EndnoteText"/>
        <w:widowControl w:val="0"/>
        <w:tabs>
          <w:tab w:val="clear" w:pos="567"/>
        </w:tabs>
        <w:rPr>
          <w:color w:val="000000"/>
          <w:szCs w:val="22"/>
          <w:lang w:val="fr-FR"/>
        </w:rPr>
      </w:pPr>
    </w:p>
    <w:p w14:paraId="6760FC1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L’effet de Glivec sur l’issue d’une greffe de moelle osseuse n’a pas été évalué.</w:t>
      </w:r>
    </w:p>
    <w:p w14:paraId="0EB4B9E2" w14:textId="77777777" w:rsidR="007D642D" w:rsidRPr="00961E0F" w:rsidRDefault="007D642D">
      <w:pPr>
        <w:pStyle w:val="EndnoteText"/>
        <w:widowControl w:val="0"/>
        <w:tabs>
          <w:tab w:val="clear" w:pos="567"/>
        </w:tabs>
        <w:rPr>
          <w:color w:val="000000"/>
          <w:szCs w:val="22"/>
          <w:lang w:val="fr-FR"/>
        </w:rPr>
      </w:pPr>
    </w:p>
    <w:p w14:paraId="464BC24E"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lastRenderedPageBreak/>
        <w:t>Glivec est indiqué dans</w:t>
      </w:r>
    </w:p>
    <w:p w14:paraId="636A14CF"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des patients adultes atteints de tumeurs stromales gastro-intestinales (GIST - gastrointestinal stromal tumours) malignes Kit (CD 117) positives non résécables et/ou métastatiques.</w:t>
      </w:r>
    </w:p>
    <w:p w14:paraId="77AD274E"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adjuvant des patients adultes présentant un risque significatif de rechute après résection d’une tumeur stromale gastro-intestinale GIST Kit (CD117) positive. Les patients qui présentent un faible ou très faible risque ne doivent pas être traités.</w:t>
      </w:r>
    </w:p>
    <w:p w14:paraId="48C9E0EF" w14:textId="77777777" w:rsidR="007D642D" w:rsidRPr="00961E0F" w:rsidRDefault="007D642D">
      <w:pPr>
        <w:pStyle w:val="EndnoteText"/>
        <w:widowControl w:val="0"/>
        <w:numPr>
          <w:ilvl w:val="0"/>
          <w:numId w:val="12"/>
        </w:numPr>
        <w:tabs>
          <w:tab w:val="clear" w:pos="567"/>
          <w:tab w:val="clear" w:pos="720"/>
        </w:tabs>
        <w:ind w:left="567" w:hanging="567"/>
        <w:rPr>
          <w:color w:val="000000"/>
          <w:szCs w:val="22"/>
          <w:lang w:val="fr-FR"/>
        </w:rPr>
      </w:pPr>
      <w:r w:rsidRPr="00961E0F">
        <w:rPr>
          <w:color w:val="000000"/>
          <w:szCs w:val="22"/>
          <w:lang w:val="fr-FR"/>
        </w:rPr>
        <w:t>le traitement des patients adultes atteints de dermatofibrosarcome protuberans (DFSP ou maladie de Darier-Ferrand) non résécable et patients adultes atteints de DFSP en rechute et/ou métastatique ne relevant pas d’un traitement chirurgical.</w:t>
      </w:r>
    </w:p>
    <w:p w14:paraId="03C70592" w14:textId="77777777" w:rsidR="007D642D" w:rsidRPr="00961E0F" w:rsidRDefault="007D642D">
      <w:pPr>
        <w:pStyle w:val="EndnoteText"/>
        <w:widowControl w:val="0"/>
        <w:tabs>
          <w:tab w:val="clear" w:pos="567"/>
        </w:tabs>
        <w:rPr>
          <w:color w:val="000000"/>
          <w:szCs w:val="22"/>
          <w:lang w:val="fr-FR"/>
        </w:rPr>
      </w:pPr>
    </w:p>
    <w:p w14:paraId="052D763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l’adulte et les patients pédiatriques, l’efficacité de Glivec est basée sur les taux de réponses hématologiques et cytogénétiques globales et la survie sans progression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sur les taux de réponses hématologique et cytogénétique des LAL Ph+, des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sur les taux de réponses hématologiques des SHE/LCE et sur les taux de réponses objectives des patients adultes dans les GIST résécables et/ou métastatiques et les DFSP et la survie sans rechute dans le traitement adjuvant des GIST. L’expérience avec Glivec chez les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associés à des réarrangements du gène du PDGFR est très limitée (voir rubrique 5.1). A l’exception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nouvellement diagnostiquée, il n’existe pas d’étude clinique contrôlée démontrant un bénéfice clinique ou une prolongation de la durée de vie, pour ces maladies.</w:t>
      </w:r>
    </w:p>
    <w:p w14:paraId="3C1D4DC9" w14:textId="77777777" w:rsidR="007D642D" w:rsidRPr="00961E0F" w:rsidRDefault="007D642D">
      <w:pPr>
        <w:widowControl w:val="0"/>
        <w:rPr>
          <w:rFonts w:ascii="Times New Roman" w:hAnsi="Times New Roman"/>
          <w:color w:val="000000"/>
          <w:szCs w:val="22"/>
        </w:rPr>
      </w:pPr>
    </w:p>
    <w:p w14:paraId="4B3DF322" w14:textId="77777777" w:rsidR="007D642D" w:rsidRPr="00961E0F" w:rsidRDefault="007D642D">
      <w:pPr>
        <w:widowControl w:val="0"/>
        <w:ind w:left="567" w:hanging="567"/>
        <w:rPr>
          <w:rFonts w:ascii="Times New Roman" w:hAnsi="Times New Roman"/>
          <w:color w:val="000000"/>
          <w:szCs w:val="22"/>
        </w:rPr>
      </w:pPr>
      <w:r w:rsidRPr="00961E0F">
        <w:rPr>
          <w:rFonts w:ascii="Times New Roman" w:hAnsi="Times New Roman"/>
          <w:b/>
          <w:color w:val="000000"/>
          <w:szCs w:val="22"/>
        </w:rPr>
        <w:t>4.2</w:t>
      </w:r>
      <w:r w:rsidRPr="00961E0F">
        <w:rPr>
          <w:rFonts w:ascii="Times New Roman" w:hAnsi="Times New Roman"/>
          <w:b/>
          <w:color w:val="000000"/>
          <w:szCs w:val="22"/>
        </w:rPr>
        <w:tab/>
        <w:t>Posologie et mode d'administration</w:t>
      </w:r>
    </w:p>
    <w:p w14:paraId="22A53466" w14:textId="77777777" w:rsidR="007D642D" w:rsidRPr="00961E0F" w:rsidRDefault="007D642D">
      <w:pPr>
        <w:pStyle w:val="EndnoteText"/>
        <w:widowControl w:val="0"/>
        <w:tabs>
          <w:tab w:val="clear" w:pos="567"/>
        </w:tabs>
        <w:rPr>
          <w:color w:val="000000"/>
          <w:szCs w:val="22"/>
          <w:lang w:val="fr-FR"/>
        </w:rPr>
      </w:pPr>
    </w:p>
    <w:p w14:paraId="36D7E6C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traitement doit être instauré par un médecin ayant l’expérience du traitement des hémopathies malignes ou des sarcomes.</w:t>
      </w:r>
    </w:p>
    <w:p w14:paraId="13BC2859" w14:textId="77777777" w:rsidR="007D642D" w:rsidRPr="00961E0F" w:rsidRDefault="007D642D">
      <w:pPr>
        <w:pStyle w:val="EndnoteText"/>
        <w:widowControl w:val="0"/>
        <w:tabs>
          <w:tab w:val="clear" w:pos="567"/>
        </w:tabs>
        <w:rPr>
          <w:color w:val="000000"/>
          <w:szCs w:val="22"/>
          <w:lang w:val="fr-FR"/>
        </w:rPr>
      </w:pPr>
    </w:p>
    <w:p w14:paraId="34649495" w14:textId="77777777" w:rsidR="009A531A" w:rsidRPr="00961E0F" w:rsidRDefault="009A531A">
      <w:pPr>
        <w:pStyle w:val="EndnoteText"/>
        <w:widowControl w:val="0"/>
        <w:tabs>
          <w:tab w:val="clear" w:pos="567"/>
        </w:tabs>
        <w:rPr>
          <w:color w:val="000000"/>
          <w:szCs w:val="22"/>
          <w:lang w:val="fr-FR"/>
        </w:rPr>
      </w:pPr>
      <w:r w:rsidRPr="00961E0F">
        <w:rPr>
          <w:color w:val="000000"/>
          <w:szCs w:val="22"/>
          <w:lang w:val="fr-FR"/>
        </w:rPr>
        <w:t>Pour toutes les autres doses que 400 mg et 800 mg (voir les recommandations de doses ci-dessous) un comprimé à 100 mg sécable est disponible.</w:t>
      </w:r>
    </w:p>
    <w:p w14:paraId="11A4DF1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Pour les doses de 400 mg et plus (voir les recommandations de doses ci-dessous), un comprimé à 400 mg (non sécable) est disponible.</w:t>
      </w:r>
    </w:p>
    <w:p w14:paraId="7D0F295A" w14:textId="77777777" w:rsidR="007D642D" w:rsidRPr="00961E0F" w:rsidRDefault="007D642D">
      <w:pPr>
        <w:pStyle w:val="EndnoteText"/>
        <w:widowControl w:val="0"/>
        <w:tabs>
          <w:tab w:val="clear" w:pos="567"/>
        </w:tabs>
        <w:rPr>
          <w:color w:val="000000"/>
          <w:szCs w:val="22"/>
          <w:lang w:val="fr-FR"/>
        </w:rPr>
      </w:pPr>
    </w:p>
    <w:p w14:paraId="49B2642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prescrite doit être administrée par voie orale avec un grand verre d'eau, au cours d'un repas pour réduire le risque d’irritations gastrointestinales. Les doses de 400 mg ou 600 mg devront être administrées en une prise par jour, tandis que la dose journalière de 800 mg devra être répartie en deux prises de 400 mg par jour, matin et soir.</w:t>
      </w:r>
    </w:p>
    <w:p w14:paraId="5BB8C26C" w14:textId="77777777" w:rsidR="007D642D" w:rsidRPr="00961E0F" w:rsidRDefault="007D642D">
      <w:pPr>
        <w:pStyle w:val="EndnoteText"/>
        <w:widowControl w:val="0"/>
        <w:tabs>
          <w:tab w:val="clear" w:pos="567"/>
        </w:tabs>
        <w:rPr>
          <w:color w:val="000000"/>
          <w:szCs w:val="22"/>
          <w:lang w:val="fr-FR"/>
        </w:rPr>
      </w:pPr>
    </w:p>
    <w:p w14:paraId="5A07810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Pour les patients incapables d'avaler les comprimés pelliculés, il est possible de disperser ces comprimés dans un verre d'eau </w:t>
      </w:r>
      <w:r w:rsidR="00121B2A" w:rsidRPr="00961E0F">
        <w:rPr>
          <w:color w:val="000000"/>
          <w:szCs w:val="22"/>
          <w:lang w:val="fr-FR"/>
        </w:rPr>
        <w:t xml:space="preserve">plate </w:t>
      </w:r>
      <w:r w:rsidRPr="00961E0F">
        <w:rPr>
          <w:color w:val="000000"/>
          <w:szCs w:val="22"/>
          <w:lang w:val="fr-FR"/>
        </w:rPr>
        <w:t>ou de jus de pomme. Le nombre de comprimés requis devra être placé dans un volume de boisson approprié (approximativement 50 ml pour un comprimé à 100 mg et 200 ml pour un comprimé à 400 mg) et être remué avec une cuillère. La suspension devra être administrée immédiatement après désagrégation complète du (des) comprimé(s).</w:t>
      </w:r>
    </w:p>
    <w:p w14:paraId="6CEEA510" w14:textId="77777777" w:rsidR="007D642D" w:rsidRPr="00961E0F" w:rsidRDefault="007D642D">
      <w:pPr>
        <w:pStyle w:val="EndnoteText"/>
        <w:widowControl w:val="0"/>
        <w:tabs>
          <w:tab w:val="clear" w:pos="567"/>
        </w:tabs>
        <w:rPr>
          <w:color w:val="000000"/>
          <w:szCs w:val="22"/>
          <w:lang w:val="fr-FR"/>
        </w:rPr>
      </w:pPr>
    </w:p>
    <w:p w14:paraId="1A3F52BF"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 xml:space="preserve">Posologie dans </w:t>
      </w:r>
      <w:smartTag w:uri="urn:schemas-microsoft-com:office:smarttags" w:element="PersonName">
        <w:smartTagPr>
          <w:attr w:name="ProductID" w:val="la LMC"/>
        </w:smartTagPr>
        <w:r w:rsidRPr="00961E0F">
          <w:rPr>
            <w:color w:val="000000"/>
            <w:szCs w:val="22"/>
            <w:u w:val="single"/>
            <w:lang w:val="fr-FR"/>
          </w:rPr>
          <w:t>la LMC</w:t>
        </w:r>
      </w:smartTag>
      <w:r w:rsidRPr="00961E0F">
        <w:rPr>
          <w:color w:val="000000"/>
          <w:szCs w:val="22"/>
          <w:u w:val="single"/>
          <w:lang w:val="fr-FR"/>
        </w:rPr>
        <w:t xml:space="preserve"> chez l’adulte</w:t>
      </w:r>
    </w:p>
    <w:p w14:paraId="0A562DA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Patients adultes en phase chronique de LMC : la posologie recommandée est de 400 mg/j. La phase chronique est définie par l’ensemble des critères suivants : blastes &lt; 15% dans le sang et la moelle osseuse, basophiles dans le sang &lt; 20%, plaquettes &gt; 100 x 10</w:t>
      </w:r>
      <w:r w:rsidRPr="00961E0F">
        <w:rPr>
          <w:color w:val="000000"/>
          <w:szCs w:val="22"/>
          <w:vertAlign w:val="superscript"/>
          <w:lang w:val="fr-FR"/>
        </w:rPr>
        <w:t>9</w:t>
      </w:r>
      <w:r w:rsidRPr="00961E0F">
        <w:rPr>
          <w:color w:val="000000"/>
          <w:szCs w:val="22"/>
          <w:lang w:val="fr-FR"/>
        </w:rPr>
        <w:t>/l.</w:t>
      </w:r>
    </w:p>
    <w:p w14:paraId="2721FEFD" w14:textId="77777777" w:rsidR="007D642D" w:rsidRPr="00961E0F" w:rsidRDefault="007D642D">
      <w:pPr>
        <w:pStyle w:val="EndnoteText"/>
        <w:widowControl w:val="0"/>
        <w:tabs>
          <w:tab w:val="clear" w:pos="567"/>
        </w:tabs>
        <w:rPr>
          <w:color w:val="000000"/>
          <w:szCs w:val="22"/>
          <w:lang w:val="fr-FR"/>
        </w:rPr>
      </w:pPr>
    </w:p>
    <w:p w14:paraId="5E4006E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Patients adultes en phase accélérée : la posologie recommandée est de 600 mg/j. La phase accélérée est définie par la présence d’un des critères suivants : blastes </w:t>
      </w:r>
      <w:r w:rsidRPr="00961E0F">
        <w:rPr>
          <w:color w:val="000000"/>
          <w:szCs w:val="22"/>
          <w:lang w:val="fr-FR"/>
        </w:rPr>
        <w:sym w:font="Symbol" w:char="F0B3"/>
      </w:r>
      <w:r w:rsidRPr="00961E0F">
        <w:rPr>
          <w:color w:val="000000"/>
          <w:szCs w:val="22"/>
          <w:lang w:val="fr-FR"/>
        </w:rPr>
        <w:t xml:space="preserve"> 15% mais &lt; 30% dans le sang ou la mœlle osseuse, blastes plus promyélocytes </w:t>
      </w:r>
      <w:r w:rsidRPr="00961E0F">
        <w:rPr>
          <w:color w:val="000000"/>
          <w:szCs w:val="22"/>
          <w:lang w:val="fr-FR"/>
        </w:rPr>
        <w:sym w:font="Symbol" w:char="F0B3"/>
      </w:r>
      <w:r w:rsidRPr="00961E0F">
        <w:rPr>
          <w:color w:val="000000"/>
          <w:szCs w:val="22"/>
          <w:lang w:val="fr-FR"/>
        </w:rPr>
        <w:t xml:space="preserve"> 30% dans le sang ou la moelle osseuse (à condition que blastes &lt; 30%), basophiles dans le sang </w:t>
      </w:r>
      <w:r w:rsidRPr="00961E0F">
        <w:rPr>
          <w:color w:val="000000"/>
          <w:szCs w:val="22"/>
          <w:lang w:val="fr-FR"/>
        </w:rPr>
        <w:sym w:font="Symbol" w:char="F0B3"/>
      </w:r>
      <w:r w:rsidRPr="00961E0F">
        <w:rPr>
          <w:color w:val="000000"/>
          <w:szCs w:val="22"/>
          <w:lang w:val="fr-FR"/>
        </w:rPr>
        <w:t> 20%, plaquettes &lt; 100 x 10</w:t>
      </w:r>
      <w:r w:rsidRPr="00961E0F">
        <w:rPr>
          <w:color w:val="000000"/>
          <w:szCs w:val="22"/>
          <w:vertAlign w:val="superscript"/>
          <w:lang w:val="fr-FR"/>
        </w:rPr>
        <w:t>9</w:t>
      </w:r>
      <w:r w:rsidRPr="00961E0F">
        <w:rPr>
          <w:color w:val="000000"/>
          <w:szCs w:val="22"/>
          <w:lang w:val="fr-FR"/>
        </w:rPr>
        <w:t>/l indépendamment du traitement.</w:t>
      </w:r>
    </w:p>
    <w:p w14:paraId="5955A156" w14:textId="77777777" w:rsidR="007D642D" w:rsidRPr="00961E0F" w:rsidRDefault="007D642D">
      <w:pPr>
        <w:pStyle w:val="EndnoteText"/>
        <w:widowControl w:val="0"/>
        <w:tabs>
          <w:tab w:val="clear" w:pos="567"/>
        </w:tabs>
        <w:rPr>
          <w:color w:val="000000"/>
          <w:szCs w:val="22"/>
          <w:lang w:val="fr-FR"/>
        </w:rPr>
      </w:pPr>
    </w:p>
    <w:p w14:paraId="451B3CC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Patients adultes en crise blastique : la posologie recommandée est de 600 mg/j. La crise blastique est définie par la présence de blastes </w:t>
      </w:r>
      <w:r w:rsidRPr="00961E0F">
        <w:rPr>
          <w:color w:val="000000"/>
          <w:szCs w:val="22"/>
          <w:lang w:val="fr-FR"/>
        </w:rPr>
        <w:sym w:font="Symbol" w:char="F0B3"/>
      </w:r>
      <w:r w:rsidRPr="00961E0F">
        <w:rPr>
          <w:color w:val="000000"/>
          <w:szCs w:val="22"/>
          <w:lang w:val="fr-FR"/>
        </w:rPr>
        <w:t> 30% dans le sang ou la moelle osseuse ou un envahissement extramédullaire autre qu’une hépatosplénomégalie.</w:t>
      </w:r>
    </w:p>
    <w:p w14:paraId="40F784A5" w14:textId="77777777" w:rsidR="007D642D" w:rsidRPr="00961E0F" w:rsidRDefault="007D642D">
      <w:pPr>
        <w:pStyle w:val="EndnoteText"/>
        <w:widowControl w:val="0"/>
        <w:tabs>
          <w:tab w:val="clear" w:pos="567"/>
        </w:tabs>
        <w:rPr>
          <w:color w:val="000000"/>
          <w:szCs w:val="22"/>
          <w:lang w:val="fr-FR"/>
        </w:rPr>
      </w:pPr>
    </w:p>
    <w:p w14:paraId="72A88C6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lastRenderedPageBreak/>
        <w:t>Durée du traitement : dans les études cliniques, le traitement est poursuivi jusqu’à progression de la maladie. L’effet de l’arrêt du traitement après l’obtention d’une réponse cytogénétique complète n’a pas été étudié.</w:t>
      </w:r>
    </w:p>
    <w:p w14:paraId="47200D4F" w14:textId="77777777" w:rsidR="007D642D" w:rsidRPr="00961E0F" w:rsidRDefault="007D642D">
      <w:pPr>
        <w:pStyle w:val="EndnoteText"/>
        <w:widowControl w:val="0"/>
        <w:tabs>
          <w:tab w:val="clear" w:pos="567"/>
        </w:tabs>
        <w:rPr>
          <w:color w:val="000000"/>
          <w:szCs w:val="22"/>
          <w:lang w:val="fr-FR"/>
        </w:rPr>
      </w:pPr>
    </w:p>
    <w:p w14:paraId="33AB762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l’absence d'effets indésirables sévères et de neutropénie ou de thrombopénie sévères non imputables à la leucémie, une augmentation de la dose peut être envisagée, de 400 mg à 600 mg ou 800 mg, chez les patients en phase chronique, ou de 600 mg à un maximum de 800 mg (en deux prises de 400 mg par jour) chez les patients en phase accélérée ou en crise blastique, dans les circonstances suivantes : évolution de la maladie (à tout moment), absence de réponse hématologique satisfaisante après un minimum de 3 mois de traitement, absence de réponse cytogénétique après 12 mois de traitement, ou perte de la réponse hématologique et/ou cytogénétique obtenue auparavant. Les patients devront être surveillés étroitement après augmentation de la dose étant donnée la possibilité d’une incidence accrue des effets indésirables à plus fortes doses.</w:t>
      </w:r>
    </w:p>
    <w:p w14:paraId="53DF8F14" w14:textId="77777777" w:rsidR="007D642D" w:rsidRPr="00961E0F" w:rsidRDefault="007D642D">
      <w:pPr>
        <w:pStyle w:val="EndnoteText"/>
        <w:widowControl w:val="0"/>
        <w:tabs>
          <w:tab w:val="clear" w:pos="567"/>
        </w:tabs>
        <w:rPr>
          <w:color w:val="000000"/>
          <w:szCs w:val="22"/>
          <w:lang w:val="fr-FR"/>
        </w:rPr>
      </w:pPr>
    </w:p>
    <w:p w14:paraId="4280C9DB"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 xml:space="preserve">Posologie dans </w:t>
      </w:r>
      <w:smartTag w:uri="urn:schemas-microsoft-com:office:smarttags" w:element="PersonName">
        <w:smartTagPr>
          <w:attr w:name="ProductID" w:val="la LMC"/>
        </w:smartTagPr>
        <w:r w:rsidRPr="00961E0F">
          <w:rPr>
            <w:color w:val="000000"/>
            <w:szCs w:val="22"/>
            <w:u w:val="single"/>
            <w:lang w:val="fr-FR"/>
          </w:rPr>
          <w:t>la LMC</w:t>
        </w:r>
      </w:smartTag>
      <w:r w:rsidRPr="00961E0F">
        <w:rPr>
          <w:color w:val="000000"/>
          <w:szCs w:val="22"/>
          <w:u w:val="single"/>
          <w:lang w:val="fr-FR"/>
        </w:rPr>
        <w:t xml:space="preserve"> chez l’enfant</w:t>
      </w:r>
    </w:p>
    <w:p w14:paraId="61CCBD5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l'enfant, la posologie devra être établie en fonction de la surface corporelle (mg/m</w:t>
      </w:r>
      <w:r w:rsidRPr="00961E0F">
        <w:rPr>
          <w:color w:val="000000"/>
          <w:szCs w:val="22"/>
          <w:vertAlign w:val="superscript"/>
          <w:lang w:val="fr-FR"/>
        </w:rPr>
        <w:t>2</w:t>
      </w:r>
      <w:r w:rsidRPr="00961E0F">
        <w:rPr>
          <w:color w:val="000000"/>
          <w:szCs w:val="22"/>
          <w:lang w:val="fr-FR"/>
        </w:rPr>
        <w:t>). La dose journalière recommandée chez l'enfant est de 340 mg/m</w:t>
      </w:r>
      <w:r w:rsidRPr="00961E0F">
        <w:rPr>
          <w:color w:val="000000"/>
          <w:szCs w:val="22"/>
          <w:vertAlign w:val="superscript"/>
          <w:lang w:val="fr-FR"/>
        </w:rPr>
        <w:t>2</w:t>
      </w:r>
      <w:r w:rsidRPr="00961E0F">
        <w:rPr>
          <w:color w:val="000000"/>
          <w:szCs w:val="22"/>
          <w:lang w:val="fr-FR"/>
        </w:rPr>
        <w:t xml:space="preserve">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et dans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avancée (ne doit pas dépasser une dose totale de 800 mg). Le traitement peut être administré en une prise quotidienne ou bien être divisé en deux prises (une le matin et une le soir). Ces recommandations posologiques reposent actuellement sur un faible nombre d’enfants (voir rubriques 5.1 et 5.2). On ne dispose d'aucune donnée chez l'enfant de moins de 2 ans.</w:t>
      </w:r>
    </w:p>
    <w:p w14:paraId="0689545B" w14:textId="77777777" w:rsidR="007D642D" w:rsidRPr="00961E0F" w:rsidRDefault="007D642D">
      <w:pPr>
        <w:pStyle w:val="EndnoteText"/>
        <w:widowControl w:val="0"/>
        <w:tabs>
          <w:tab w:val="clear" w:pos="567"/>
        </w:tabs>
        <w:rPr>
          <w:color w:val="000000"/>
          <w:szCs w:val="22"/>
          <w:lang w:val="fr-FR"/>
        </w:rPr>
      </w:pPr>
    </w:p>
    <w:p w14:paraId="5D75EA0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L’augmentation de doses de 340 mg/m</w:t>
      </w:r>
      <w:r w:rsidRPr="00961E0F">
        <w:rPr>
          <w:color w:val="000000"/>
          <w:szCs w:val="22"/>
          <w:vertAlign w:val="superscript"/>
          <w:lang w:val="fr-FR"/>
        </w:rPr>
        <w:t>2</w:t>
      </w:r>
      <w:r w:rsidRPr="00961E0F">
        <w:rPr>
          <w:color w:val="000000"/>
          <w:szCs w:val="22"/>
          <w:lang w:val="fr-FR"/>
        </w:rPr>
        <w:t xml:space="preserve"> jusqu’à 570 mg/m</w:t>
      </w:r>
      <w:r w:rsidRPr="00961E0F">
        <w:rPr>
          <w:color w:val="000000"/>
          <w:szCs w:val="22"/>
          <w:vertAlign w:val="superscript"/>
          <w:lang w:val="fr-FR"/>
        </w:rPr>
        <w:t>2</w:t>
      </w:r>
      <w:r w:rsidRPr="00961E0F">
        <w:rPr>
          <w:color w:val="000000"/>
          <w:szCs w:val="22"/>
          <w:lang w:val="fr-FR"/>
        </w:rPr>
        <w:t xml:space="preserve"> par jour (sans dépasser la dose totale de 800 mg) peut être envisagée chez l’enfant en l’absence d’effets indésirables graves et de neutropénie ou thrombopénie sévères non liées à la leucémie dans les circonstances suivantes : progression de la maladie (à n’importe quel moment) ; absence de réponse hématologique satisfaisante après au moins 3 mois de traitement ; absence de réponse cytogénétique après 12 mois de traitement ; ou perte d’une réponse hématologique et/ou cytogénétique antérieure. Les patients devront être surveillés attentivement au cours des escalades de doses compte tenu du risque accru d’effets indésirables à des doses plus élevées.</w:t>
      </w:r>
    </w:p>
    <w:p w14:paraId="0FA090AD" w14:textId="77777777" w:rsidR="007D642D" w:rsidRPr="00961E0F" w:rsidRDefault="007D642D">
      <w:pPr>
        <w:pStyle w:val="EndnoteText"/>
        <w:widowControl w:val="0"/>
        <w:tabs>
          <w:tab w:val="clear" w:pos="567"/>
        </w:tabs>
        <w:rPr>
          <w:color w:val="000000"/>
          <w:szCs w:val="22"/>
          <w:lang w:val="fr-FR"/>
        </w:rPr>
      </w:pPr>
    </w:p>
    <w:p w14:paraId="1DDAE6CF"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LAL Ph+</w:t>
      </w:r>
      <w:r w:rsidR="0001320F" w:rsidRPr="00961E0F">
        <w:rPr>
          <w:color w:val="000000"/>
          <w:szCs w:val="22"/>
          <w:u w:val="single"/>
          <w:lang w:val="fr-FR"/>
        </w:rPr>
        <w:t xml:space="preserve"> chez l’adulte</w:t>
      </w:r>
    </w:p>
    <w:p w14:paraId="71D5623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posologie recommandée de Glivec est de 600 mg/jour chez les patients adultes atteints de LAL Ph+. Le traitement devrait être supervisé par des hématologues experts dans la prise en charge de cette maladie pour toutes les phases de traitement.</w:t>
      </w:r>
    </w:p>
    <w:p w14:paraId="2226FCEE" w14:textId="77777777" w:rsidR="007D642D" w:rsidRPr="00961E0F" w:rsidRDefault="007D642D">
      <w:pPr>
        <w:pStyle w:val="EndnoteText"/>
        <w:widowControl w:val="0"/>
        <w:tabs>
          <w:tab w:val="clear" w:pos="567"/>
        </w:tabs>
        <w:rPr>
          <w:color w:val="000000"/>
          <w:szCs w:val="22"/>
          <w:lang w:val="fr-FR"/>
        </w:rPr>
      </w:pPr>
    </w:p>
    <w:p w14:paraId="4CC1FB9F" w14:textId="29537CA3"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Schéma thérapeutique : Sur la base des données existantes, Glivec s’est montré efficace et </w:t>
      </w:r>
      <w:r w:rsidR="00D747B9">
        <w:rPr>
          <w:color w:val="000000"/>
          <w:szCs w:val="22"/>
          <w:lang w:val="fr-FR"/>
        </w:rPr>
        <w:t>bien toléré</w:t>
      </w:r>
      <w:r w:rsidR="00D747B9" w:rsidRPr="00961E0F">
        <w:rPr>
          <w:color w:val="000000"/>
          <w:szCs w:val="22"/>
          <w:lang w:val="fr-FR"/>
        </w:rPr>
        <w:t xml:space="preserve"> </w:t>
      </w:r>
      <w:r w:rsidRPr="00961E0F">
        <w:rPr>
          <w:color w:val="000000"/>
          <w:szCs w:val="22"/>
          <w:lang w:val="fr-FR"/>
        </w:rPr>
        <w:t>lorsqu’il est administré à 600 mg/j en association à une chimiothérapie d’induction, de consolidation et d’entretien utilisée des LAL Ph+ nouvellement diagnostiquées de l’adulte (voir rubrique 5.1). La durée de traitement par Glivec peut varier en fonction du traitement appliqué, mais généralement les traitements prolongés de Glivec ont fourni de meilleurs résultats.</w:t>
      </w:r>
    </w:p>
    <w:p w14:paraId="48DECF57" w14:textId="77777777" w:rsidR="007D642D" w:rsidRPr="00961E0F" w:rsidRDefault="007D642D">
      <w:pPr>
        <w:pStyle w:val="EndnoteText"/>
        <w:widowControl w:val="0"/>
        <w:tabs>
          <w:tab w:val="clear" w:pos="567"/>
        </w:tabs>
        <w:rPr>
          <w:color w:val="000000"/>
          <w:szCs w:val="22"/>
          <w:lang w:val="fr-FR"/>
        </w:rPr>
      </w:pPr>
    </w:p>
    <w:p w14:paraId="26C5088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Chez les patients adultes atteints de LAL Ph+ en rechute ou réfractaire, une monothérapie par Glivec à la dose de 600 mg/j est sure, efficace et peut être poursuivie jusqu’à la progression de la maladie.</w:t>
      </w:r>
    </w:p>
    <w:p w14:paraId="6FE43D23" w14:textId="77777777" w:rsidR="007D642D" w:rsidRPr="00961E0F" w:rsidRDefault="007D642D">
      <w:pPr>
        <w:pStyle w:val="EndnoteText"/>
        <w:widowControl w:val="0"/>
        <w:tabs>
          <w:tab w:val="clear" w:pos="567"/>
        </w:tabs>
        <w:rPr>
          <w:color w:val="000000"/>
          <w:szCs w:val="22"/>
          <w:lang w:val="fr-FR"/>
        </w:rPr>
      </w:pPr>
    </w:p>
    <w:p w14:paraId="220A66B8" w14:textId="77777777" w:rsidR="0001320F" w:rsidRPr="00961E0F" w:rsidRDefault="0001320F" w:rsidP="00B92E0B">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LAL Ph+ chez l’enfant</w:t>
      </w:r>
    </w:p>
    <w:p w14:paraId="04137631" w14:textId="77777777" w:rsidR="0001320F" w:rsidRPr="00961E0F" w:rsidRDefault="0001320F" w:rsidP="0001320F">
      <w:pPr>
        <w:pStyle w:val="EndnoteText"/>
        <w:widowControl w:val="0"/>
        <w:tabs>
          <w:tab w:val="clear" w:pos="567"/>
        </w:tabs>
        <w:rPr>
          <w:color w:val="000000"/>
          <w:szCs w:val="22"/>
          <w:lang w:val="fr-FR"/>
        </w:rPr>
      </w:pPr>
      <w:r w:rsidRPr="00961E0F">
        <w:rPr>
          <w:color w:val="000000"/>
          <w:szCs w:val="22"/>
          <w:lang w:val="fr-FR"/>
        </w:rPr>
        <w:t>Chez l’enfant, la posologie devra être établie en fonction de la surface corporelle (mg/m</w:t>
      </w:r>
      <w:r w:rsidRPr="00961E0F">
        <w:rPr>
          <w:color w:val="000000"/>
          <w:szCs w:val="22"/>
          <w:vertAlign w:val="superscript"/>
          <w:lang w:val="fr-FR"/>
        </w:rPr>
        <w:t>2</w:t>
      </w:r>
      <w:r w:rsidRPr="00961E0F">
        <w:rPr>
          <w:color w:val="000000"/>
          <w:szCs w:val="22"/>
          <w:lang w:val="fr-FR"/>
        </w:rPr>
        <w:t>). Dans les LAL Ph+, la dose journalière recommandée chez l’enfant est de 340 mg/m</w:t>
      </w:r>
      <w:r w:rsidRPr="00961E0F">
        <w:rPr>
          <w:color w:val="000000"/>
          <w:szCs w:val="22"/>
          <w:vertAlign w:val="superscript"/>
          <w:lang w:val="fr-FR"/>
        </w:rPr>
        <w:t>2</w:t>
      </w:r>
      <w:r w:rsidRPr="00961E0F">
        <w:rPr>
          <w:color w:val="000000"/>
          <w:szCs w:val="22"/>
          <w:lang w:val="fr-FR"/>
        </w:rPr>
        <w:t xml:space="preserve"> (sans dépasser une dose totale de 600 mg).</w:t>
      </w:r>
    </w:p>
    <w:p w14:paraId="79A9E501" w14:textId="77777777" w:rsidR="0001320F" w:rsidRPr="00961E0F" w:rsidRDefault="0001320F">
      <w:pPr>
        <w:pStyle w:val="EndnoteText"/>
        <w:widowControl w:val="0"/>
        <w:tabs>
          <w:tab w:val="clear" w:pos="567"/>
        </w:tabs>
        <w:rPr>
          <w:color w:val="000000"/>
          <w:szCs w:val="22"/>
          <w:lang w:val="fr-FR"/>
        </w:rPr>
      </w:pPr>
    </w:p>
    <w:p w14:paraId="05C341D7"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 xml:space="preserve">Posologie dans les </w:t>
      </w:r>
      <w:smartTag w:uri="urn:schemas-microsoft-com:office:smarttags" w:element="stockticker">
        <w:r w:rsidRPr="00961E0F">
          <w:rPr>
            <w:color w:val="000000"/>
            <w:szCs w:val="22"/>
            <w:u w:val="single"/>
            <w:lang w:val="fr-FR"/>
          </w:rPr>
          <w:t>SMD</w:t>
        </w:r>
      </w:smartTag>
      <w:r w:rsidRPr="00961E0F">
        <w:rPr>
          <w:color w:val="000000"/>
          <w:szCs w:val="22"/>
          <w:u w:val="single"/>
          <w:lang w:val="fr-FR"/>
        </w:rPr>
        <w:t>/</w:t>
      </w:r>
      <w:smartTag w:uri="urn:schemas-microsoft-com:office:smarttags" w:element="stockticker">
        <w:r w:rsidRPr="00961E0F">
          <w:rPr>
            <w:color w:val="000000"/>
            <w:szCs w:val="22"/>
            <w:u w:val="single"/>
            <w:lang w:val="fr-FR"/>
          </w:rPr>
          <w:t>SMP</w:t>
        </w:r>
      </w:smartTag>
    </w:p>
    <w:p w14:paraId="2EC18CE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posologie recommandée de Glivec est de 400 mg/jour chez les patients adultes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w:t>
      </w:r>
    </w:p>
    <w:p w14:paraId="5248464D" w14:textId="77777777" w:rsidR="007D642D" w:rsidRPr="00961E0F" w:rsidRDefault="007D642D">
      <w:pPr>
        <w:pStyle w:val="EndnoteText"/>
        <w:widowControl w:val="0"/>
        <w:tabs>
          <w:tab w:val="clear" w:pos="567"/>
        </w:tabs>
        <w:rPr>
          <w:color w:val="000000"/>
          <w:szCs w:val="22"/>
          <w:lang w:val="fr-FR"/>
        </w:rPr>
      </w:pPr>
    </w:p>
    <w:p w14:paraId="39BDC88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durée de traitement : dans l’unique étude clinique menée à ce jour, le traitement par Glivec a été poursuivi jusqu’à la progression de la maladie (voir rubrique 5.1). A la date de l’analyse, la durée médiane de traitement était de 47 mois (24 jours à 60 mois).</w:t>
      </w:r>
    </w:p>
    <w:p w14:paraId="40C27A45" w14:textId="77777777" w:rsidR="007D642D" w:rsidRPr="00961E0F" w:rsidRDefault="007D642D">
      <w:pPr>
        <w:pStyle w:val="EndnoteText"/>
        <w:widowControl w:val="0"/>
        <w:tabs>
          <w:tab w:val="clear" w:pos="567"/>
        </w:tabs>
        <w:rPr>
          <w:color w:val="000000"/>
          <w:szCs w:val="22"/>
          <w:lang w:val="fr-FR"/>
        </w:rPr>
      </w:pPr>
    </w:p>
    <w:p w14:paraId="7FD98EBE"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SHE/LCE</w:t>
      </w:r>
    </w:p>
    <w:p w14:paraId="5845FB8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recommandée de Glivec est de 100 mg/jour chez les patients adultes atteints de SHE/LCE.</w:t>
      </w:r>
    </w:p>
    <w:p w14:paraId="0FCEF7C2" w14:textId="77777777" w:rsidR="007D642D" w:rsidRPr="00961E0F" w:rsidRDefault="007D642D">
      <w:pPr>
        <w:pStyle w:val="EndnoteText"/>
        <w:widowControl w:val="0"/>
        <w:tabs>
          <w:tab w:val="clear" w:pos="567"/>
        </w:tabs>
        <w:rPr>
          <w:color w:val="000000"/>
          <w:szCs w:val="22"/>
          <w:lang w:val="fr-FR"/>
        </w:rPr>
      </w:pPr>
    </w:p>
    <w:p w14:paraId="12038A2C" w14:textId="77777777" w:rsidR="007D642D" w:rsidRPr="00961E0F" w:rsidRDefault="007D642D">
      <w:pPr>
        <w:pStyle w:val="EndnoteText"/>
        <w:widowControl w:val="0"/>
        <w:tabs>
          <w:tab w:val="clear" w:pos="567"/>
        </w:tabs>
        <w:rPr>
          <w:rFonts w:eastAsia="MS Mincho"/>
          <w:color w:val="000000"/>
          <w:szCs w:val="22"/>
          <w:lang w:val="fr-FR" w:eastAsia="ja-JP"/>
        </w:rPr>
      </w:pPr>
      <w:r w:rsidRPr="00961E0F">
        <w:rPr>
          <w:color w:val="000000"/>
          <w:lang w:val="fr-FR"/>
        </w:rPr>
        <w:t>Une augmentation de dose de 100 mg à 400 mg chez ces patients peut être envisagée si la réponse au traitement est insuffisante et en l’absence d’effets indésirables</w:t>
      </w:r>
      <w:r w:rsidRPr="00961E0F">
        <w:rPr>
          <w:rFonts w:eastAsia="MS Mincho"/>
          <w:color w:val="000000"/>
          <w:szCs w:val="22"/>
          <w:lang w:val="fr-FR" w:eastAsia="ja-JP"/>
        </w:rPr>
        <w:t>.</w:t>
      </w:r>
    </w:p>
    <w:p w14:paraId="2CD87268" w14:textId="77777777" w:rsidR="007D642D" w:rsidRPr="00961E0F" w:rsidRDefault="007D642D">
      <w:pPr>
        <w:pStyle w:val="EndnoteText"/>
        <w:widowControl w:val="0"/>
        <w:tabs>
          <w:tab w:val="clear" w:pos="567"/>
        </w:tabs>
        <w:rPr>
          <w:rFonts w:eastAsia="MS Mincho"/>
          <w:color w:val="000000"/>
          <w:szCs w:val="22"/>
          <w:lang w:val="fr-FR" w:eastAsia="ja-JP"/>
        </w:rPr>
      </w:pPr>
    </w:p>
    <w:p w14:paraId="06A9D102" w14:textId="77777777" w:rsidR="007D642D" w:rsidRPr="00961E0F" w:rsidRDefault="007D642D">
      <w:pPr>
        <w:pStyle w:val="EndnoteText"/>
        <w:widowControl w:val="0"/>
        <w:tabs>
          <w:tab w:val="clear" w:pos="567"/>
        </w:tabs>
        <w:rPr>
          <w:color w:val="000000"/>
          <w:szCs w:val="22"/>
          <w:lang w:val="fr-FR"/>
        </w:rPr>
      </w:pPr>
      <w:r w:rsidRPr="00961E0F">
        <w:rPr>
          <w:rFonts w:eastAsia="MS Mincho"/>
          <w:color w:val="000000"/>
          <w:szCs w:val="22"/>
          <w:lang w:val="fr-FR" w:eastAsia="ja-JP"/>
        </w:rPr>
        <w:t>Le traitement doit être poursuivi aussi longtemps qu’il est bénéfique pour le patient.</w:t>
      </w:r>
    </w:p>
    <w:p w14:paraId="3BC3E94E" w14:textId="77777777" w:rsidR="007D642D" w:rsidRPr="00961E0F" w:rsidRDefault="007D642D">
      <w:pPr>
        <w:pStyle w:val="EndnoteText"/>
        <w:widowControl w:val="0"/>
        <w:tabs>
          <w:tab w:val="clear" w:pos="567"/>
        </w:tabs>
        <w:rPr>
          <w:color w:val="000000"/>
          <w:szCs w:val="22"/>
          <w:lang w:val="fr-FR"/>
        </w:rPr>
      </w:pPr>
    </w:p>
    <w:p w14:paraId="65DA3C49"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Posologie dans les GIST</w:t>
      </w:r>
    </w:p>
    <w:p w14:paraId="0047AC6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Patients adultes atteints de GIST malignes non résécables et/ou métastatiques : la posologie recommandée est de 400 mg/j.</w:t>
      </w:r>
    </w:p>
    <w:p w14:paraId="58AD3312" w14:textId="77777777" w:rsidR="007D642D" w:rsidRPr="00961E0F" w:rsidRDefault="007D642D">
      <w:pPr>
        <w:pStyle w:val="EndnoteText"/>
        <w:widowControl w:val="0"/>
        <w:tabs>
          <w:tab w:val="clear" w:pos="567"/>
        </w:tabs>
        <w:rPr>
          <w:color w:val="000000"/>
          <w:szCs w:val="22"/>
          <w:lang w:val="fr-FR"/>
        </w:rPr>
      </w:pPr>
    </w:p>
    <w:p w14:paraId="078D22F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Les données concernant l’effet de l’augmentation des doses de 400 mg à 600 mg ou 800 mg chez des patients en progression lorsqu’ils sont traités à la plus faible dose sont limitées (voir rubrique 5.1).</w:t>
      </w:r>
    </w:p>
    <w:p w14:paraId="4C833565" w14:textId="77777777" w:rsidR="007D642D" w:rsidRPr="00961E0F" w:rsidRDefault="007D642D">
      <w:pPr>
        <w:pStyle w:val="EndnoteText"/>
        <w:widowControl w:val="0"/>
        <w:tabs>
          <w:tab w:val="clear" w:pos="567"/>
        </w:tabs>
        <w:rPr>
          <w:color w:val="000000"/>
          <w:szCs w:val="22"/>
          <w:lang w:val="fr-FR"/>
        </w:rPr>
      </w:pPr>
    </w:p>
    <w:p w14:paraId="60A4517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Durée du traitement : dans les études cliniques menées chez des patients atteints de GIST, le traitement par Glivec a été poursuivi jusqu’à la progression de la maladie. A la date de l’analyse, la durée médiane de traitement était de 7 mois (7 jours à 13 mois). L’effet de l’arrêt du traitement après l’obtention d’une réponse n’a pas été étudié.</w:t>
      </w:r>
    </w:p>
    <w:p w14:paraId="1AD5F9AE" w14:textId="77777777" w:rsidR="007D642D" w:rsidRPr="00961E0F" w:rsidRDefault="007D642D">
      <w:pPr>
        <w:pStyle w:val="EndnoteText"/>
        <w:widowControl w:val="0"/>
        <w:tabs>
          <w:tab w:val="clear" w:pos="567"/>
        </w:tabs>
        <w:rPr>
          <w:color w:val="000000"/>
          <w:szCs w:val="22"/>
          <w:lang w:val="fr-FR"/>
        </w:rPr>
      </w:pPr>
    </w:p>
    <w:p w14:paraId="1DD84B9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dose recommandée de Glivec est de 400 mg par jour dans le traitement adjuvant des patients adultes après résection d’une tumeur stromale gastro-intestinale (GIST). La durée optimale de traitement n’a pas encore été établie. La durée de traitement dans les essais cliniques dans cette indication était de 36 mois (voir rubrique 5.1).</w:t>
      </w:r>
    </w:p>
    <w:p w14:paraId="0DD80532" w14:textId="77777777" w:rsidR="007D642D" w:rsidRPr="00961E0F" w:rsidRDefault="007D642D">
      <w:pPr>
        <w:pStyle w:val="EndnoteText"/>
        <w:widowControl w:val="0"/>
        <w:tabs>
          <w:tab w:val="clear" w:pos="567"/>
        </w:tabs>
        <w:rPr>
          <w:color w:val="000000"/>
          <w:szCs w:val="22"/>
          <w:lang w:val="fr-FR"/>
        </w:rPr>
      </w:pPr>
    </w:p>
    <w:p w14:paraId="334C0AE2"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Posologie dans le DFSP</w:t>
      </w:r>
    </w:p>
    <w:p w14:paraId="074A510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La posologie recommandée de Glivec est de 800 mg/jour chez les patients adultes atteints de DFSP.</w:t>
      </w:r>
    </w:p>
    <w:p w14:paraId="4913339D" w14:textId="77777777" w:rsidR="007D642D" w:rsidRPr="00961E0F" w:rsidRDefault="007D642D">
      <w:pPr>
        <w:pStyle w:val="EndnoteText"/>
        <w:widowControl w:val="0"/>
        <w:tabs>
          <w:tab w:val="clear" w:pos="567"/>
        </w:tabs>
        <w:rPr>
          <w:color w:val="000000"/>
          <w:szCs w:val="22"/>
          <w:lang w:val="fr-FR"/>
        </w:rPr>
      </w:pPr>
    </w:p>
    <w:p w14:paraId="00AFDF1D"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Ajustement de la posologie en cas d'effets indésirables</w:t>
      </w:r>
    </w:p>
    <w:p w14:paraId="760EFD2D" w14:textId="77777777" w:rsidR="007D642D" w:rsidRPr="00961E0F" w:rsidRDefault="007D642D" w:rsidP="00B92E0B">
      <w:pPr>
        <w:pStyle w:val="EndnoteText"/>
        <w:keepNext/>
        <w:widowControl w:val="0"/>
        <w:tabs>
          <w:tab w:val="clear" w:pos="567"/>
        </w:tabs>
        <w:rPr>
          <w:i/>
          <w:color w:val="000000"/>
          <w:szCs w:val="22"/>
          <w:lang w:val="fr-FR"/>
        </w:rPr>
      </w:pPr>
      <w:r w:rsidRPr="00961E0F">
        <w:rPr>
          <w:i/>
          <w:color w:val="000000"/>
          <w:szCs w:val="22"/>
          <w:lang w:val="fr-FR"/>
        </w:rPr>
        <w:t>Effets indésirables extra-hématologiques</w:t>
      </w:r>
    </w:p>
    <w:p w14:paraId="3813968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cas de survenue d’un effet indésirable extra-hématologique sévère, le traitement par Glivec doit être interrompu jusqu'à résolution de l'événement. Le traitement peut ensuite être repris de manière appropriée en fonction de la sévérité initiale de l'événement.</w:t>
      </w:r>
    </w:p>
    <w:p w14:paraId="628326CA" w14:textId="77777777" w:rsidR="007D642D" w:rsidRPr="00961E0F" w:rsidRDefault="007D642D">
      <w:pPr>
        <w:pStyle w:val="EndnoteText"/>
        <w:widowControl w:val="0"/>
        <w:tabs>
          <w:tab w:val="clear" w:pos="567"/>
        </w:tabs>
        <w:rPr>
          <w:color w:val="000000"/>
          <w:szCs w:val="22"/>
          <w:lang w:val="fr-FR"/>
        </w:rPr>
      </w:pPr>
    </w:p>
    <w:p w14:paraId="5C73FA7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En cas d’élévation de la bilirubine &gt; 3 x la limite supérieure de la normale (LSN) fournie par le laboratoire d’analyses ou des transaminases &gt; 5 x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Glivec doit être interrompu jusqu’à un retour de la bilirubine à un taux &lt; 1,5 x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des transaminases à un taux &lt; 2,5 x </w:t>
      </w:r>
      <w:smartTag w:uri="urn:schemas-microsoft-com:office:smarttags" w:element="PersonName">
        <w:smartTagPr>
          <w:attr w:name="ProductID" w:val="la LSN. Le"/>
        </w:smartTagPr>
        <w:r w:rsidRPr="00961E0F">
          <w:rPr>
            <w:color w:val="000000"/>
            <w:szCs w:val="22"/>
            <w:lang w:val="fr-FR"/>
          </w:rPr>
          <w:t>la LSN. Le</w:t>
        </w:r>
      </w:smartTag>
      <w:r w:rsidRPr="00961E0F">
        <w:rPr>
          <w:color w:val="000000"/>
          <w:szCs w:val="22"/>
          <w:lang w:val="fr-FR"/>
        </w:rPr>
        <w:t xml:space="preserve"> traitement peut alors être repris à dose réduite chez l’adulte, la dose sera diminuée de 400 à 300 mg ou de 600 à 400 mg ou de 800 mg à 600 mg, et chez l’enfant la dose sera diminuée de 340 à 260 mg/m</w:t>
      </w:r>
      <w:r w:rsidRPr="00961E0F">
        <w:rPr>
          <w:color w:val="000000"/>
          <w:szCs w:val="22"/>
          <w:vertAlign w:val="superscript"/>
          <w:lang w:val="fr-FR"/>
        </w:rPr>
        <w:t>2</w:t>
      </w:r>
      <w:r w:rsidRPr="00961E0F">
        <w:rPr>
          <w:color w:val="000000"/>
          <w:szCs w:val="22"/>
          <w:lang w:val="fr-FR"/>
        </w:rPr>
        <w:t>/jour.</w:t>
      </w:r>
    </w:p>
    <w:p w14:paraId="685D3E7C" w14:textId="77777777" w:rsidR="007D642D" w:rsidRPr="00961E0F" w:rsidRDefault="007D642D">
      <w:pPr>
        <w:pStyle w:val="EndnoteText"/>
        <w:widowControl w:val="0"/>
        <w:tabs>
          <w:tab w:val="clear" w:pos="567"/>
        </w:tabs>
        <w:rPr>
          <w:color w:val="000000"/>
          <w:szCs w:val="22"/>
          <w:lang w:val="fr-FR"/>
        </w:rPr>
      </w:pPr>
    </w:p>
    <w:p w14:paraId="5C331A46" w14:textId="77777777" w:rsidR="007D642D" w:rsidRPr="00961E0F" w:rsidRDefault="007D642D" w:rsidP="00B92E0B">
      <w:pPr>
        <w:pStyle w:val="EndnoteText"/>
        <w:keepNext/>
        <w:widowControl w:val="0"/>
        <w:tabs>
          <w:tab w:val="clear" w:pos="567"/>
        </w:tabs>
        <w:rPr>
          <w:i/>
          <w:color w:val="000000"/>
          <w:szCs w:val="22"/>
          <w:lang w:val="fr-FR"/>
        </w:rPr>
      </w:pPr>
      <w:r w:rsidRPr="00961E0F">
        <w:rPr>
          <w:i/>
          <w:color w:val="000000"/>
          <w:szCs w:val="22"/>
          <w:lang w:val="fr-FR"/>
        </w:rPr>
        <w:t>Effets indésirables hématologiques</w:t>
      </w:r>
    </w:p>
    <w:p w14:paraId="2F83D99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En cas de neutropénie ou thrombopénie sévères, il est recommandé de diminuer la dose ou d'interrompre le traitement conformément au tableau ci-dessous.</w:t>
      </w:r>
    </w:p>
    <w:p w14:paraId="703FD18B" w14:textId="77777777" w:rsidR="007D642D" w:rsidRPr="00961E0F" w:rsidRDefault="007D642D">
      <w:pPr>
        <w:pStyle w:val="EndnoteText"/>
        <w:widowControl w:val="0"/>
        <w:tabs>
          <w:tab w:val="clear" w:pos="567"/>
        </w:tabs>
        <w:rPr>
          <w:color w:val="000000"/>
          <w:szCs w:val="22"/>
          <w:lang w:val="fr-FR"/>
        </w:rPr>
      </w:pPr>
    </w:p>
    <w:p w14:paraId="5B56B136"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Ajustements de posologie en cas de neutropénie et de thrombocytopénie :</w:t>
      </w:r>
    </w:p>
    <w:p w14:paraId="27D95E3A" w14:textId="77777777" w:rsidR="007D642D" w:rsidRPr="00961E0F" w:rsidRDefault="007D642D" w:rsidP="00B92E0B">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7D642D" w:rsidRPr="00961E0F" w14:paraId="727ECF66" w14:textId="77777777" w:rsidTr="00B92E0B">
        <w:trPr>
          <w:cantSplit/>
        </w:trPr>
        <w:tc>
          <w:tcPr>
            <w:tcW w:w="2376" w:type="dxa"/>
          </w:tcPr>
          <w:p w14:paraId="5900A95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SHE/LCE </w:t>
            </w:r>
            <w:r w:rsidRPr="00961E0F">
              <w:rPr>
                <w:color w:val="000000"/>
                <w:lang w:val="fr-FR"/>
              </w:rPr>
              <w:t>(dose initiale de 100 mg)</w:t>
            </w:r>
          </w:p>
        </w:tc>
        <w:tc>
          <w:tcPr>
            <w:tcW w:w="2400" w:type="dxa"/>
          </w:tcPr>
          <w:p w14:paraId="096D5962"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430AB1DC"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0C5613AD"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Pr>
          <w:p w14:paraId="5D3D83A7"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1BF0732A"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tc>
      </w:tr>
      <w:tr w:rsidR="007D642D" w:rsidRPr="00961E0F" w14:paraId="6057F78A" w14:textId="77777777" w:rsidTr="00B92E0B">
        <w:trPr>
          <w:cantSplit/>
        </w:trPr>
        <w:tc>
          <w:tcPr>
            <w:tcW w:w="2376" w:type="dxa"/>
          </w:tcPr>
          <w:p w14:paraId="05E75E4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lastRenderedPageBreak/>
              <w:t xml:space="preserve">LMC en phase chronique,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et GIST (dose initiale 400 mg)</w:t>
            </w:r>
          </w:p>
          <w:p w14:paraId="1818F575"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SHE/LCE (à la dose de 400 mg)</w:t>
            </w:r>
          </w:p>
        </w:tc>
        <w:tc>
          <w:tcPr>
            <w:tcW w:w="2400" w:type="dxa"/>
          </w:tcPr>
          <w:p w14:paraId="108D424E"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163551AD"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168B1B3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&lt; 50 x 10</w:t>
            </w:r>
            <w:r w:rsidRPr="00961E0F">
              <w:rPr>
                <w:color w:val="000000"/>
                <w:szCs w:val="22"/>
                <w:vertAlign w:val="superscript"/>
                <w:lang w:val="fr-FR"/>
              </w:rPr>
              <w:t>9</w:t>
            </w:r>
            <w:r w:rsidRPr="00961E0F">
              <w:rPr>
                <w:color w:val="000000"/>
                <w:szCs w:val="22"/>
                <w:lang w:val="fr-FR"/>
              </w:rPr>
              <w:t>/l</w:t>
            </w:r>
          </w:p>
        </w:tc>
        <w:tc>
          <w:tcPr>
            <w:tcW w:w="4404" w:type="dxa"/>
          </w:tcPr>
          <w:p w14:paraId="719EC2E5"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72A7CFD0"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p w14:paraId="2ADC4BE2" w14:textId="77777777" w:rsidR="007D642D" w:rsidRPr="00961E0F" w:rsidRDefault="007D642D">
            <w:pPr>
              <w:pStyle w:val="EndnoteText"/>
              <w:widowControl w:val="0"/>
              <w:tabs>
                <w:tab w:val="clear" w:pos="567"/>
              </w:tabs>
              <w:ind w:left="469" w:hanging="469"/>
              <w:rPr>
                <w:color w:val="000000"/>
                <w:szCs w:val="22"/>
                <w:lang w:val="fr-FR"/>
              </w:rPr>
            </w:pPr>
            <w:r w:rsidRPr="00961E0F">
              <w:rPr>
                <w:color w:val="000000"/>
                <w:szCs w:val="22"/>
                <w:lang w:val="fr-FR"/>
              </w:rPr>
              <w:t>3.</w:t>
            </w:r>
            <w:r w:rsidRPr="00961E0F">
              <w:rPr>
                <w:color w:val="000000"/>
                <w:szCs w:val="22"/>
                <w:lang w:val="fr-FR"/>
              </w:rPr>
              <w:tab/>
              <w:t>En cas de récidive de PN &lt; 1,0 x 10</w:t>
            </w:r>
            <w:r w:rsidRPr="00961E0F">
              <w:rPr>
                <w:color w:val="000000"/>
                <w:szCs w:val="22"/>
                <w:vertAlign w:val="superscript"/>
                <w:lang w:val="fr-FR"/>
              </w:rPr>
              <w:t>9</w:t>
            </w:r>
            <w:r w:rsidRPr="00961E0F">
              <w:rPr>
                <w:color w:val="000000"/>
                <w:szCs w:val="22"/>
                <w:lang w:val="fr-FR"/>
              </w:rPr>
              <w:t>/l et/ou plaquettes &lt; 50 x 10</w:t>
            </w:r>
            <w:r w:rsidRPr="00961E0F">
              <w:rPr>
                <w:color w:val="000000"/>
                <w:szCs w:val="22"/>
                <w:vertAlign w:val="superscript"/>
                <w:lang w:val="fr-FR"/>
              </w:rPr>
              <w:t>9</w:t>
            </w:r>
            <w:r w:rsidRPr="00961E0F">
              <w:rPr>
                <w:color w:val="000000"/>
                <w:szCs w:val="22"/>
                <w:lang w:val="fr-FR"/>
              </w:rPr>
              <w:t>/l, répéter l'étape 1 puis reprendre Glivec à la dose de 300 mg.</w:t>
            </w:r>
          </w:p>
        </w:tc>
      </w:tr>
      <w:tr w:rsidR="007D642D" w:rsidRPr="00961E0F" w14:paraId="7AF0CE0B" w14:textId="77777777" w:rsidTr="00B92E0B">
        <w:trPr>
          <w:cantSplit/>
        </w:trPr>
        <w:tc>
          <w:tcPr>
            <w:tcW w:w="2376" w:type="dxa"/>
            <w:tcBorders>
              <w:bottom w:val="nil"/>
            </w:tcBorders>
          </w:tcPr>
          <w:p w14:paraId="29C04C3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LMC en phase chronique en pédiatrie</w:t>
            </w:r>
          </w:p>
          <w:p w14:paraId="5137AC3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(à la dose de 340 mg/m</w:t>
            </w:r>
            <w:r w:rsidRPr="00961E0F">
              <w:rPr>
                <w:color w:val="000000"/>
                <w:szCs w:val="22"/>
                <w:vertAlign w:val="superscript"/>
                <w:lang w:val="fr-FR"/>
              </w:rPr>
              <w:t>2</w:t>
            </w:r>
            <w:r w:rsidRPr="00961E0F">
              <w:rPr>
                <w:color w:val="000000"/>
                <w:szCs w:val="22"/>
                <w:lang w:val="fr-FR"/>
              </w:rPr>
              <w:t>)</w:t>
            </w:r>
          </w:p>
        </w:tc>
        <w:tc>
          <w:tcPr>
            <w:tcW w:w="2400" w:type="dxa"/>
            <w:tcBorders>
              <w:bottom w:val="nil"/>
            </w:tcBorders>
          </w:tcPr>
          <w:p w14:paraId="5FD6D7ED"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50269B67"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7424A55E"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vertAlign w:val="superscript"/>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Borders>
              <w:bottom w:val="nil"/>
            </w:tcBorders>
          </w:tcPr>
          <w:p w14:paraId="3CE8F704"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505935A2"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antérieure (c’est à dire avant l’effet indésirable sévère).</w:t>
            </w:r>
          </w:p>
          <w:p w14:paraId="096B783F"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En cas de récidive de 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et/ou 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répéter l'étape 1 puis reprendre Glivec à la dose de 260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tc>
      </w:tr>
      <w:tr w:rsidR="007D642D" w:rsidRPr="00961E0F" w14:paraId="2FA2A7E8" w14:textId="77777777" w:rsidTr="00B92E0B">
        <w:trPr>
          <w:cantSplit/>
        </w:trPr>
        <w:tc>
          <w:tcPr>
            <w:tcW w:w="2376" w:type="dxa"/>
            <w:tcBorders>
              <w:bottom w:val="single" w:sz="4" w:space="0" w:color="auto"/>
            </w:tcBorders>
          </w:tcPr>
          <w:p w14:paraId="031D6EF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LMC en phase accélérée ou crise blastique et LAL Ph+ (dose initiale 600 mg)</w:t>
            </w:r>
          </w:p>
        </w:tc>
        <w:tc>
          <w:tcPr>
            <w:tcW w:w="2400" w:type="dxa"/>
            <w:tcBorders>
              <w:bottom w:val="single" w:sz="4" w:space="0" w:color="auto"/>
            </w:tcBorders>
          </w:tcPr>
          <w:p w14:paraId="1B35B93E"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vertAlign w:val="superscript"/>
                <w:lang w:val="fr-FR"/>
              </w:rPr>
              <w:t>a</w:t>
            </w:r>
            <w:r w:rsidRPr="00961E0F">
              <w:rPr>
                <w:rFonts w:ascii="Times New Roman" w:hAnsi="Times New Roman"/>
                <w:color w:val="000000"/>
                <w:szCs w:val="22"/>
                <w:lang w:val="fr-FR"/>
              </w:rPr>
              <w:t>PN &lt; 0,5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77104103"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459AF77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&lt; 10 x 10</w:t>
            </w:r>
            <w:r w:rsidRPr="00961E0F">
              <w:rPr>
                <w:color w:val="000000"/>
                <w:szCs w:val="22"/>
                <w:vertAlign w:val="superscript"/>
                <w:lang w:val="fr-FR"/>
              </w:rPr>
              <w:t>9</w:t>
            </w:r>
            <w:r w:rsidRPr="00961E0F">
              <w:rPr>
                <w:color w:val="000000"/>
                <w:szCs w:val="22"/>
                <w:lang w:val="fr-FR"/>
              </w:rPr>
              <w:t>/l</w:t>
            </w:r>
          </w:p>
        </w:tc>
        <w:tc>
          <w:tcPr>
            <w:tcW w:w="4404" w:type="dxa"/>
            <w:tcBorders>
              <w:bottom w:val="single" w:sz="4" w:space="0" w:color="auto"/>
            </w:tcBorders>
          </w:tcPr>
          <w:p w14:paraId="651569B9"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Vérifier si la cytopénie est imputable à la leucémie (ponction ou biopsie médullaire).</w:t>
            </w:r>
          </w:p>
          <w:p w14:paraId="0185CCF5"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Si la cytopénie n'est pas imputable à la leucémie, diminuer la dose de Glivec à 400 mg.</w:t>
            </w:r>
          </w:p>
          <w:p w14:paraId="051471F4"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Si la cytopénie persiste pendant 2 semaines, diminuer encore la dose à 300 mg.</w:t>
            </w:r>
          </w:p>
          <w:p w14:paraId="7C6451CA" w14:textId="77777777" w:rsidR="007D642D" w:rsidRPr="00961E0F" w:rsidRDefault="007D642D">
            <w:pPr>
              <w:pStyle w:val="EndnoteText"/>
              <w:widowControl w:val="0"/>
              <w:tabs>
                <w:tab w:val="clear" w:pos="567"/>
              </w:tabs>
              <w:ind w:left="469" w:hanging="469"/>
              <w:rPr>
                <w:color w:val="000000"/>
                <w:szCs w:val="22"/>
                <w:lang w:val="fr-FR"/>
              </w:rPr>
            </w:pPr>
            <w:r w:rsidRPr="00961E0F">
              <w:rPr>
                <w:color w:val="000000"/>
                <w:szCs w:val="22"/>
                <w:lang w:val="fr-FR"/>
              </w:rPr>
              <w:t>4.</w:t>
            </w:r>
            <w:r w:rsidRPr="00961E0F">
              <w:rPr>
                <w:color w:val="000000"/>
                <w:szCs w:val="22"/>
                <w:lang w:val="fr-FR"/>
              </w:rPr>
              <w:tab/>
              <w:t xml:space="preserve">Si la cytopénie persiste pendant 4 semaines et n'est toujours pas imputable à la leucémie, arrêter Glivec jusqu'à ce que PN </w:t>
            </w:r>
            <w:r w:rsidRPr="00961E0F">
              <w:rPr>
                <w:color w:val="000000"/>
                <w:szCs w:val="22"/>
                <w:lang w:val="fr-FR"/>
              </w:rPr>
              <w:sym w:font="Symbol" w:char="F0B3"/>
            </w:r>
            <w:r w:rsidRPr="00961E0F">
              <w:rPr>
                <w:color w:val="000000"/>
                <w:szCs w:val="22"/>
                <w:lang w:val="fr-FR"/>
              </w:rPr>
              <w:t> 1 x 10</w:t>
            </w:r>
            <w:r w:rsidRPr="00961E0F">
              <w:rPr>
                <w:color w:val="000000"/>
                <w:szCs w:val="22"/>
                <w:vertAlign w:val="superscript"/>
                <w:lang w:val="fr-FR"/>
              </w:rPr>
              <w:t>9</w:t>
            </w:r>
            <w:r w:rsidRPr="00961E0F">
              <w:rPr>
                <w:color w:val="000000"/>
                <w:szCs w:val="22"/>
                <w:lang w:val="fr-FR"/>
              </w:rPr>
              <w:t xml:space="preserve">/l et plaquettes </w:t>
            </w:r>
            <w:r w:rsidRPr="00961E0F">
              <w:rPr>
                <w:color w:val="000000"/>
                <w:szCs w:val="22"/>
                <w:lang w:val="fr-FR"/>
              </w:rPr>
              <w:sym w:font="Symbol" w:char="F0B3"/>
            </w:r>
            <w:r w:rsidRPr="00961E0F">
              <w:rPr>
                <w:color w:val="000000"/>
                <w:szCs w:val="22"/>
                <w:lang w:val="fr-FR"/>
              </w:rPr>
              <w:t> 20 x 10</w:t>
            </w:r>
            <w:r w:rsidRPr="00961E0F">
              <w:rPr>
                <w:color w:val="000000"/>
                <w:szCs w:val="22"/>
                <w:vertAlign w:val="superscript"/>
                <w:lang w:val="fr-FR"/>
              </w:rPr>
              <w:t>9</w:t>
            </w:r>
            <w:r w:rsidRPr="00961E0F">
              <w:rPr>
                <w:color w:val="000000"/>
                <w:szCs w:val="22"/>
                <w:lang w:val="fr-FR"/>
              </w:rPr>
              <w:t>/l, puis reprendre le traitement à 300 mg.</w:t>
            </w:r>
          </w:p>
        </w:tc>
      </w:tr>
      <w:tr w:rsidR="007D642D" w:rsidRPr="00961E0F" w14:paraId="3B7B27CC" w14:textId="77777777" w:rsidTr="00B92E0B">
        <w:trPr>
          <w:cantSplit/>
        </w:trPr>
        <w:tc>
          <w:tcPr>
            <w:tcW w:w="2376" w:type="dxa"/>
            <w:tcBorders>
              <w:top w:val="single" w:sz="4" w:space="0" w:color="auto"/>
              <w:left w:val="single" w:sz="4" w:space="0" w:color="auto"/>
              <w:bottom w:val="single" w:sz="4" w:space="0" w:color="auto"/>
              <w:right w:val="single" w:sz="4" w:space="0" w:color="auto"/>
            </w:tcBorders>
          </w:tcPr>
          <w:p w14:paraId="0E102AB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LMC en phase accélérée ou en crise blastique en pédiatrie</w:t>
            </w:r>
          </w:p>
          <w:p w14:paraId="1D42F071"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(à la dose de 340 mg/m</w:t>
            </w:r>
            <w:r w:rsidRPr="00961E0F">
              <w:rPr>
                <w:color w:val="000000"/>
                <w:szCs w:val="22"/>
                <w:vertAlign w:val="superscript"/>
                <w:lang w:val="fr-FR"/>
              </w:rPr>
              <w:t>2</w:t>
            </w:r>
            <w:r w:rsidRPr="00961E0F">
              <w:rPr>
                <w:color w:val="000000"/>
                <w:szCs w:val="22"/>
                <w:lang w:val="fr-FR"/>
              </w:rPr>
              <w:t>)</w:t>
            </w:r>
          </w:p>
        </w:tc>
        <w:tc>
          <w:tcPr>
            <w:tcW w:w="2400" w:type="dxa"/>
            <w:tcBorders>
              <w:top w:val="single" w:sz="4" w:space="0" w:color="auto"/>
              <w:left w:val="single" w:sz="4" w:space="0" w:color="auto"/>
              <w:bottom w:val="single" w:sz="4" w:space="0" w:color="auto"/>
              <w:right w:val="single" w:sz="4" w:space="0" w:color="auto"/>
            </w:tcBorders>
          </w:tcPr>
          <w:p w14:paraId="2C0EE99B"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color w:val="000000"/>
                <w:szCs w:val="22"/>
                <w:vertAlign w:val="superscript"/>
                <w:lang w:val="fr-FR"/>
              </w:rPr>
              <w:t>a</w:t>
            </w:r>
            <w:r w:rsidRPr="00961E0F">
              <w:rPr>
                <w:rFonts w:ascii="Times New Roman" w:hAnsi="Times New Roman"/>
                <w:color w:val="000000"/>
                <w:szCs w:val="22"/>
                <w:lang w:val="fr-FR"/>
              </w:rPr>
              <w:t>PN &lt; 0,5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5324AEE2"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4155EA32"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vertAlign w:val="superscript"/>
                <w:lang w:val="fr-FR"/>
              </w:rPr>
            </w:pPr>
            <w:r w:rsidRPr="00961E0F">
              <w:rPr>
                <w:rFonts w:ascii="Times New Roman" w:hAnsi="Times New Roman"/>
                <w:color w:val="000000"/>
                <w:szCs w:val="22"/>
                <w:lang w:val="fr-FR"/>
              </w:rPr>
              <w:t>plaquettes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tc>
        <w:tc>
          <w:tcPr>
            <w:tcW w:w="4404" w:type="dxa"/>
            <w:tcBorders>
              <w:top w:val="single" w:sz="4" w:space="0" w:color="auto"/>
              <w:left w:val="single" w:sz="4" w:space="0" w:color="auto"/>
              <w:bottom w:val="single" w:sz="4" w:space="0" w:color="auto"/>
              <w:right w:val="single" w:sz="4" w:space="0" w:color="auto"/>
            </w:tcBorders>
          </w:tcPr>
          <w:p w14:paraId="18064EB1"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Vérifier si la cytopénie est imputable à la leucémie (ponction ou biopsie médullaire).</w:t>
            </w:r>
          </w:p>
          <w:p w14:paraId="45059D90"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Si la cytopénie n'est pas imputable à la leucémie, diminuer la dose de Glivec à 260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p w14:paraId="037A7F2C"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Si la cytopénie persiste pendant 2 semaines, diminuer encore la dose à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p w14:paraId="0D6D7701" w14:textId="77777777" w:rsidR="007D642D" w:rsidRPr="00961E0F" w:rsidRDefault="007D642D">
            <w:pPr>
              <w:pStyle w:val="TableCarCarCarCarCarCarCarCarCar"/>
              <w:keepNext w:val="0"/>
              <w:keepLines w:val="0"/>
              <w:widowControl w:val="0"/>
              <w:suppressLineNumbers/>
              <w:tabs>
                <w:tab w:val="clear" w:pos="284"/>
              </w:tabs>
              <w:spacing w:before="0" w:after="0"/>
              <w:ind w:left="469" w:hanging="425"/>
              <w:rPr>
                <w:rFonts w:ascii="Times New Roman" w:hAnsi="Times New Roman"/>
                <w:color w:val="000000"/>
                <w:szCs w:val="22"/>
                <w:lang w:val="fr-FR"/>
              </w:rPr>
            </w:pPr>
            <w:r w:rsidRPr="00961E0F">
              <w:rPr>
                <w:rFonts w:ascii="Times New Roman" w:hAnsi="Times New Roman"/>
                <w:color w:val="000000"/>
                <w:szCs w:val="22"/>
                <w:lang w:val="fr-FR"/>
              </w:rPr>
              <w:t>4.</w:t>
            </w:r>
            <w:r w:rsidRPr="00961E0F">
              <w:rPr>
                <w:rFonts w:ascii="Times New Roman" w:hAnsi="Times New Roman"/>
                <w:color w:val="000000"/>
                <w:szCs w:val="22"/>
                <w:lang w:val="fr-FR"/>
              </w:rPr>
              <w:tab/>
              <w:t xml:space="preserve">Si la cytopénie persiste pendant 4 semaines et n'est toujours pas imputable à la leucémie, 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20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puis reprendre le traitement à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w:t>
            </w:r>
          </w:p>
        </w:tc>
      </w:tr>
      <w:tr w:rsidR="007D642D" w:rsidRPr="00961E0F" w14:paraId="055A63FF" w14:textId="77777777" w:rsidTr="00B92E0B">
        <w:trPr>
          <w:cantSplit/>
        </w:trPr>
        <w:tc>
          <w:tcPr>
            <w:tcW w:w="2376" w:type="dxa"/>
            <w:tcBorders>
              <w:top w:val="single" w:sz="4" w:space="0" w:color="auto"/>
              <w:bottom w:val="nil"/>
            </w:tcBorders>
          </w:tcPr>
          <w:p w14:paraId="7EB28D0E"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lastRenderedPageBreak/>
              <w:t>DFSP</w:t>
            </w:r>
          </w:p>
          <w:p w14:paraId="22DA4B06"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(à la dose de 800 mg)</w:t>
            </w:r>
          </w:p>
        </w:tc>
        <w:tc>
          <w:tcPr>
            <w:tcW w:w="2400" w:type="dxa"/>
            <w:tcBorders>
              <w:top w:val="single" w:sz="4" w:space="0" w:color="auto"/>
              <w:bottom w:val="nil"/>
            </w:tcBorders>
          </w:tcPr>
          <w:p w14:paraId="2B7CDF40" w14:textId="77777777" w:rsidR="007D642D" w:rsidRPr="00961E0F" w:rsidRDefault="007D642D" w:rsidP="00B92E0B">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708D6B52" w14:textId="77777777" w:rsidR="007D642D" w:rsidRPr="00961E0F" w:rsidRDefault="007D642D" w:rsidP="00B92E0B">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et/ou</w:t>
            </w:r>
          </w:p>
          <w:p w14:paraId="7C5B1728" w14:textId="77777777" w:rsidR="007D642D" w:rsidRPr="00961E0F" w:rsidRDefault="007D642D" w:rsidP="00B92E0B">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4D9448CD" w14:textId="77777777" w:rsidR="007D642D" w:rsidRPr="00961E0F" w:rsidRDefault="007D642D" w:rsidP="00B92E0B">
            <w:pPr>
              <w:pStyle w:val="TableCarCarCarCarCarCarCarCarCar"/>
              <w:keepLines w:val="0"/>
              <w:widowControl w:val="0"/>
              <w:suppressLineNumbers/>
              <w:tabs>
                <w:tab w:val="clear" w:pos="284"/>
              </w:tabs>
              <w:spacing w:before="0" w:after="0"/>
              <w:rPr>
                <w:rFonts w:ascii="Times New Roman" w:hAnsi="Times New Roman"/>
                <w:color w:val="000000"/>
                <w:szCs w:val="22"/>
                <w:lang w:val="fr-FR"/>
              </w:rPr>
            </w:pPr>
          </w:p>
        </w:tc>
        <w:tc>
          <w:tcPr>
            <w:tcW w:w="4404" w:type="dxa"/>
            <w:tcBorders>
              <w:top w:val="single" w:sz="4" w:space="0" w:color="auto"/>
              <w:bottom w:val="nil"/>
            </w:tcBorders>
          </w:tcPr>
          <w:p w14:paraId="4CB9B045" w14:textId="77777777" w:rsidR="007D642D" w:rsidRPr="00961E0F" w:rsidRDefault="007D642D" w:rsidP="00B92E0B">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1.</w:t>
            </w:r>
            <w:r w:rsidRPr="00961E0F">
              <w:rPr>
                <w:rFonts w:ascii="Times New Roman" w:hAnsi="Times New Roman"/>
                <w:color w:val="000000"/>
                <w:szCs w:val="22"/>
                <w:lang w:val="fr-FR"/>
              </w:rPr>
              <w:tab/>
              <w:t xml:space="preserve">Arrêter Glivec jusqu'à ce que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75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w:t>
            </w:r>
          </w:p>
          <w:p w14:paraId="0AAC3211" w14:textId="77777777" w:rsidR="007D642D" w:rsidRPr="00961E0F" w:rsidRDefault="007D642D" w:rsidP="00B92E0B">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2.</w:t>
            </w:r>
            <w:r w:rsidRPr="00961E0F">
              <w:rPr>
                <w:rFonts w:ascii="Times New Roman" w:hAnsi="Times New Roman"/>
                <w:color w:val="000000"/>
                <w:szCs w:val="22"/>
                <w:lang w:val="fr-FR"/>
              </w:rPr>
              <w:tab/>
              <w:t>Reprendre le traitement par Glivec à la dose de 600 mg.</w:t>
            </w:r>
          </w:p>
          <w:p w14:paraId="0B097857" w14:textId="77777777" w:rsidR="007D642D" w:rsidRPr="00961E0F" w:rsidRDefault="007D642D" w:rsidP="00B92E0B">
            <w:pPr>
              <w:pStyle w:val="TableCarCarCarCarCarCarCarCarCar"/>
              <w:keepLines w:val="0"/>
              <w:widowControl w:val="0"/>
              <w:suppressLineNumbers/>
              <w:tabs>
                <w:tab w:val="clear" w:pos="284"/>
              </w:tabs>
              <w:spacing w:before="0" w:after="0"/>
              <w:ind w:left="469" w:hanging="469"/>
              <w:rPr>
                <w:rFonts w:ascii="Times New Roman" w:hAnsi="Times New Roman"/>
                <w:color w:val="000000"/>
                <w:szCs w:val="22"/>
                <w:lang w:val="fr-FR"/>
              </w:rPr>
            </w:pPr>
            <w:r w:rsidRPr="00961E0F">
              <w:rPr>
                <w:rFonts w:ascii="Times New Roman" w:hAnsi="Times New Roman"/>
                <w:color w:val="000000"/>
                <w:szCs w:val="22"/>
                <w:lang w:val="fr-FR"/>
              </w:rPr>
              <w:t>3.</w:t>
            </w:r>
            <w:r w:rsidRPr="00961E0F">
              <w:rPr>
                <w:rFonts w:ascii="Times New Roman" w:hAnsi="Times New Roman"/>
                <w:color w:val="000000"/>
                <w:szCs w:val="22"/>
                <w:lang w:val="fr-FR"/>
              </w:rPr>
              <w:tab/>
              <w:t>En cas de récidive de PN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et/ou plaquettes &lt; 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répéter l'étape 1 puis reprendre Glivec à la dose réduite de 400 mg.</w:t>
            </w:r>
          </w:p>
        </w:tc>
      </w:tr>
      <w:tr w:rsidR="007D642D" w:rsidRPr="00961E0F" w14:paraId="56F92B9A" w14:textId="77777777" w:rsidTr="00B92E0B">
        <w:trPr>
          <w:cantSplit/>
        </w:trPr>
        <w:tc>
          <w:tcPr>
            <w:tcW w:w="9180" w:type="dxa"/>
            <w:gridSpan w:val="3"/>
            <w:tcBorders>
              <w:bottom w:val="nil"/>
            </w:tcBorders>
          </w:tcPr>
          <w:p w14:paraId="77BADE90" w14:textId="77777777" w:rsidR="007D642D" w:rsidRPr="00961E0F" w:rsidRDefault="007D642D">
            <w:pPr>
              <w:pStyle w:val="TableCarCarCarCarCarCarCarCarCar"/>
              <w:keepNext w:val="0"/>
              <w:keepLines w:val="0"/>
              <w:widowControl w:val="0"/>
              <w:suppressLineNumbers/>
              <w:tabs>
                <w:tab w:val="clear" w:pos="284"/>
              </w:tabs>
              <w:spacing w:before="0" w:after="0"/>
              <w:rPr>
                <w:rFonts w:ascii="Times New Roman" w:hAnsi="Times New Roman"/>
                <w:color w:val="000000"/>
                <w:szCs w:val="22"/>
                <w:lang w:val="fr-FR"/>
              </w:rPr>
            </w:pPr>
            <w:r w:rsidRPr="00961E0F">
              <w:rPr>
                <w:rFonts w:ascii="Times New Roman" w:hAnsi="Times New Roman"/>
                <w:color w:val="000000"/>
                <w:szCs w:val="22"/>
                <w:lang w:val="fr-FR"/>
              </w:rPr>
              <w:t>PN = Polynucléaires Neutrophiles</w:t>
            </w:r>
          </w:p>
        </w:tc>
      </w:tr>
      <w:tr w:rsidR="007D642D" w:rsidRPr="00961E0F" w14:paraId="2376A246" w14:textId="77777777" w:rsidTr="00B92E0B">
        <w:trPr>
          <w:cantSplit/>
        </w:trPr>
        <w:tc>
          <w:tcPr>
            <w:tcW w:w="9180" w:type="dxa"/>
            <w:gridSpan w:val="3"/>
            <w:tcBorders>
              <w:top w:val="nil"/>
            </w:tcBorders>
          </w:tcPr>
          <w:p w14:paraId="300AA55D" w14:textId="77777777" w:rsidR="007D642D" w:rsidRPr="00961E0F" w:rsidRDefault="007D642D">
            <w:pPr>
              <w:pStyle w:val="EndnoteText"/>
              <w:widowControl w:val="0"/>
              <w:tabs>
                <w:tab w:val="clear" w:pos="567"/>
              </w:tabs>
              <w:ind w:left="284" w:hanging="284"/>
              <w:rPr>
                <w:color w:val="000000"/>
                <w:szCs w:val="22"/>
                <w:lang w:val="fr-FR"/>
              </w:rPr>
            </w:pPr>
            <w:r w:rsidRPr="00961E0F">
              <w:rPr>
                <w:color w:val="000000"/>
                <w:szCs w:val="22"/>
                <w:vertAlign w:val="superscript"/>
                <w:lang w:val="fr-FR"/>
              </w:rPr>
              <w:t>a</w:t>
            </w:r>
            <w:r w:rsidRPr="00961E0F">
              <w:rPr>
                <w:color w:val="000000"/>
                <w:szCs w:val="22"/>
                <w:lang w:val="fr-FR"/>
              </w:rPr>
              <w:t>survenant après au moins 1 mois de traitement</w:t>
            </w:r>
          </w:p>
        </w:tc>
      </w:tr>
    </w:tbl>
    <w:p w14:paraId="193C27D5" w14:textId="77777777" w:rsidR="007D642D" w:rsidRPr="00961E0F" w:rsidRDefault="007D642D">
      <w:pPr>
        <w:pStyle w:val="EndnoteText"/>
        <w:widowControl w:val="0"/>
        <w:tabs>
          <w:tab w:val="clear" w:pos="567"/>
        </w:tabs>
        <w:rPr>
          <w:color w:val="000000"/>
          <w:szCs w:val="22"/>
          <w:lang w:val="fr-FR"/>
        </w:rPr>
      </w:pPr>
    </w:p>
    <w:p w14:paraId="33D0C609" w14:textId="77777777" w:rsidR="007D642D" w:rsidRPr="00961E0F" w:rsidRDefault="007D642D" w:rsidP="00B92E0B">
      <w:pPr>
        <w:pStyle w:val="EndnoteText"/>
        <w:keepNext/>
        <w:widowControl w:val="0"/>
        <w:tabs>
          <w:tab w:val="clear" w:pos="567"/>
        </w:tabs>
        <w:rPr>
          <w:color w:val="000000"/>
          <w:szCs w:val="22"/>
          <w:u w:val="single"/>
          <w:lang w:val="fr-FR"/>
        </w:rPr>
      </w:pPr>
      <w:r w:rsidRPr="00961E0F">
        <w:rPr>
          <w:color w:val="000000"/>
          <w:szCs w:val="22"/>
          <w:u w:val="single"/>
          <w:lang w:val="fr-FR"/>
        </w:rPr>
        <w:t>Populations spéciales</w:t>
      </w:r>
    </w:p>
    <w:p w14:paraId="6B4A0ED3"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Enfant :</w:t>
      </w:r>
      <w:r w:rsidRPr="00961E0F">
        <w:rPr>
          <w:color w:val="000000"/>
          <w:szCs w:val="22"/>
          <w:lang w:val="fr-FR"/>
        </w:rPr>
        <w:t xml:space="preserve"> Il n’y a pas d’expérience chez l’enfant de moins de 2 ans </w:t>
      </w:r>
      <w:r w:rsidR="006D51E4" w:rsidRPr="00961E0F">
        <w:rPr>
          <w:color w:val="000000"/>
          <w:szCs w:val="22"/>
          <w:lang w:val="fr-FR"/>
        </w:rPr>
        <w:t xml:space="preserve">atteint de LMC et chez l’enfant de moins d’un an atteint de LAL Ph+ </w:t>
      </w:r>
      <w:r w:rsidRPr="00961E0F">
        <w:rPr>
          <w:color w:val="000000"/>
          <w:szCs w:val="22"/>
          <w:lang w:val="fr-FR"/>
        </w:rPr>
        <w:t>(voir rubrique 5.1). L’</w:t>
      </w:r>
      <w:r w:rsidR="009E44A8" w:rsidRPr="00961E0F">
        <w:rPr>
          <w:color w:val="000000"/>
          <w:szCs w:val="22"/>
          <w:lang w:val="fr-FR"/>
        </w:rPr>
        <w:t>expérience est très limitée</w:t>
      </w:r>
      <w:r w:rsidRPr="00961E0F">
        <w:rPr>
          <w:color w:val="000000"/>
          <w:szCs w:val="22"/>
          <w:lang w:val="fr-FR"/>
        </w:rPr>
        <w:t xml:space="preserve"> chez l’enfant atteint de </w:t>
      </w:r>
      <w:smartTag w:uri="urn:schemas-microsoft-com:office:smarttags" w:element="stockticker">
        <w:r w:rsidRPr="00961E0F">
          <w:rPr>
            <w:color w:val="000000"/>
            <w:szCs w:val="22"/>
            <w:lang w:val="fr-FR"/>
          </w:rPr>
          <w:t>SMD</w:t>
        </w:r>
      </w:smartTag>
      <w:r w:rsidRPr="00961E0F">
        <w:rPr>
          <w:color w:val="000000"/>
          <w:szCs w:val="22"/>
          <w:lang w:val="fr-FR"/>
        </w:rPr>
        <w:t>/SMP</w:t>
      </w:r>
      <w:r w:rsidR="009E44A8" w:rsidRPr="00961E0F">
        <w:rPr>
          <w:color w:val="000000"/>
          <w:szCs w:val="22"/>
          <w:lang w:val="fr-FR"/>
        </w:rPr>
        <w:t>,</w:t>
      </w:r>
      <w:r w:rsidRPr="00961E0F">
        <w:rPr>
          <w:color w:val="000000"/>
          <w:szCs w:val="22"/>
          <w:lang w:val="fr-FR"/>
        </w:rPr>
        <w:t xml:space="preserve"> de DFSP</w:t>
      </w:r>
      <w:r w:rsidR="009E44A8" w:rsidRPr="00961E0F">
        <w:rPr>
          <w:color w:val="000000"/>
          <w:szCs w:val="22"/>
          <w:lang w:val="fr-FR"/>
        </w:rPr>
        <w:t>, de GIST et de SHE/LCE</w:t>
      </w:r>
      <w:r w:rsidRPr="00961E0F">
        <w:rPr>
          <w:color w:val="000000"/>
          <w:szCs w:val="22"/>
          <w:lang w:val="fr-FR"/>
        </w:rPr>
        <w:t>.</w:t>
      </w:r>
    </w:p>
    <w:p w14:paraId="1327A067" w14:textId="77777777" w:rsidR="009E44A8" w:rsidRPr="00961E0F" w:rsidRDefault="009E44A8" w:rsidP="009E44A8">
      <w:pPr>
        <w:pStyle w:val="EndnoteText"/>
        <w:widowControl w:val="0"/>
        <w:tabs>
          <w:tab w:val="clear" w:pos="567"/>
        </w:tabs>
        <w:rPr>
          <w:color w:val="000000"/>
          <w:szCs w:val="22"/>
          <w:lang w:val="fr-FR"/>
        </w:rPr>
      </w:pPr>
    </w:p>
    <w:p w14:paraId="72414AAF" w14:textId="77777777" w:rsidR="009E44A8" w:rsidRPr="00961E0F" w:rsidRDefault="009E44A8" w:rsidP="009E44A8">
      <w:pPr>
        <w:pStyle w:val="EndnoteText"/>
        <w:widowControl w:val="0"/>
        <w:tabs>
          <w:tab w:val="clear" w:pos="567"/>
        </w:tabs>
        <w:rPr>
          <w:color w:val="000000"/>
          <w:szCs w:val="22"/>
          <w:lang w:val="fr-FR"/>
        </w:rPr>
      </w:pPr>
      <w:r w:rsidRPr="00961E0F">
        <w:rPr>
          <w:color w:val="000000"/>
          <w:szCs w:val="22"/>
          <w:lang w:val="fr-FR"/>
        </w:rPr>
        <w:t>La sécurité et l’efficatité de l’imatinib chez les enfants âgés de moins de 18 ans atteints de SMD/SMP, DFSP, GIST et SHE/LCE n’ont pas été établies par des études cliniques. Les données publiées actuellement disponibles sont résumées dans la rubrique 5.1 mais aucune recommandation sur la posologie ne peut être donnée.</w:t>
      </w:r>
    </w:p>
    <w:p w14:paraId="4DDB0F6A" w14:textId="77777777" w:rsidR="007D642D" w:rsidRPr="00961E0F" w:rsidRDefault="007D642D">
      <w:pPr>
        <w:pStyle w:val="EndnoteText"/>
        <w:widowControl w:val="0"/>
        <w:tabs>
          <w:tab w:val="clear" w:pos="567"/>
        </w:tabs>
        <w:rPr>
          <w:color w:val="000000"/>
          <w:szCs w:val="22"/>
          <w:lang w:val="fr-FR"/>
        </w:rPr>
      </w:pPr>
    </w:p>
    <w:p w14:paraId="67EB2874"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Insuffisance hépatique :</w:t>
      </w:r>
      <w:r w:rsidRPr="00961E0F">
        <w:rPr>
          <w:color w:val="000000"/>
          <w:szCs w:val="22"/>
          <w:lang w:val="fr-FR"/>
        </w:rPr>
        <w:t xml:space="preserve"> L’imatinib est principalement métabolisé par le foie. Les patients présentant une altération de la fonction hépatique, légère, modérée ou importante devraient être traités à la dose minimale recommandée 400 mg. La dose peut être réduite si elle est mal tolérée (voir rubrique 4.4, 4.8 et 5.2).</w:t>
      </w:r>
    </w:p>
    <w:p w14:paraId="437BC6E7" w14:textId="77777777" w:rsidR="007D642D" w:rsidRPr="00961E0F" w:rsidRDefault="007D642D">
      <w:pPr>
        <w:pStyle w:val="EndnoteText"/>
        <w:widowControl w:val="0"/>
        <w:tabs>
          <w:tab w:val="clear" w:pos="567"/>
        </w:tabs>
        <w:rPr>
          <w:color w:val="000000"/>
          <w:szCs w:val="22"/>
          <w:lang w:val="fr-FR"/>
        </w:rPr>
      </w:pPr>
    </w:p>
    <w:p w14:paraId="7E8A60CF"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Classification des altérations hépatiques :</w:t>
      </w:r>
    </w:p>
    <w:p w14:paraId="1DB0DDB0" w14:textId="77777777" w:rsidR="007D642D" w:rsidRPr="00961E0F" w:rsidRDefault="007D642D" w:rsidP="00B92E0B">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6"/>
        <w:gridCol w:w="5494"/>
      </w:tblGrid>
      <w:tr w:rsidR="007D642D" w:rsidRPr="00961E0F" w14:paraId="320AE9BA" w14:textId="77777777" w:rsidTr="00B92E0B">
        <w:trPr>
          <w:cantSplit/>
        </w:trPr>
        <w:tc>
          <w:tcPr>
            <w:tcW w:w="3652" w:type="dxa"/>
          </w:tcPr>
          <w:p w14:paraId="25355F6A"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Altération de la fonction hépatique</w:t>
            </w:r>
          </w:p>
        </w:tc>
        <w:tc>
          <w:tcPr>
            <w:tcW w:w="5634" w:type="dxa"/>
          </w:tcPr>
          <w:p w14:paraId="0B9A1B03"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Tests de la fonction hépatique</w:t>
            </w:r>
          </w:p>
        </w:tc>
      </w:tr>
      <w:tr w:rsidR="007D642D" w:rsidRPr="00961E0F" w14:paraId="09A6CF66" w14:textId="77777777" w:rsidTr="00B92E0B">
        <w:trPr>
          <w:cantSplit/>
        </w:trPr>
        <w:tc>
          <w:tcPr>
            <w:tcW w:w="3652" w:type="dxa"/>
          </w:tcPr>
          <w:p w14:paraId="67B561C7"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Légere</w:t>
            </w:r>
          </w:p>
        </w:tc>
        <w:tc>
          <w:tcPr>
            <w:tcW w:w="5634" w:type="dxa"/>
          </w:tcPr>
          <w:p w14:paraId="34750DFF"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de 1,5 fois </w:t>
            </w:r>
            <w:smartTag w:uri="urn:schemas-microsoft-com:office:smarttags" w:element="PersonName">
              <w:smartTagPr>
                <w:attr w:name="ProductID" w:val="la LSN ASAT"/>
              </w:smartTagPr>
              <w:r w:rsidRPr="00961E0F">
                <w:rPr>
                  <w:color w:val="000000"/>
                  <w:szCs w:val="22"/>
                  <w:lang w:val="fr-FR"/>
                </w:rPr>
                <w:t>la LSN ASAT</w:t>
              </w:r>
            </w:smartTag>
            <w:r w:rsidRPr="00961E0F">
              <w:rPr>
                <w:color w:val="000000"/>
                <w:szCs w:val="22"/>
                <w:lang w:val="fr-FR"/>
              </w:rPr>
              <w:t> : &gt; LSN (peut être normale ou &lt; LSN si la bilirubine totale est &gt; LSN)</w:t>
            </w:r>
          </w:p>
        </w:tc>
      </w:tr>
      <w:tr w:rsidR="007D642D" w:rsidRPr="00961E0F" w14:paraId="04715774" w14:textId="77777777" w:rsidTr="00B92E0B">
        <w:trPr>
          <w:cantSplit/>
        </w:trPr>
        <w:tc>
          <w:tcPr>
            <w:tcW w:w="3652" w:type="dxa"/>
          </w:tcPr>
          <w:p w14:paraId="5F6F34C6"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Modérée</w:t>
            </w:r>
          </w:p>
        </w:tc>
        <w:tc>
          <w:tcPr>
            <w:tcW w:w="5634" w:type="dxa"/>
          </w:tcPr>
          <w:p w14:paraId="48487D06"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&gt; à 1,5 fois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&lt; 3,0 fois </w:t>
            </w:r>
            <w:smartTag w:uri="urn:schemas-microsoft-com:office:smarttags" w:element="PersonName">
              <w:smartTagPr>
                <w:attr w:name="ProductID" w:val="la LSN"/>
              </w:smartTagPr>
              <w:r w:rsidRPr="00961E0F">
                <w:rPr>
                  <w:color w:val="000000"/>
                  <w:szCs w:val="22"/>
                  <w:lang w:val="fr-FR"/>
                </w:rPr>
                <w:t>la LSN</w:t>
              </w:r>
            </w:smartTag>
          </w:p>
          <w:p w14:paraId="1FF13B01"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ASAT quelle que soit la valeur</w:t>
            </w:r>
          </w:p>
        </w:tc>
      </w:tr>
      <w:tr w:rsidR="007D642D" w:rsidRPr="00961E0F" w14:paraId="1003542F" w14:textId="77777777" w:rsidTr="00B92E0B">
        <w:trPr>
          <w:cantSplit/>
        </w:trPr>
        <w:tc>
          <w:tcPr>
            <w:tcW w:w="3652" w:type="dxa"/>
          </w:tcPr>
          <w:p w14:paraId="0B34B890"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Importante</w:t>
            </w:r>
          </w:p>
        </w:tc>
        <w:tc>
          <w:tcPr>
            <w:tcW w:w="5634" w:type="dxa"/>
          </w:tcPr>
          <w:p w14:paraId="0099215E"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 xml:space="preserve">Augmentation de la bilirubine totale &gt; 3,0 fois </w:t>
            </w:r>
            <w:smartTag w:uri="urn:schemas-microsoft-com:office:smarttags" w:element="PersonName">
              <w:smartTagPr>
                <w:attr w:name="ProductID" w:val="la LSN"/>
              </w:smartTagPr>
              <w:r w:rsidRPr="00961E0F">
                <w:rPr>
                  <w:color w:val="000000"/>
                  <w:szCs w:val="22"/>
                  <w:lang w:val="fr-FR"/>
                </w:rPr>
                <w:t>la LSN</w:t>
              </w:r>
            </w:smartTag>
            <w:r w:rsidRPr="00961E0F">
              <w:rPr>
                <w:color w:val="000000"/>
                <w:szCs w:val="22"/>
                <w:lang w:val="fr-FR"/>
              </w:rPr>
              <w:t xml:space="preserve"> et &lt; 10 fois </w:t>
            </w:r>
            <w:smartTag w:uri="urn:schemas-microsoft-com:office:smarttags" w:element="PersonName">
              <w:smartTagPr>
                <w:attr w:name="ProductID" w:val="la LSN"/>
              </w:smartTagPr>
              <w:r w:rsidRPr="00961E0F">
                <w:rPr>
                  <w:color w:val="000000"/>
                  <w:szCs w:val="22"/>
                  <w:lang w:val="fr-FR"/>
                </w:rPr>
                <w:t>la LSN</w:t>
              </w:r>
            </w:smartTag>
          </w:p>
          <w:p w14:paraId="0DA1B758"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ASAT quelle que soit la valeur</w:t>
            </w:r>
          </w:p>
        </w:tc>
      </w:tr>
    </w:tbl>
    <w:p w14:paraId="6AC14A4E" w14:textId="77777777" w:rsidR="007D642D" w:rsidRPr="00961E0F" w:rsidRDefault="007D642D" w:rsidP="00B92E0B">
      <w:pPr>
        <w:pStyle w:val="EndnoteText"/>
        <w:keepNext/>
        <w:widowControl w:val="0"/>
        <w:tabs>
          <w:tab w:val="clear" w:pos="567"/>
        </w:tabs>
        <w:rPr>
          <w:color w:val="000000"/>
          <w:szCs w:val="22"/>
          <w:lang w:val="fr-FR"/>
        </w:rPr>
      </w:pPr>
      <w:r w:rsidRPr="00961E0F">
        <w:rPr>
          <w:color w:val="000000"/>
          <w:szCs w:val="22"/>
          <w:lang w:val="fr-FR"/>
        </w:rPr>
        <w:t>LSN : Limite supérieure de la normale du laboratoire</w:t>
      </w:r>
    </w:p>
    <w:p w14:paraId="144C6F83"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ASAT : aspartate aminotransférase</w:t>
      </w:r>
    </w:p>
    <w:p w14:paraId="535EB63A" w14:textId="77777777" w:rsidR="007D642D" w:rsidRPr="00961E0F" w:rsidRDefault="007D642D">
      <w:pPr>
        <w:pStyle w:val="EndnoteText"/>
        <w:widowControl w:val="0"/>
        <w:tabs>
          <w:tab w:val="clear" w:pos="567"/>
        </w:tabs>
        <w:rPr>
          <w:color w:val="000000"/>
          <w:szCs w:val="22"/>
          <w:lang w:val="fr-FR"/>
        </w:rPr>
      </w:pPr>
    </w:p>
    <w:p w14:paraId="7381AD67"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Insuffisance rénale :</w:t>
      </w:r>
      <w:r w:rsidRPr="00961E0F">
        <w:rPr>
          <w:color w:val="000000"/>
          <w:szCs w:val="22"/>
          <w:lang w:val="fr-FR"/>
        </w:rPr>
        <w:t xml:space="preserve"> Chez les patients présentant une altération de la fonction rénale ou sous dialyse, la dose initiale de traitement de 400 mg par jour est recommandée. Toutefois, la prudence est recommandée chez ces patients. La dose peut être réduite si elle est mal tolérée. Si elle est tolérée, la dose peut être augmentée en l’absence d’efficacité (voir rubrique 4.4 et 5.2).</w:t>
      </w:r>
    </w:p>
    <w:p w14:paraId="50E63C8E" w14:textId="77777777" w:rsidR="007D642D" w:rsidRPr="00961E0F" w:rsidRDefault="007D642D">
      <w:pPr>
        <w:pStyle w:val="EndnoteText"/>
        <w:widowControl w:val="0"/>
        <w:tabs>
          <w:tab w:val="clear" w:pos="567"/>
        </w:tabs>
        <w:rPr>
          <w:color w:val="000000"/>
          <w:szCs w:val="22"/>
          <w:lang w:val="fr-FR"/>
        </w:rPr>
      </w:pPr>
    </w:p>
    <w:p w14:paraId="2BAE0268" w14:textId="77777777" w:rsidR="007D642D" w:rsidRPr="00961E0F" w:rsidRDefault="006E7418">
      <w:pPr>
        <w:pStyle w:val="EndnoteText"/>
        <w:widowControl w:val="0"/>
        <w:tabs>
          <w:tab w:val="clear" w:pos="567"/>
        </w:tabs>
        <w:rPr>
          <w:color w:val="000000"/>
          <w:szCs w:val="22"/>
          <w:lang w:val="fr-FR"/>
        </w:rPr>
      </w:pPr>
      <w:r w:rsidRPr="00961E0F">
        <w:rPr>
          <w:i/>
          <w:color w:val="000000"/>
          <w:szCs w:val="22"/>
          <w:lang w:val="fr-FR"/>
        </w:rPr>
        <w:t xml:space="preserve">Personnes </w:t>
      </w:r>
      <w:r w:rsidR="007D642D" w:rsidRPr="00961E0F">
        <w:rPr>
          <w:i/>
          <w:color w:val="000000"/>
          <w:szCs w:val="22"/>
          <w:lang w:val="fr-FR"/>
        </w:rPr>
        <w:t>âgé</w:t>
      </w:r>
      <w:r w:rsidRPr="00961E0F">
        <w:rPr>
          <w:i/>
          <w:color w:val="000000"/>
          <w:szCs w:val="22"/>
          <w:lang w:val="fr-FR"/>
        </w:rPr>
        <w:t>e</w:t>
      </w:r>
      <w:r w:rsidR="007D642D" w:rsidRPr="00961E0F">
        <w:rPr>
          <w:i/>
          <w:color w:val="000000"/>
          <w:szCs w:val="22"/>
          <w:lang w:val="fr-FR"/>
        </w:rPr>
        <w:t>s :</w:t>
      </w:r>
      <w:r w:rsidR="007D642D" w:rsidRPr="00961E0F">
        <w:rPr>
          <w:color w:val="000000"/>
          <w:szCs w:val="22"/>
          <w:lang w:val="fr-FR"/>
        </w:rPr>
        <w:t xml:space="preserve"> la pharmacocinétique de l’imatinib n’a pas été spécifiquement étudiée chez le</w:t>
      </w:r>
      <w:r w:rsidRPr="00961E0F">
        <w:rPr>
          <w:color w:val="000000"/>
          <w:szCs w:val="22"/>
          <w:lang w:val="fr-FR"/>
        </w:rPr>
        <w:t>s</w:t>
      </w:r>
      <w:r w:rsidR="007D642D" w:rsidRPr="00961E0F">
        <w:rPr>
          <w:color w:val="000000"/>
          <w:szCs w:val="22"/>
          <w:lang w:val="fr-FR"/>
        </w:rPr>
        <w:t xml:space="preserve"> </w:t>
      </w:r>
      <w:r w:rsidRPr="00961E0F">
        <w:rPr>
          <w:color w:val="000000"/>
          <w:szCs w:val="22"/>
          <w:lang w:val="fr-FR"/>
        </w:rPr>
        <w:t xml:space="preserve">personnes </w:t>
      </w:r>
      <w:r w:rsidR="007D642D" w:rsidRPr="00961E0F">
        <w:rPr>
          <w:color w:val="000000"/>
          <w:szCs w:val="22"/>
          <w:lang w:val="fr-FR"/>
        </w:rPr>
        <w:t>âgé</w:t>
      </w:r>
      <w:r w:rsidRPr="00961E0F">
        <w:rPr>
          <w:color w:val="000000"/>
          <w:szCs w:val="22"/>
          <w:lang w:val="fr-FR"/>
        </w:rPr>
        <w:t>es</w:t>
      </w:r>
      <w:r w:rsidR="007D642D" w:rsidRPr="00961E0F">
        <w:rPr>
          <w:color w:val="000000"/>
          <w:szCs w:val="22"/>
          <w:lang w:val="fr-FR"/>
        </w:rPr>
        <w:t xml:space="preserve">. Aucune différence significative de pharmacocinétique n’a été observée en fonction de l’âge chez les patients adultes inclus dans les études cliniques dont plus de 20% étaient âgés de 65 ans et plus. Par conséquent, aucune recommandation particulière sur la posologie n’est requise </w:t>
      </w:r>
      <w:r w:rsidRPr="00961E0F">
        <w:rPr>
          <w:color w:val="000000"/>
          <w:szCs w:val="22"/>
          <w:lang w:val="fr-FR"/>
        </w:rPr>
        <w:t>chez les personnes âgées</w:t>
      </w:r>
      <w:r w:rsidR="007D642D" w:rsidRPr="00961E0F">
        <w:rPr>
          <w:color w:val="000000"/>
          <w:szCs w:val="22"/>
          <w:lang w:val="fr-FR"/>
        </w:rPr>
        <w:t>.</w:t>
      </w:r>
    </w:p>
    <w:p w14:paraId="4D9F1C0F" w14:textId="77777777" w:rsidR="007D642D" w:rsidRPr="00961E0F" w:rsidRDefault="007D642D">
      <w:pPr>
        <w:pStyle w:val="EndnoteText"/>
        <w:widowControl w:val="0"/>
        <w:tabs>
          <w:tab w:val="clear" w:pos="567"/>
        </w:tabs>
        <w:rPr>
          <w:color w:val="000000"/>
          <w:szCs w:val="22"/>
          <w:lang w:val="fr-FR"/>
        </w:rPr>
      </w:pPr>
    </w:p>
    <w:p w14:paraId="6C0441D7" w14:textId="77777777" w:rsidR="00EF4CB3" w:rsidRPr="00961E0F" w:rsidRDefault="00EF4CB3" w:rsidP="00B92E0B">
      <w:pPr>
        <w:keepNext/>
        <w:widowControl w:val="0"/>
        <w:ind w:left="567" w:hanging="567"/>
        <w:rPr>
          <w:rFonts w:ascii="Times New Roman" w:hAnsi="Times New Roman"/>
          <w:color w:val="000000"/>
          <w:szCs w:val="22"/>
        </w:rPr>
      </w:pPr>
      <w:r w:rsidRPr="00961E0F">
        <w:rPr>
          <w:rFonts w:ascii="Times New Roman" w:hAnsi="Times New Roman"/>
          <w:b/>
          <w:color w:val="000000"/>
          <w:szCs w:val="22"/>
        </w:rPr>
        <w:t>4.3</w:t>
      </w:r>
      <w:r w:rsidRPr="00961E0F">
        <w:rPr>
          <w:rFonts w:ascii="Times New Roman" w:hAnsi="Times New Roman"/>
          <w:b/>
          <w:color w:val="000000"/>
          <w:szCs w:val="22"/>
        </w:rPr>
        <w:tab/>
        <w:t>Contre-indications</w:t>
      </w:r>
    </w:p>
    <w:p w14:paraId="7A5EBF80" w14:textId="77777777" w:rsidR="00EF4CB3" w:rsidRPr="00961E0F" w:rsidRDefault="00EF4CB3" w:rsidP="00B92E0B">
      <w:pPr>
        <w:pStyle w:val="EndnoteText"/>
        <w:keepNext/>
        <w:widowControl w:val="0"/>
        <w:tabs>
          <w:tab w:val="clear" w:pos="567"/>
        </w:tabs>
        <w:rPr>
          <w:color w:val="000000"/>
          <w:szCs w:val="22"/>
          <w:lang w:val="fr-FR"/>
        </w:rPr>
      </w:pPr>
    </w:p>
    <w:p w14:paraId="1FE58F02"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Hypersensibilité à la substance active ou à l’un des excipients mentionnés à la rubrique 6.1.</w:t>
      </w:r>
    </w:p>
    <w:p w14:paraId="44ABFCCB" w14:textId="77777777" w:rsidR="00EF4CB3" w:rsidRPr="00961E0F" w:rsidRDefault="00EF4CB3" w:rsidP="00EF4CB3">
      <w:pPr>
        <w:pStyle w:val="EndnoteText"/>
        <w:widowControl w:val="0"/>
        <w:tabs>
          <w:tab w:val="clear" w:pos="567"/>
        </w:tabs>
        <w:rPr>
          <w:color w:val="000000"/>
          <w:szCs w:val="22"/>
          <w:lang w:val="fr-FR"/>
        </w:rPr>
      </w:pPr>
    </w:p>
    <w:p w14:paraId="150DD303" w14:textId="77777777" w:rsidR="00EF4CB3" w:rsidRPr="00961E0F" w:rsidRDefault="00EF4CB3" w:rsidP="00B92E0B">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lastRenderedPageBreak/>
        <w:t>4.4</w:t>
      </w:r>
      <w:r w:rsidRPr="00961E0F">
        <w:rPr>
          <w:rFonts w:ascii="Times New Roman" w:hAnsi="Times New Roman"/>
          <w:b/>
          <w:color w:val="000000"/>
          <w:szCs w:val="22"/>
        </w:rPr>
        <w:tab/>
        <w:t>Mises en garde spéciales et précautions d'emploi</w:t>
      </w:r>
    </w:p>
    <w:p w14:paraId="4E64D6B5" w14:textId="77777777" w:rsidR="00EF4CB3" w:rsidRPr="00961E0F" w:rsidRDefault="00EF4CB3" w:rsidP="00B92E0B">
      <w:pPr>
        <w:keepNext/>
        <w:widowControl w:val="0"/>
        <w:ind w:left="567" w:hanging="567"/>
        <w:rPr>
          <w:rFonts w:ascii="Times New Roman" w:hAnsi="Times New Roman"/>
          <w:color w:val="000000"/>
          <w:szCs w:val="22"/>
        </w:rPr>
      </w:pPr>
    </w:p>
    <w:p w14:paraId="0D8DB593"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Lorsque Glivec est co-administré avec d’autres médicaments, des interactions médicamenteuses sont possibles. La prudence est requise en cas d'utilisation de Glivec avec des inhibiteurs de protéase, des antifongiques azolés, certains macrolides (voir rubrique 4.5), des substrats du CYP3A4 avec une marge thérapeutique étroite (par exemple : ciclosporine, pimozide, tacrolimus, sirolimus, ergotamine, diergotamine, fentanyl, alfentanil, terfénadine, bortézomib, docétaxel, quinidine) ou warfarine et autres dérivés coumariniques (voir rubrique 4.5).</w:t>
      </w:r>
    </w:p>
    <w:p w14:paraId="107B7763" w14:textId="77777777" w:rsidR="00EF4CB3" w:rsidRPr="00961E0F" w:rsidRDefault="00EF4CB3" w:rsidP="00EF4CB3">
      <w:pPr>
        <w:pStyle w:val="EndnoteText"/>
        <w:widowControl w:val="0"/>
        <w:tabs>
          <w:tab w:val="clear" w:pos="567"/>
        </w:tabs>
        <w:rPr>
          <w:color w:val="000000"/>
          <w:szCs w:val="22"/>
          <w:lang w:val="fr-FR"/>
        </w:rPr>
      </w:pPr>
    </w:p>
    <w:p w14:paraId="6B9FC02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L’utilisation concomitante d’imatinib et de médicaments inducteurs du CYP3A4 (par exemple : dexaméthasone, phénytoïne, carbamazépine, rifampicine, phénobarbital, ou </w:t>
      </w:r>
      <w:r w:rsidRPr="00961E0F">
        <w:rPr>
          <w:i/>
          <w:color w:val="000000"/>
          <w:szCs w:val="22"/>
          <w:lang w:val="fr-FR"/>
        </w:rPr>
        <w:t>Hypericum perforatum</w:t>
      </w:r>
      <w:r w:rsidRPr="00961E0F">
        <w:rPr>
          <w:color w:val="000000"/>
          <w:szCs w:val="22"/>
          <w:lang w:val="fr-FR"/>
        </w:rPr>
        <w:t xml:space="preserve"> (millepertuis), peut réduire significativement l’exposition systémique au Glivec et augmenter potentiellement le risque d’échec thérapeutique. Par conséquent, l’utilisation concomitante d’imatinib avec des inducteurs puissants du CYP3A4 devra être évitée (voir rubrique 4.5).</w:t>
      </w:r>
    </w:p>
    <w:p w14:paraId="6A9C1C18" w14:textId="77777777" w:rsidR="00EF4CB3" w:rsidRPr="00961E0F" w:rsidRDefault="00EF4CB3" w:rsidP="00EF4CB3">
      <w:pPr>
        <w:pStyle w:val="EndnoteText"/>
        <w:widowControl w:val="0"/>
        <w:tabs>
          <w:tab w:val="clear" w:pos="567"/>
        </w:tabs>
        <w:rPr>
          <w:color w:val="000000"/>
          <w:szCs w:val="22"/>
          <w:lang w:val="fr-FR"/>
        </w:rPr>
      </w:pPr>
    </w:p>
    <w:p w14:paraId="01EEA2E8"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Hypothyroïdie</w:t>
      </w:r>
    </w:p>
    <w:p w14:paraId="3AEC5E1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Des cas cliniques d’hypothyroïdie ont été rapportés chez des patients traités par Glivec, ayant subi une thyroïdectomie et recevant un traitement par lévothyroxine (voir rubrique 4.5). Les taux de l’hormone thyréotrope (TSH) devront être étroitement surveillés chez ces patients.</w:t>
      </w:r>
    </w:p>
    <w:p w14:paraId="18E39BD1" w14:textId="77777777" w:rsidR="00EF4CB3" w:rsidRPr="00961E0F" w:rsidRDefault="00EF4CB3" w:rsidP="00EF4CB3">
      <w:pPr>
        <w:pStyle w:val="EndnoteText"/>
        <w:widowControl w:val="0"/>
        <w:tabs>
          <w:tab w:val="clear" w:pos="567"/>
        </w:tabs>
        <w:rPr>
          <w:color w:val="000000"/>
          <w:szCs w:val="22"/>
          <w:lang w:val="fr-FR"/>
        </w:rPr>
      </w:pPr>
    </w:p>
    <w:p w14:paraId="6EDD4F27"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Hépatotoxicité</w:t>
      </w:r>
    </w:p>
    <w:p w14:paraId="3B328E2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 métabolisme de Glivec est principalement hépatique, et seulement 13% de l’excrétion est rénale. Chez les patients présentant une altération de la fonction hépatique (légère, modérée ou importante) la numération formule sanguine et les enzymes hépatiques devront être étroitement surveillées (cf. rubrique 4.2, 4.8 et 5.2). Il est à noter que les patients atteints de GIST peuvent présenter des métastases hépatiques qui pourraient entraîner une insuffisance hépatique.</w:t>
      </w:r>
    </w:p>
    <w:p w14:paraId="1D83E867" w14:textId="77777777" w:rsidR="00EF4CB3" w:rsidRPr="00961E0F" w:rsidRDefault="00EF4CB3" w:rsidP="00EF4CB3">
      <w:pPr>
        <w:pStyle w:val="EndnoteText"/>
        <w:widowControl w:val="0"/>
        <w:tabs>
          <w:tab w:val="clear" w:pos="567"/>
        </w:tabs>
        <w:rPr>
          <w:color w:val="000000"/>
          <w:szCs w:val="22"/>
          <w:lang w:val="fr-FR"/>
        </w:rPr>
      </w:pPr>
    </w:p>
    <w:p w14:paraId="68776B6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Des cas d’altérations de la fonction hépatique, y compris des cas d’insuffisance hépatique et de nécrose hépatique ont été observés avec l’imatinib. Lorsque l’imatinib est associé à des chimiothérapies à fortes doses, une augmentation des réactions hépatiques graves a été mise en évidence. Une surveillance étroite de la fonction hépatique est recommandée lorsque l’imatinib est associé à une chimiothérapie connue comme pouvant être associée à une altération de la fonction hépatique (voir rubriques 4.5 et 4.8).</w:t>
      </w:r>
    </w:p>
    <w:p w14:paraId="4860C3F5" w14:textId="77777777" w:rsidR="00EF4CB3" w:rsidRPr="00961E0F" w:rsidRDefault="00EF4CB3" w:rsidP="00EF4CB3">
      <w:pPr>
        <w:pStyle w:val="EndnoteText"/>
        <w:widowControl w:val="0"/>
        <w:tabs>
          <w:tab w:val="clear" w:pos="567"/>
        </w:tabs>
        <w:rPr>
          <w:color w:val="000000"/>
          <w:szCs w:val="22"/>
          <w:lang w:val="fr-FR"/>
        </w:rPr>
      </w:pPr>
    </w:p>
    <w:p w14:paraId="434A70E9"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Rétention hydrique</w:t>
      </w:r>
    </w:p>
    <w:p w14:paraId="19DA6B7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Des cas de rétention hydrique sévère (épanchement pleural, œdème, œdème pulmonaire, ascite, œdème superficiel) ont été décrits chez environ 2,5% des patients atteints de LMC nouvellement diagnostiqués traités par Glivec. Il est donc fortement recommandé de peser régulièrement les patients. Une prise de poids rapide et inattendue devra faire l'objet d'un examen plus approfondi et, si nécessaire, l’instauration d'un traitement symptomatique et des mesures thérapeutiques devront être entreprises. Dans les études cliniques, l’incidence de ces effets indésirables était augmentée chez les personnes âgées ainsi que chez ceux ayant des antécédents cardiaques. La prudence est donc recommandée chez des patients présentant un dysfonctionnement cardiaque.</w:t>
      </w:r>
    </w:p>
    <w:p w14:paraId="6B5A9A3C" w14:textId="77777777" w:rsidR="00EF4CB3" w:rsidRPr="00961E0F" w:rsidRDefault="00EF4CB3" w:rsidP="00EF4CB3">
      <w:pPr>
        <w:pStyle w:val="EndnoteText"/>
        <w:widowControl w:val="0"/>
        <w:tabs>
          <w:tab w:val="clear" w:pos="567"/>
        </w:tabs>
        <w:rPr>
          <w:color w:val="000000"/>
          <w:szCs w:val="22"/>
          <w:lang w:val="fr-FR"/>
        </w:rPr>
      </w:pPr>
    </w:p>
    <w:p w14:paraId="0DDBEB5B"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Patients présentant des pathologies cardiaques</w:t>
      </w:r>
    </w:p>
    <w:p w14:paraId="48E0C9C4"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Les patients présentant des pathologies cardiaques, des facteurs de risque de survenue d’insuffisance cardiaque ou des antécédents d’insuffisance rénale devront être étroitement surveillés, et tout patient présentant des signes ou des symptômes évocateurs d’une insuffisance cardiaque ou rénale doit faire l’objet d’une évaluation et être traités.</w:t>
      </w:r>
    </w:p>
    <w:p w14:paraId="72A93785" w14:textId="77777777" w:rsidR="00EF4CB3" w:rsidRPr="00961E0F" w:rsidRDefault="00EF4CB3" w:rsidP="00EF4CB3">
      <w:pPr>
        <w:pStyle w:val="EndnoteText"/>
        <w:widowControl w:val="0"/>
        <w:tabs>
          <w:tab w:val="clear" w:pos="567"/>
        </w:tabs>
        <w:rPr>
          <w:color w:val="000000"/>
          <w:szCs w:val="22"/>
          <w:lang w:val="fr-FR"/>
        </w:rPr>
      </w:pPr>
    </w:p>
    <w:p w14:paraId="60C3E8E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Chez des patients présentant un syndrome hyperéosinophilique (HES) avec infiltration de cellules HES dans le myocarde, des cas isolés de choc cardiogénique et d’altération de la fonction ventriculaire gauche ont été associés à la dégranulation de cellules HES lors de l’instauration d’un traitement par Glivec. Cette situation s’est montrée réversible après l’administration d’une corticothérapie systémique, des mesures d’assistance circulatoire et l’interruption temporaire de l’imatinib. Comme des effets indésirables cardiaques ont été observés peu fréquemment avec l’imatinib, une évaluation du rapport bénéfices/risques du traitement par l’imatinib devra être envisagé chez les patients attteints de </w:t>
      </w:r>
      <w:r w:rsidRPr="00961E0F">
        <w:rPr>
          <w:color w:val="000000"/>
          <w:szCs w:val="22"/>
          <w:lang w:val="fr-FR"/>
        </w:rPr>
        <w:lastRenderedPageBreak/>
        <w:t>SHE/LCE avant l’instauration du traitement.</w:t>
      </w:r>
    </w:p>
    <w:p w14:paraId="56CB6619" w14:textId="77777777" w:rsidR="00EF4CB3" w:rsidRPr="00961E0F" w:rsidRDefault="00EF4CB3" w:rsidP="00EF4CB3">
      <w:pPr>
        <w:pStyle w:val="EndnoteText"/>
        <w:widowControl w:val="0"/>
        <w:tabs>
          <w:tab w:val="clear" w:pos="567"/>
        </w:tabs>
        <w:rPr>
          <w:color w:val="000000"/>
          <w:szCs w:val="22"/>
          <w:lang w:val="fr-FR"/>
        </w:rPr>
      </w:pPr>
    </w:p>
    <w:p w14:paraId="5418A80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Les syndromes myélodysplasiques/myéloprolifératifs associés à des réarrangements du gène du récepteur PDGFR pourront être associés à des taux élévés d’éosinophiles. La prise en charge par un cardiologue, la réalisation d’un échocardiogramme et le dosage sérique de la troponine devront donc être envisagés chez les patients atteints de SHE/LCE et chez les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associés à des taux élevés d’éosinophiles, avant l’administration de l’imatinib. Si l’un des ces examens est anormal, le suivi par un cardiologue et l’administration prophylactique d’une corticothérapie systémique (1</w:t>
      </w:r>
      <w:r w:rsidRPr="00961E0F">
        <w:rPr>
          <w:color w:val="000000"/>
          <w:szCs w:val="22"/>
          <w:lang w:val="fr-FR"/>
        </w:rPr>
        <w:noBreakHyphen/>
        <w:t>2 mg/kg) pendant une à deux semaines en association avec l’imatinib devra être envisagée lors de l’instauration du traitement.</w:t>
      </w:r>
    </w:p>
    <w:p w14:paraId="50F39B77" w14:textId="77777777" w:rsidR="00EF4CB3" w:rsidRPr="00961E0F" w:rsidRDefault="00EF4CB3" w:rsidP="00EF4CB3">
      <w:pPr>
        <w:pStyle w:val="EndnoteText"/>
        <w:widowControl w:val="0"/>
        <w:tabs>
          <w:tab w:val="clear" w:pos="567"/>
        </w:tabs>
        <w:rPr>
          <w:color w:val="000000"/>
          <w:szCs w:val="22"/>
          <w:lang w:val="fr-FR"/>
        </w:rPr>
      </w:pPr>
    </w:p>
    <w:p w14:paraId="2CA00C88"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Hémorragies gastro-intestinales</w:t>
      </w:r>
    </w:p>
    <w:p w14:paraId="130D9141"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Dans l’étude clinique menée chez des patients atteints de GIST non resécables et/ou métastatiques, des hémorragies gastro-intestinales et intratumorales ont été rapportées (voir rubrique 4.8). Sur la base des données disponibles, aucun facteur (ex. taille de la tumeur, localisation de la tumeur, troubles de la coagulation) n’a été identifié, prédisposant les patients atteints de GIST à un risque plus élevé de développer l’un ou l’autre des deux types d’hémorragies. Puisqu’une augmentation de la vascularisation et une propension aux saignements font partie de la nature et l’évolution clinique de la maladie, des modalités standardisées de suivi et de prise en charge des hémorragies devront être adoptées pour tous les patients.</w:t>
      </w:r>
    </w:p>
    <w:p w14:paraId="0A8A27E9" w14:textId="77777777" w:rsidR="00EF4CB3" w:rsidRPr="00961E0F" w:rsidRDefault="00EF4CB3" w:rsidP="00EF4CB3">
      <w:pPr>
        <w:pStyle w:val="EndnoteText"/>
        <w:widowControl w:val="0"/>
        <w:tabs>
          <w:tab w:val="clear" w:pos="567"/>
        </w:tabs>
        <w:rPr>
          <w:color w:val="000000"/>
          <w:szCs w:val="22"/>
          <w:lang w:val="fr-FR"/>
        </w:rPr>
      </w:pPr>
    </w:p>
    <w:p w14:paraId="7129B915" w14:textId="77777777" w:rsidR="003848E8" w:rsidRPr="00961E0F" w:rsidRDefault="003848E8" w:rsidP="003848E8">
      <w:pPr>
        <w:autoSpaceDE w:val="0"/>
        <w:autoSpaceDN w:val="0"/>
        <w:adjustRightInd w:val="0"/>
        <w:rPr>
          <w:rFonts w:ascii="Times New Roman" w:hAnsi="Times New Roman"/>
          <w:color w:val="000000"/>
          <w:szCs w:val="22"/>
        </w:rPr>
      </w:pPr>
      <w:r w:rsidRPr="00961E0F">
        <w:rPr>
          <w:rFonts w:ascii="Times New Roman" w:hAnsi="Times New Roman"/>
          <w:color w:val="000000"/>
          <w:szCs w:val="22"/>
        </w:rPr>
        <w:t>De plus, des ectasies vasculaires de l’antre gastrique (EVAG), une cause rare d’hémorragies gastro-intestinales, ont été rapportées depuis la mise sur le marché chez des patients atteints de LMC, de LAL et d’autres pathologies (voir rubrique 4.8). Lorsque cela est nécessaire, l’arrêt du traitement par Glivec doit être envisagé.</w:t>
      </w:r>
    </w:p>
    <w:p w14:paraId="68AE579B" w14:textId="77777777" w:rsidR="003848E8" w:rsidRPr="00961E0F" w:rsidRDefault="003848E8" w:rsidP="00EF4CB3">
      <w:pPr>
        <w:pStyle w:val="EndnoteText"/>
        <w:widowControl w:val="0"/>
        <w:tabs>
          <w:tab w:val="clear" w:pos="567"/>
        </w:tabs>
        <w:rPr>
          <w:color w:val="000000"/>
          <w:szCs w:val="22"/>
          <w:lang w:val="fr-FR"/>
        </w:rPr>
      </w:pPr>
    </w:p>
    <w:p w14:paraId="0363D49E" w14:textId="77777777" w:rsidR="00EF4CB3" w:rsidRPr="00961E0F" w:rsidRDefault="00EF4CB3" w:rsidP="00B92E0B">
      <w:pPr>
        <w:keepNext/>
        <w:autoSpaceDE w:val="0"/>
        <w:autoSpaceDN w:val="0"/>
        <w:adjustRightInd w:val="0"/>
        <w:rPr>
          <w:rFonts w:ascii="Times New Roman" w:hAnsi="Times New Roman"/>
          <w:color w:val="000000"/>
          <w:szCs w:val="22"/>
          <w:u w:val="single"/>
        </w:rPr>
      </w:pPr>
      <w:r w:rsidRPr="00961E0F">
        <w:rPr>
          <w:rFonts w:ascii="Times New Roman" w:hAnsi="Times New Roman"/>
          <w:color w:val="000000"/>
          <w:szCs w:val="22"/>
          <w:u w:val="single"/>
        </w:rPr>
        <w:t>Syndrome de lyse tumorale</w:t>
      </w:r>
    </w:p>
    <w:p w14:paraId="27E055D1" w14:textId="77777777" w:rsidR="00EF4CB3" w:rsidRPr="00961E0F" w:rsidRDefault="00EF4CB3" w:rsidP="005964B1">
      <w:pPr>
        <w:autoSpaceDE w:val="0"/>
        <w:autoSpaceDN w:val="0"/>
        <w:adjustRightInd w:val="0"/>
        <w:rPr>
          <w:rFonts w:ascii="Times New Roman" w:hAnsi="Times New Roman"/>
          <w:color w:val="000000"/>
          <w:szCs w:val="22"/>
        </w:rPr>
      </w:pPr>
      <w:r w:rsidRPr="00961E0F">
        <w:rPr>
          <w:rFonts w:ascii="Times New Roman" w:hAnsi="Times New Roman"/>
          <w:color w:val="000000"/>
          <w:szCs w:val="22"/>
        </w:rPr>
        <w:t>En raison de la survenue possible de syndrome de lyse tumorale (SLT), il est recommandé de corriger toute déshydratation cliniquement significative et de traiter l’hyperuricémie avant l’initiation du traitement par Glivec (voir rubrique 4.8).</w:t>
      </w:r>
    </w:p>
    <w:p w14:paraId="6448F10A" w14:textId="77777777" w:rsidR="00684883" w:rsidRPr="00961E0F" w:rsidRDefault="00684883" w:rsidP="005964B1">
      <w:pPr>
        <w:autoSpaceDE w:val="0"/>
        <w:autoSpaceDN w:val="0"/>
        <w:adjustRightInd w:val="0"/>
        <w:rPr>
          <w:rFonts w:ascii="Times New Roman" w:hAnsi="Times New Roman"/>
          <w:color w:val="000000"/>
          <w:szCs w:val="22"/>
        </w:rPr>
      </w:pPr>
    </w:p>
    <w:p w14:paraId="5D53FCB9" w14:textId="77777777" w:rsidR="00684883" w:rsidRPr="00961E0F" w:rsidRDefault="00684883" w:rsidP="005964B1">
      <w:pPr>
        <w:pStyle w:val="Default"/>
        <w:keepNext/>
        <w:rPr>
          <w:rFonts w:ascii="Times New Roman" w:hAnsi="Times New Roman" w:cs="Times New Roman"/>
          <w:sz w:val="22"/>
          <w:szCs w:val="22"/>
          <w:u w:val="single"/>
          <w:lang w:val="fr-FR"/>
        </w:rPr>
      </w:pPr>
      <w:r w:rsidRPr="00961E0F">
        <w:rPr>
          <w:rFonts w:ascii="Times New Roman" w:hAnsi="Times New Roman" w:cs="Times New Roman"/>
          <w:sz w:val="22"/>
          <w:szCs w:val="22"/>
          <w:u w:val="single"/>
          <w:lang w:val="fr-FR"/>
        </w:rPr>
        <w:t>Réactivation de l'hépatite B</w:t>
      </w:r>
    </w:p>
    <w:p w14:paraId="7A133B37" w14:textId="77777777" w:rsidR="005964B1" w:rsidRPr="00961E0F" w:rsidRDefault="00684883" w:rsidP="005964B1">
      <w:pPr>
        <w:pStyle w:val="Default"/>
        <w:rPr>
          <w:rFonts w:ascii="Times New Roman" w:hAnsi="Times New Roman" w:cs="Times New Roman"/>
          <w:sz w:val="22"/>
          <w:szCs w:val="22"/>
          <w:lang w:val="fr-FR"/>
        </w:rPr>
      </w:pPr>
      <w:r w:rsidRPr="00961E0F">
        <w:rPr>
          <w:rFonts w:ascii="Times New Roman" w:hAnsi="Times New Roman" w:cs="Times New Roman"/>
          <w:sz w:val="22"/>
          <w:szCs w:val="22"/>
          <w:lang w:val="fr-FR"/>
        </w:rPr>
        <w:t>Des cas de réactivation du virus l’hépatite B ont été rapportés chez des patients porteurs chroniques du virus et traités par des inhibiteurs de la tyrosine kinase BCR-ABL. Certains de ces cas ont évolué vers une insuffisance hépatique aiguë ou une hépatite fulminante requérant une transplantation hépatique ou dont l’issue a été fatale.</w:t>
      </w:r>
    </w:p>
    <w:p w14:paraId="4ED3B067" w14:textId="77777777" w:rsidR="00684883" w:rsidRPr="00961E0F" w:rsidRDefault="00684883" w:rsidP="005964B1">
      <w:pPr>
        <w:pStyle w:val="Default"/>
        <w:rPr>
          <w:rFonts w:ascii="Times New Roman" w:hAnsi="Times New Roman" w:cs="Times New Roman"/>
          <w:sz w:val="22"/>
          <w:szCs w:val="22"/>
          <w:lang w:val="fr-FR"/>
        </w:rPr>
      </w:pPr>
    </w:p>
    <w:p w14:paraId="2A235056" w14:textId="77777777" w:rsidR="00684883" w:rsidRPr="00961E0F" w:rsidRDefault="00684883" w:rsidP="005964B1">
      <w:pPr>
        <w:autoSpaceDE w:val="0"/>
        <w:autoSpaceDN w:val="0"/>
        <w:adjustRightInd w:val="0"/>
        <w:rPr>
          <w:rFonts w:ascii="Times New Roman" w:hAnsi="Times New Roman"/>
          <w:szCs w:val="22"/>
        </w:rPr>
      </w:pPr>
      <w:r w:rsidRPr="00961E0F">
        <w:rPr>
          <w:rFonts w:ascii="Times New Roman" w:hAnsi="Times New Roman"/>
          <w:szCs w:val="22"/>
        </w:rPr>
        <w:t>Tous les patients doivent faire l’objet d’un dépistage d’une infection par le VHB avant l’initiation d’un traitement par Glivec. Un médecin spécialisé en hépatologie doit être consulté avant i</w:t>
      </w:r>
      <w:r w:rsidRPr="00961E0F">
        <w:rPr>
          <w:rFonts w:ascii="Times New Roman" w:hAnsi="Times New Roman"/>
        </w:rPr>
        <w:t>nstauration du traitement chez l</w:t>
      </w:r>
      <w:r w:rsidRPr="00961E0F">
        <w:rPr>
          <w:rFonts w:ascii="Times New Roman" w:hAnsi="Times New Roman"/>
          <w:szCs w:val="22"/>
        </w:rPr>
        <w:t xml:space="preserve">es patients porteurs de marqueurs sérologiques positifs (y compris ceux ayant une hépatite B active) et chez les patients dont la sérologie devient positive en cours du traitement. Les patients porteurs du VHB doivent être étroitement suivis tout au long du traitement par </w:t>
      </w:r>
      <w:r w:rsidRPr="00961E0F">
        <w:rPr>
          <w:rFonts w:ascii="Times New Roman" w:hAnsi="Times New Roman"/>
        </w:rPr>
        <w:t xml:space="preserve">Glivec </w:t>
      </w:r>
      <w:r w:rsidRPr="00961E0F">
        <w:rPr>
          <w:rFonts w:ascii="Times New Roman" w:hAnsi="Times New Roman"/>
          <w:szCs w:val="22"/>
        </w:rPr>
        <w:t>et plusieurs mois après la fin du traitement (voir rubrique</w:t>
      </w:r>
      <w:r w:rsidR="005964B1" w:rsidRPr="00961E0F">
        <w:rPr>
          <w:rFonts w:ascii="Times New Roman" w:hAnsi="Times New Roman"/>
          <w:szCs w:val="22"/>
        </w:rPr>
        <w:t> </w:t>
      </w:r>
      <w:r w:rsidRPr="00961E0F">
        <w:rPr>
          <w:rFonts w:ascii="Times New Roman" w:hAnsi="Times New Roman"/>
          <w:szCs w:val="22"/>
        </w:rPr>
        <w:t>4.8).</w:t>
      </w:r>
    </w:p>
    <w:p w14:paraId="27CDC2D1" w14:textId="77777777" w:rsidR="0067392E" w:rsidRPr="00961E0F" w:rsidRDefault="0067392E" w:rsidP="005964B1">
      <w:pPr>
        <w:autoSpaceDE w:val="0"/>
        <w:autoSpaceDN w:val="0"/>
        <w:adjustRightInd w:val="0"/>
        <w:rPr>
          <w:rFonts w:ascii="Times New Roman" w:hAnsi="Times New Roman"/>
          <w:szCs w:val="22"/>
        </w:rPr>
      </w:pPr>
    </w:p>
    <w:p w14:paraId="1BB7A205" w14:textId="77777777" w:rsidR="0067392E" w:rsidRPr="00961E0F" w:rsidRDefault="0067392E" w:rsidP="007F0AF2">
      <w:pPr>
        <w:keepNext/>
        <w:rPr>
          <w:rFonts w:ascii="Times New Roman" w:hAnsi="Times New Roman"/>
          <w:color w:val="000000"/>
          <w:szCs w:val="22"/>
          <w:u w:val="single"/>
        </w:rPr>
      </w:pPr>
      <w:r w:rsidRPr="00961E0F">
        <w:rPr>
          <w:rFonts w:ascii="Times New Roman" w:hAnsi="Times New Roman"/>
          <w:color w:val="000000"/>
          <w:szCs w:val="22"/>
          <w:u w:val="single"/>
        </w:rPr>
        <w:t>Phototoxicité</w:t>
      </w:r>
    </w:p>
    <w:p w14:paraId="6ECF6857" w14:textId="77777777" w:rsidR="0067392E" w:rsidRPr="00961E0F" w:rsidRDefault="0067392E" w:rsidP="005964B1">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L’exposition directe </w:t>
      </w:r>
      <w:r w:rsidR="00D66C34" w:rsidRPr="00961E0F">
        <w:rPr>
          <w:rFonts w:ascii="Times New Roman" w:hAnsi="Times New Roman"/>
          <w:color w:val="000000"/>
          <w:szCs w:val="22"/>
        </w:rPr>
        <w:t>au soleil</w:t>
      </w:r>
      <w:r w:rsidRPr="00961E0F">
        <w:rPr>
          <w:rFonts w:ascii="Times New Roman" w:hAnsi="Times New Roman"/>
          <w:color w:val="000000"/>
          <w:szCs w:val="22"/>
        </w:rPr>
        <w:t xml:space="preserve"> doit être évitée ou réduite en raison du risque de phototoxicité associé au traitement par imatinib. Il doit être conseillé aux patients d’utiliser des mesures telles que le port de vêtements de protection et l’utilisation d’un écran solaire avec un facteur de protection solaire (FPS) élevé.</w:t>
      </w:r>
    </w:p>
    <w:p w14:paraId="25E2B93C" w14:textId="77777777" w:rsidR="00F279C2" w:rsidRPr="00961E0F" w:rsidRDefault="00F279C2" w:rsidP="00F279C2">
      <w:pPr>
        <w:autoSpaceDE w:val="0"/>
        <w:autoSpaceDN w:val="0"/>
        <w:adjustRightInd w:val="0"/>
        <w:rPr>
          <w:rFonts w:ascii="Times New Roman" w:hAnsi="Times New Roman"/>
          <w:color w:val="000000"/>
          <w:szCs w:val="22"/>
        </w:rPr>
      </w:pPr>
    </w:p>
    <w:p w14:paraId="05E8EE5E" w14:textId="77777777" w:rsidR="0035520A" w:rsidRPr="00961E0F" w:rsidRDefault="0035520A" w:rsidP="0035520A">
      <w:pPr>
        <w:keepNext/>
        <w:autoSpaceDE w:val="0"/>
        <w:autoSpaceDN w:val="0"/>
        <w:adjustRightInd w:val="0"/>
        <w:rPr>
          <w:rFonts w:ascii="Times New Roman" w:hAnsi="Times New Roman"/>
          <w:color w:val="000000"/>
          <w:szCs w:val="22"/>
          <w:u w:val="single"/>
        </w:rPr>
      </w:pPr>
      <w:r w:rsidRPr="00961E0F">
        <w:rPr>
          <w:rFonts w:ascii="Times New Roman" w:hAnsi="Times New Roman"/>
          <w:color w:val="000000"/>
          <w:szCs w:val="22"/>
          <w:u w:val="single"/>
        </w:rPr>
        <w:t>Microangiopathie thrombotique</w:t>
      </w:r>
    </w:p>
    <w:p w14:paraId="540D4F22" w14:textId="77777777" w:rsidR="0035520A" w:rsidRPr="00961E0F" w:rsidRDefault="0035520A" w:rsidP="0035520A">
      <w:pPr>
        <w:autoSpaceDE w:val="0"/>
        <w:autoSpaceDN w:val="0"/>
        <w:adjustRightInd w:val="0"/>
        <w:rPr>
          <w:rFonts w:ascii="Times New Roman" w:hAnsi="Times New Roman"/>
          <w:color w:val="000000"/>
          <w:szCs w:val="22"/>
        </w:rPr>
      </w:pPr>
      <w:r w:rsidRPr="00961E0F">
        <w:rPr>
          <w:rFonts w:ascii="Times New Roman" w:hAnsi="Times New Roman"/>
          <w:color w:val="000000"/>
          <w:szCs w:val="22"/>
        </w:rPr>
        <w:t xml:space="preserve">Les inhibiteurs de </w:t>
      </w:r>
      <w:r w:rsidR="0022265F" w:rsidRPr="00961E0F">
        <w:rPr>
          <w:rFonts w:ascii="Times New Roman" w:hAnsi="Times New Roman"/>
          <w:color w:val="000000"/>
          <w:szCs w:val="22"/>
        </w:rPr>
        <w:t xml:space="preserve">la </w:t>
      </w:r>
      <w:r w:rsidRPr="00961E0F">
        <w:rPr>
          <w:rFonts w:ascii="Times New Roman" w:hAnsi="Times New Roman"/>
          <w:color w:val="000000"/>
          <w:szCs w:val="22"/>
        </w:rPr>
        <w:t xml:space="preserve">tyrosine kinase (ITK) BCR-ABL ont été </w:t>
      </w:r>
      <w:r w:rsidR="0022265F" w:rsidRPr="00961E0F">
        <w:rPr>
          <w:rFonts w:ascii="Times New Roman" w:hAnsi="Times New Roman"/>
          <w:color w:val="000000"/>
          <w:szCs w:val="22"/>
        </w:rPr>
        <w:t>associés</w:t>
      </w:r>
      <w:r w:rsidRPr="00961E0F">
        <w:rPr>
          <w:rFonts w:ascii="Times New Roman" w:hAnsi="Times New Roman"/>
          <w:color w:val="000000"/>
          <w:szCs w:val="22"/>
        </w:rPr>
        <w:t xml:space="preserve"> à des microangiopathies thrombotiques (MAT), et des cas individuels ont été rapportés avec Glivec (voir rubrique 4.8). Si des résultats biologiques ou cliniques associés à une MAT surviennent chez un patient traité par Glivec, le traitement doit être interrompu et un</w:t>
      </w:r>
      <w:r w:rsidR="0022265F" w:rsidRPr="00961E0F">
        <w:rPr>
          <w:rFonts w:ascii="Times New Roman" w:hAnsi="Times New Roman"/>
          <w:color w:val="000000"/>
          <w:szCs w:val="22"/>
        </w:rPr>
        <w:t>e évaluation appronfondie</w:t>
      </w:r>
      <w:r w:rsidRPr="00961E0F">
        <w:rPr>
          <w:rFonts w:ascii="Times New Roman" w:hAnsi="Times New Roman"/>
          <w:color w:val="000000"/>
          <w:szCs w:val="22"/>
        </w:rPr>
        <w:t xml:space="preserve"> de</w:t>
      </w:r>
      <w:r w:rsidR="0022265F" w:rsidRPr="00961E0F">
        <w:rPr>
          <w:rFonts w:ascii="Times New Roman" w:hAnsi="Times New Roman"/>
          <w:color w:val="000000"/>
          <w:szCs w:val="22"/>
        </w:rPr>
        <w:t xml:space="preserve"> la</w:t>
      </w:r>
      <w:r w:rsidRPr="00961E0F">
        <w:rPr>
          <w:rFonts w:ascii="Times New Roman" w:hAnsi="Times New Roman"/>
          <w:color w:val="000000"/>
          <w:szCs w:val="22"/>
        </w:rPr>
        <w:t xml:space="preserve"> MAT doit être réalisé</w:t>
      </w:r>
      <w:r w:rsidR="0022265F" w:rsidRPr="00961E0F">
        <w:rPr>
          <w:rFonts w:ascii="Times New Roman" w:hAnsi="Times New Roman"/>
          <w:color w:val="000000"/>
          <w:szCs w:val="22"/>
        </w:rPr>
        <w:t>e</w:t>
      </w:r>
      <w:r w:rsidRPr="00961E0F">
        <w:rPr>
          <w:rFonts w:ascii="Times New Roman" w:hAnsi="Times New Roman"/>
          <w:color w:val="000000"/>
          <w:szCs w:val="22"/>
        </w:rPr>
        <w:t xml:space="preserve">, </w:t>
      </w:r>
      <w:r w:rsidR="00242E28" w:rsidRPr="00961E0F">
        <w:rPr>
          <w:rFonts w:ascii="Times New Roman" w:hAnsi="Times New Roman"/>
          <w:color w:val="000000"/>
          <w:szCs w:val="22"/>
        </w:rPr>
        <w:t>incluant</w:t>
      </w:r>
      <w:r w:rsidRPr="00961E0F">
        <w:rPr>
          <w:rFonts w:ascii="Times New Roman" w:hAnsi="Times New Roman"/>
          <w:color w:val="000000"/>
          <w:szCs w:val="22"/>
        </w:rPr>
        <w:t xml:space="preserve"> la détermination de l’activité ADAMTS13 et des anticorps anti-ADAMTS13. Si le taux d’anticorps anti-</w:t>
      </w:r>
      <w:r w:rsidRPr="00961E0F">
        <w:rPr>
          <w:rFonts w:ascii="Times New Roman" w:hAnsi="Times New Roman"/>
          <w:color w:val="000000"/>
          <w:szCs w:val="22"/>
        </w:rPr>
        <w:lastRenderedPageBreak/>
        <w:t>ADAMTS13 est élevé conjointement à une activité ADAMTS13 faible, le traitement par Glivec ne doit pas être repris.</w:t>
      </w:r>
    </w:p>
    <w:p w14:paraId="1DA1B407" w14:textId="77777777" w:rsidR="00EF4CB3" w:rsidRPr="00961E0F" w:rsidRDefault="00EF4CB3" w:rsidP="001B28B4">
      <w:pPr>
        <w:pStyle w:val="EndnoteText"/>
        <w:widowControl w:val="0"/>
        <w:tabs>
          <w:tab w:val="clear" w:pos="567"/>
        </w:tabs>
        <w:rPr>
          <w:color w:val="000000"/>
          <w:szCs w:val="22"/>
          <w:lang w:val="fr-FR"/>
        </w:rPr>
      </w:pPr>
    </w:p>
    <w:p w14:paraId="5F8440DD" w14:textId="77777777" w:rsidR="00EF4CB3" w:rsidRPr="00961E0F" w:rsidRDefault="00EF4CB3" w:rsidP="00B92E0B">
      <w:pPr>
        <w:pStyle w:val="EndnoteText"/>
        <w:keepNext/>
        <w:widowControl w:val="0"/>
        <w:tabs>
          <w:tab w:val="clear" w:pos="567"/>
        </w:tabs>
        <w:rPr>
          <w:color w:val="000000"/>
          <w:szCs w:val="22"/>
          <w:lang w:val="fr-FR"/>
        </w:rPr>
      </w:pPr>
      <w:r w:rsidRPr="00961E0F">
        <w:rPr>
          <w:color w:val="000000"/>
          <w:szCs w:val="22"/>
          <w:u w:val="single"/>
          <w:lang w:val="fr-FR"/>
        </w:rPr>
        <w:t>Analyses biologiques</w:t>
      </w:r>
    </w:p>
    <w:p w14:paraId="6FB953B2" w14:textId="77777777" w:rsidR="00EF4CB3" w:rsidRPr="00961E0F" w:rsidRDefault="00EF4CB3" w:rsidP="005964B1">
      <w:pPr>
        <w:pStyle w:val="EndnoteText"/>
        <w:widowControl w:val="0"/>
        <w:tabs>
          <w:tab w:val="clear" w:pos="567"/>
        </w:tabs>
        <w:rPr>
          <w:color w:val="000000"/>
          <w:szCs w:val="22"/>
          <w:lang w:val="fr-FR"/>
        </w:rPr>
      </w:pPr>
      <w:r w:rsidRPr="00961E0F">
        <w:rPr>
          <w:color w:val="000000"/>
          <w:szCs w:val="22"/>
          <w:lang w:val="fr-FR"/>
        </w:rPr>
        <w:t xml:space="preserve">Des numérations formules sanguines doivent être effectuées régulièrement : le traitement par Glivec de patients atteints de LMC a été associé à une neutropénie ou une thrombopénie. Cependant, la survenue de ces cytopénies est vraisemblablement liée au stade de la maladie traitée : elles ont été plus fréquemment retrouvées chez les patients en phase accélérée ou en crise blastique que chez ceux en phase chronique de </w:t>
      </w:r>
      <w:smartTag w:uri="urn:schemas-microsoft-com:office:smarttags" w:element="PersonName">
        <w:smartTagPr>
          <w:attr w:name="ProductID" w:val="la LMC. Le"/>
        </w:smartTagPr>
        <w:r w:rsidRPr="00961E0F">
          <w:rPr>
            <w:color w:val="000000"/>
            <w:szCs w:val="22"/>
            <w:lang w:val="fr-FR"/>
          </w:rPr>
          <w:t>la LMC. Le</w:t>
        </w:r>
      </w:smartTag>
      <w:r w:rsidRPr="00961E0F">
        <w:rPr>
          <w:color w:val="000000"/>
          <w:szCs w:val="22"/>
          <w:lang w:val="fr-FR"/>
        </w:rPr>
        <w:t xml:space="preserve"> traitement peut alors être interrompu ou la dose réduite, selon les recommandations de la rubrique 4.2.</w:t>
      </w:r>
    </w:p>
    <w:p w14:paraId="33CCC5B5" w14:textId="77777777" w:rsidR="00EF4CB3" w:rsidRPr="00961E0F" w:rsidRDefault="00EF4CB3" w:rsidP="00EF4CB3">
      <w:pPr>
        <w:pStyle w:val="EndnoteText"/>
        <w:widowControl w:val="0"/>
        <w:tabs>
          <w:tab w:val="clear" w:pos="567"/>
        </w:tabs>
        <w:rPr>
          <w:color w:val="000000"/>
          <w:szCs w:val="22"/>
          <w:lang w:val="fr-FR"/>
        </w:rPr>
      </w:pPr>
    </w:p>
    <w:p w14:paraId="51C975E9"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La fonction hépatique (transaminases, bilirubine, phosphatases alcalines) doit faire l’objet d’une surveillance régulière.</w:t>
      </w:r>
    </w:p>
    <w:p w14:paraId="38BD5E96" w14:textId="77777777" w:rsidR="00EF4CB3" w:rsidRPr="00961E0F" w:rsidRDefault="00EF4CB3" w:rsidP="00EF4CB3">
      <w:pPr>
        <w:pStyle w:val="EndnoteText"/>
        <w:widowControl w:val="0"/>
        <w:tabs>
          <w:tab w:val="clear" w:pos="567"/>
        </w:tabs>
        <w:rPr>
          <w:color w:val="000000"/>
          <w:szCs w:val="22"/>
          <w:lang w:val="fr-FR"/>
        </w:rPr>
      </w:pPr>
    </w:p>
    <w:p w14:paraId="53E26C6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Chez les patients présentant une altération de la fonction rénale, l’exposition plasmatique à l’imatinib semble être supérieure à celle des patients présentant une fonction rénale normale, probablement en raison d’un taux plasmatique élevé de l’alpha-glycoprotéine acide, une protéine plasmatique liée à l’imatinib, chez ces patients. Chez les patients présentant une altération de la fonction rénale légère à modérée, la dose initiale de traitement de 400 mg par jour est recommandée. Les patients présentant une altération sévère de la fonction rénale devront être traités avec attention. La dose peut être réduite si elle est mal tolérée (voir rubrique 4.2 et 5.2).</w:t>
      </w:r>
    </w:p>
    <w:p w14:paraId="3065389B" w14:textId="77777777" w:rsidR="00A17E1E" w:rsidRPr="00961E0F" w:rsidRDefault="00A17E1E" w:rsidP="00EF4CB3">
      <w:pPr>
        <w:pStyle w:val="EndnoteText"/>
        <w:widowControl w:val="0"/>
        <w:tabs>
          <w:tab w:val="clear" w:pos="567"/>
        </w:tabs>
        <w:rPr>
          <w:color w:val="000000"/>
          <w:szCs w:val="22"/>
          <w:lang w:val="fr-FR"/>
        </w:rPr>
      </w:pPr>
    </w:p>
    <w:p w14:paraId="36396AF3" w14:textId="77777777" w:rsidR="00A17E1E" w:rsidRPr="00961E0F" w:rsidRDefault="00A17E1E" w:rsidP="00EF4CB3">
      <w:pPr>
        <w:pStyle w:val="EndnoteText"/>
        <w:widowControl w:val="0"/>
        <w:tabs>
          <w:tab w:val="clear" w:pos="567"/>
        </w:tabs>
        <w:rPr>
          <w:color w:val="000000"/>
          <w:szCs w:val="22"/>
          <w:lang w:val="fr-FR"/>
        </w:rPr>
      </w:pPr>
      <w:r w:rsidRPr="00961E0F">
        <w:rPr>
          <w:color w:val="000000"/>
          <w:szCs w:val="22"/>
          <w:lang w:val="fr-FR"/>
        </w:rPr>
        <w:t>Un traitement au long terme par imatinib peut être associé à une détérioration cliniquement significative de la fonction rénale. La fonction rénale doit donc être évaluée avant le début du traitement par imatinib et étroitement surveillée pendant le traitement, en portant une attention particulière aux patients présentant des facteurs de risque d’altération de la fonction rénale. Si une altération de la fonction rénale est observée, une prise en charge et un traitement adapté</w:t>
      </w:r>
      <w:r w:rsidR="0013094E" w:rsidRPr="00961E0F">
        <w:rPr>
          <w:color w:val="000000"/>
          <w:szCs w:val="22"/>
          <w:lang w:val="fr-FR"/>
        </w:rPr>
        <w:t>s</w:t>
      </w:r>
      <w:r w:rsidRPr="00961E0F">
        <w:rPr>
          <w:color w:val="000000"/>
          <w:szCs w:val="22"/>
          <w:lang w:val="fr-FR"/>
        </w:rPr>
        <w:t xml:space="preserve"> doivent être mis en place en accord avec les recommandations standard</w:t>
      </w:r>
      <w:r w:rsidR="004F627D" w:rsidRPr="00961E0F">
        <w:rPr>
          <w:color w:val="000000"/>
          <w:szCs w:val="22"/>
          <w:lang w:val="fr-FR"/>
        </w:rPr>
        <w:t>s</w:t>
      </w:r>
      <w:r w:rsidRPr="00961E0F">
        <w:rPr>
          <w:color w:val="000000"/>
          <w:szCs w:val="22"/>
          <w:lang w:val="fr-FR"/>
        </w:rPr>
        <w:t xml:space="preserve"> de traitement.</w:t>
      </w:r>
    </w:p>
    <w:p w14:paraId="53C8C18B" w14:textId="77777777" w:rsidR="00EF4CB3" w:rsidRPr="00961E0F" w:rsidRDefault="00EF4CB3" w:rsidP="00EF4CB3">
      <w:pPr>
        <w:pStyle w:val="EndnoteText"/>
        <w:widowControl w:val="0"/>
        <w:tabs>
          <w:tab w:val="clear" w:pos="567"/>
        </w:tabs>
        <w:rPr>
          <w:color w:val="000000"/>
          <w:szCs w:val="22"/>
          <w:lang w:val="fr-FR"/>
        </w:rPr>
      </w:pPr>
    </w:p>
    <w:p w14:paraId="57B5E675" w14:textId="77777777" w:rsidR="00EF4CB3" w:rsidRPr="00961E0F" w:rsidRDefault="00EF4CB3" w:rsidP="00B92E0B">
      <w:pPr>
        <w:pStyle w:val="EndnoteText"/>
        <w:keepNext/>
        <w:widowControl w:val="0"/>
        <w:tabs>
          <w:tab w:val="clear" w:pos="567"/>
        </w:tabs>
        <w:rPr>
          <w:color w:val="000000"/>
          <w:szCs w:val="22"/>
          <w:u w:val="single"/>
          <w:lang w:val="fr-FR"/>
        </w:rPr>
      </w:pPr>
      <w:r w:rsidRPr="00961E0F">
        <w:rPr>
          <w:color w:val="000000"/>
          <w:szCs w:val="22"/>
          <w:u w:val="single"/>
          <w:lang w:val="fr-FR"/>
        </w:rPr>
        <w:t>Population pédiatrique</w:t>
      </w:r>
    </w:p>
    <w:p w14:paraId="78570518"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Des cas de retard de croissance chez les enfants et pré-adolescents recevant de l’imatinib ont été rapportés. </w:t>
      </w:r>
      <w:r w:rsidR="00250DF7" w:rsidRPr="00961E0F">
        <w:rPr>
          <w:color w:val="000000"/>
          <w:szCs w:val="22"/>
          <w:lang w:val="fr-FR"/>
        </w:rPr>
        <w:t>Dans une étude observationnelle chez les patients pédiatriques atteints de LMC, une diminution statistiquement significative (mais d’une pertinence clinique incertaine) de la médiane du score d’écart type de la taille après 12 et 24 mois de traitement a été reportée dans deux sous-groupes</w:t>
      </w:r>
      <w:r w:rsidR="00B41042" w:rsidRPr="00961E0F">
        <w:rPr>
          <w:color w:val="000000"/>
          <w:szCs w:val="22"/>
          <w:lang w:val="fr-FR"/>
        </w:rPr>
        <w:t xml:space="preserve"> de taille limitée,</w:t>
      </w:r>
      <w:r w:rsidR="00250DF7" w:rsidRPr="00961E0F">
        <w:rPr>
          <w:color w:val="000000"/>
          <w:szCs w:val="22"/>
          <w:lang w:val="fr-FR"/>
        </w:rPr>
        <w:t xml:space="preserve"> indépendamment du statut pubertaire</w:t>
      </w:r>
      <w:r w:rsidR="00755077" w:rsidRPr="00961E0F">
        <w:rPr>
          <w:color w:val="000000"/>
          <w:szCs w:val="22"/>
          <w:lang w:val="fr-FR"/>
        </w:rPr>
        <w:t xml:space="preserve"> </w:t>
      </w:r>
      <w:r w:rsidR="0026756C" w:rsidRPr="00961E0F">
        <w:rPr>
          <w:color w:val="000000"/>
          <w:szCs w:val="22"/>
          <w:lang w:val="fr-FR"/>
        </w:rPr>
        <w:t>ou</w:t>
      </w:r>
      <w:r w:rsidR="00706DB9" w:rsidRPr="00961E0F">
        <w:rPr>
          <w:color w:val="000000"/>
          <w:szCs w:val="22"/>
          <w:lang w:val="fr-FR"/>
        </w:rPr>
        <w:t xml:space="preserve"> du sexe.</w:t>
      </w:r>
      <w:r w:rsidR="00C8738B" w:rsidRPr="00961E0F">
        <w:rPr>
          <w:color w:val="000000"/>
          <w:szCs w:val="22"/>
          <w:lang w:val="fr-FR"/>
        </w:rPr>
        <w:t xml:space="preserve"> </w:t>
      </w:r>
      <w:r w:rsidR="002139B9" w:rsidRPr="00961E0F">
        <w:rPr>
          <w:color w:val="000000"/>
          <w:szCs w:val="22"/>
          <w:lang w:val="fr-FR"/>
        </w:rPr>
        <w:t>U</w:t>
      </w:r>
      <w:r w:rsidRPr="00961E0F">
        <w:rPr>
          <w:color w:val="000000"/>
          <w:szCs w:val="22"/>
          <w:lang w:val="fr-FR"/>
        </w:rPr>
        <w:t>ne surveillance étroite de la croissance chez les enfants traités par imatinib est recommandée (voir rubrique 4.8).</w:t>
      </w:r>
    </w:p>
    <w:p w14:paraId="3D6B6DD1" w14:textId="77777777" w:rsidR="00EF4CB3" w:rsidRPr="00961E0F" w:rsidRDefault="00EF4CB3" w:rsidP="00EF4CB3">
      <w:pPr>
        <w:pStyle w:val="EndnoteText"/>
        <w:widowControl w:val="0"/>
        <w:tabs>
          <w:tab w:val="clear" w:pos="567"/>
        </w:tabs>
        <w:rPr>
          <w:color w:val="000000"/>
          <w:szCs w:val="22"/>
          <w:lang w:val="fr-FR"/>
        </w:rPr>
      </w:pPr>
    </w:p>
    <w:p w14:paraId="5D60CDC1" w14:textId="77777777" w:rsidR="00EF4CB3" w:rsidRPr="00961E0F" w:rsidRDefault="00EF4CB3" w:rsidP="004B2956">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4.5</w:t>
      </w:r>
      <w:r w:rsidRPr="00961E0F">
        <w:rPr>
          <w:rFonts w:ascii="Times New Roman" w:hAnsi="Times New Roman"/>
          <w:b/>
          <w:color w:val="000000"/>
          <w:szCs w:val="22"/>
        </w:rPr>
        <w:tab/>
        <w:t>Interactions avec d'autres médicaments et autres formes d'interactions</w:t>
      </w:r>
    </w:p>
    <w:p w14:paraId="65C2555B" w14:textId="77777777" w:rsidR="00EF4CB3" w:rsidRPr="00961E0F" w:rsidRDefault="00EF4CB3" w:rsidP="004B2956">
      <w:pPr>
        <w:pStyle w:val="EndnoteText"/>
        <w:keepNext/>
        <w:widowControl w:val="0"/>
        <w:tabs>
          <w:tab w:val="clear" w:pos="567"/>
        </w:tabs>
        <w:rPr>
          <w:color w:val="000000"/>
          <w:szCs w:val="22"/>
          <w:lang w:val="fr-FR"/>
        </w:rPr>
      </w:pPr>
    </w:p>
    <w:p w14:paraId="6B5161A4"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 xml:space="preserve">Substances actives pouvant </w:t>
      </w:r>
      <w:r w:rsidRPr="00961E0F">
        <w:rPr>
          <w:b/>
          <w:color w:val="000000"/>
          <w:szCs w:val="22"/>
          <w:u w:val="single"/>
          <w:lang w:val="fr-FR"/>
        </w:rPr>
        <w:t>augmenter</w:t>
      </w:r>
      <w:r w:rsidRPr="00961E0F">
        <w:rPr>
          <w:color w:val="000000"/>
          <w:szCs w:val="22"/>
          <w:u w:val="single"/>
          <w:lang w:val="fr-FR"/>
        </w:rPr>
        <w:t xml:space="preserve"> les concentrations plasmatiques d’imatinib</w:t>
      </w:r>
    </w:p>
    <w:p w14:paraId="2C1BCBC3"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Les substances inhibant l’activité de l’isoenzyme CYP3A4 du cytochrome P450 (par exemple : inhibiteurs de protéase tels qu’indinavir, lopinavir/ritonavir, ritonavir, saquinavir, télaprévir, nelfinavir, bocéprévir ; antifongiques azolés tels que kétoconazole, itraconazole, posaconazole, voriconazole ; certains macrolides tels qu’érythromycine, clarithromycine et télithromycine) pourraient diminuer le métabolisme d’imatinib et donc augmenter les concentrations plasmatiques de l’imatinib. Une augmentation significative de l’exposition systémique à l’imatinib (la valeur moyenne de </w:t>
      </w:r>
      <w:smartTag w:uri="urn:schemas-microsoft-com:office:smarttags" w:element="PersonName">
        <w:smartTagPr>
          <w:attr w:name="ProductID" w:val="la Cmax"/>
        </w:smartTagPr>
        <w:r w:rsidRPr="00961E0F">
          <w:rPr>
            <w:color w:val="000000"/>
            <w:szCs w:val="22"/>
            <w:lang w:val="fr-FR"/>
          </w:rPr>
          <w:t>la Cmax</w:t>
        </w:r>
      </w:smartTag>
      <w:r w:rsidRPr="00961E0F">
        <w:rPr>
          <w:color w:val="000000"/>
          <w:szCs w:val="22"/>
          <w:lang w:val="fr-FR"/>
        </w:rPr>
        <w:t xml:space="preserve"> et de l’ASC (Aire sous la courbe) ont respectivement été augmentées de 26% et 40%) a été observée chez des volontaires sains lors de l’administration d’une dose unique de kétoconazole (un inhibiteur du CYP3A4). La prudence est requise lorsque Glivec est administré avec des inhibiteurs du CYP3A4.</w:t>
      </w:r>
    </w:p>
    <w:p w14:paraId="4164C2FE" w14:textId="77777777" w:rsidR="00EF4CB3" w:rsidRPr="00961E0F" w:rsidRDefault="00EF4CB3" w:rsidP="00EF4CB3">
      <w:pPr>
        <w:pStyle w:val="EndnoteText"/>
        <w:widowControl w:val="0"/>
        <w:tabs>
          <w:tab w:val="clear" w:pos="567"/>
        </w:tabs>
        <w:rPr>
          <w:color w:val="000000"/>
          <w:szCs w:val="22"/>
          <w:lang w:val="fr-FR"/>
        </w:rPr>
      </w:pPr>
    </w:p>
    <w:p w14:paraId="51996B3B"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 xml:space="preserve">Substances actives pouvant </w:t>
      </w:r>
      <w:r w:rsidRPr="00961E0F">
        <w:rPr>
          <w:b/>
          <w:color w:val="000000"/>
          <w:szCs w:val="22"/>
          <w:u w:val="single"/>
          <w:lang w:val="fr-FR"/>
        </w:rPr>
        <w:t>diminuer</w:t>
      </w:r>
      <w:r w:rsidRPr="00961E0F">
        <w:rPr>
          <w:color w:val="000000"/>
          <w:szCs w:val="22"/>
          <w:u w:val="single"/>
          <w:lang w:val="fr-FR"/>
        </w:rPr>
        <w:t xml:space="preserve"> les concentrations plasmatiques d’imatinib</w:t>
      </w:r>
    </w:p>
    <w:p w14:paraId="05B391ED" w14:textId="02E15335"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Les substances agissant comme inducteurs de l’activité du CYP3A4 (par exemple : dexaméthasone, phénytoïne, carbamazépine, rifampicine, phénobarbital, fosphénytoïne, primidone, </w:t>
      </w:r>
      <w:r w:rsidRPr="00961E0F">
        <w:rPr>
          <w:i/>
          <w:color w:val="000000"/>
          <w:szCs w:val="22"/>
          <w:lang w:val="fr-FR"/>
        </w:rPr>
        <w:t>Hypericum perforatum</w:t>
      </w:r>
      <w:r w:rsidRPr="00961E0F">
        <w:rPr>
          <w:color w:val="000000"/>
          <w:szCs w:val="22"/>
          <w:lang w:val="fr-FR"/>
        </w:rPr>
        <w:t xml:space="preserve"> (millepertuis)) pourraient réduire significativement l’exposition systémique au Glivec, et potentiellement augmenter le risque d’échec thérapeutique. Un traitement préalable par 600 mg de rifampicine à doses multiples suivies d'une dose unique de 400 mg de Glivec, a entraîné une </w:t>
      </w:r>
      <w:r w:rsidRPr="00961E0F">
        <w:rPr>
          <w:color w:val="000000"/>
          <w:szCs w:val="22"/>
          <w:lang w:val="fr-FR"/>
        </w:rPr>
        <w:lastRenderedPageBreak/>
        <w:t>diminution de C</w:t>
      </w:r>
      <w:r w:rsidRPr="00961E0F">
        <w:rPr>
          <w:color w:val="000000"/>
          <w:szCs w:val="22"/>
          <w:vertAlign w:val="subscript"/>
          <w:lang w:val="fr-FR"/>
        </w:rPr>
        <w:t>max</w:t>
      </w:r>
      <w:r w:rsidRPr="00961E0F">
        <w:rPr>
          <w:color w:val="000000"/>
          <w:szCs w:val="22"/>
          <w:lang w:val="fr-FR"/>
        </w:rPr>
        <w:t xml:space="preserve"> et de l’ASC</w:t>
      </w:r>
      <w:r w:rsidRPr="00961E0F">
        <w:rPr>
          <w:color w:val="000000"/>
          <w:szCs w:val="22"/>
          <w:vertAlign w:val="subscript"/>
          <w:lang w:val="fr-FR"/>
        </w:rPr>
        <w:t>(0-</w:t>
      </w:r>
      <w:r w:rsidR="00D747B9">
        <w:rPr>
          <w:color w:val="000000"/>
          <w:szCs w:val="22"/>
          <w:vertAlign w:val="subscript"/>
          <w:lang w:val="fr-FR"/>
        </w:rPr>
        <w:t>infini</w:t>
      </w:r>
      <w:r w:rsidRPr="00961E0F">
        <w:rPr>
          <w:color w:val="000000"/>
          <w:szCs w:val="22"/>
          <w:vertAlign w:val="subscript"/>
          <w:lang w:val="fr-FR"/>
        </w:rPr>
        <w:t>)</w:t>
      </w:r>
      <w:r w:rsidRPr="00961E0F">
        <w:rPr>
          <w:color w:val="000000"/>
          <w:szCs w:val="22"/>
          <w:lang w:val="fr-FR"/>
        </w:rPr>
        <w:t xml:space="preserve"> d’au moins 54% et 74%, par rapport à leurs valeurs respectives sans traitement par rifampicine. Des résultats similaires ont été observés chez des patients atteints de gliomes malins traités par Glivec et avec des antiépileptiques inducteurs enzymatiques tels que la carbamazépine, l’oxcarbazépine et la phénytoïne. L’ASC plasmatique de l’imatinib a diminué de 73% par rapport à celle des patients non traités par antiépileptiques inducteurs enzymatiques. L’utilisation concomitante d’imatinib avec des inducteurs puissants du CYP3A4 devra être évitée.</w:t>
      </w:r>
    </w:p>
    <w:p w14:paraId="54F1DC41" w14:textId="77777777" w:rsidR="00EF4CB3" w:rsidRPr="00961E0F" w:rsidRDefault="00EF4CB3" w:rsidP="00EF4CB3">
      <w:pPr>
        <w:pStyle w:val="EndnoteText"/>
        <w:widowControl w:val="0"/>
        <w:tabs>
          <w:tab w:val="clear" w:pos="567"/>
        </w:tabs>
        <w:rPr>
          <w:color w:val="000000"/>
          <w:szCs w:val="22"/>
          <w:lang w:val="fr-FR"/>
        </w:rPr>
      </w:pPr>
    </w:p>
    <w:p w14:paraId="5D9B9B6E" w14:textId="77777777" w:rsidR="00EF4CB3" w:rsidRPr="00961E0F" w:rsidRDefault="00EF4CB3" w:rsidP="004B2956">
      <w:pPr>
        <w:pStyle w:val="EndnoteText"/>
        <w:keepNext/>
        <w:widowControl w:val="0"/>
        <w:tabs>
          <w:tab w:val="clear" w:pos="567"/>
        </w:tabs>
        <w:rPr>
          <w:b/>
          <w:color w:val="000000"/>
          <w:szCs w:val="22"/>
          <w:lang w:val="fr-FR"/>
        </w:rPr>
      </w:pPr>
      <w:r w:rsidRPr="00961E0F">
        <w:rPr>
          <w:b/>
          <w:color w:val="000000"/>
          <w:szCs w:val="22"/>
          <w:lang w:val="fr-FR"/>
        </w:rPr>
        <w:t>Substances actives dont la concentration plasmatique peut être modifiée par Glivec :</w:t>
      </w:r>
    </w:p>
    <w:p w14:paraId="35A6A16E"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L’imatinib augmente la valeur moyenne de </w:t>
      </w:r>
      <w:smartTag w:uri="urn:schemas-microsoft-com:office:smarttags" w:element="PersonName">
        <w:smartTagPr>
          <w:attr w:name="ProductID" w:val="la Cmax"/>
        </w:smartTagPr>
        <w:r w:rsidRPr="00961E0F">
          <w:rPr>
            <w:color w:val="000000"/>
            <w:szCs w:val="22"/>
            <w:lang w:val="fr-FR"/>
          </w:rPr>
          <w:t>la Cmax</w:t>
        </w:r>
      </w:smartTag>
      <w:r w:rsidRPr="00961E0F">
        <w:rPr>
          <w:color w:val="000000"/>
          <w:szCs w:val="22"/>
          <w:lang w:val="fr-FR"/>
        </w:rPr>
        <w:t xml:space="preserve"> et l’ASC de la simvastatine (substrat du CYP3A4), respectivement 2 fois et 3,5 fois, indiquant ainsi une inhibition du CYP3A4 par l’imatinib. Glivec doit donc être associé avec prudence à des substrats du CYP3A4 dont l’index thérapeutique est étroit (par exemple : ciclosporine, pimozide, tacrolimus, sirolimus, ergotamine, diergotamine, fentanyl, alfentanil, terfénadine, bortézomib, docétaxel et quinidine). Par ailleurs, Glivec peut augmenter la concentration plasmatique d’autres médicaments métabolisés par le CYP3A4 (par exemple triazolo-benzodiazépines, inhibiteurs calciques de type dihydropyridine, certains inhibiteurs de l’</w:t>
      </w:r>
      <w:smartTag w:uri="urn:schemas-microsoft-com:office:smarttags" w:element="stockticker">
        <w:r w:rsidRPr="00961E0F">
          <w:rPr>
            <w:color w:val="000000"/>
            <w:szCs w:val="22"/>
            <w:lang w:val="fr-FR"/>
          </w:rPr>
          <w:t>HMG</w:t>
        </w:r>
      </w:smartTag>
      <w:r w:rsidRPr="00961E0F">
        <w:rPr>
          <w:color w:val="000000"/>
          <w:szCs w:val="22"/>
          <w:lang w:val="fr-FR"/>
        </w:rPr>
        <w:t>-CoA réductase, c’est à dire les statines, etc.).</w:t>
      </w:r>
    </w:p>
    <w:p w14:paraId="548BC3F7" w14:textId="77777777" w:rsidR="00EF4CB3" w:rsidRPr="00961E0F" w:rsidRDefault="00EF4CB3" w:rsidP="00EF4CB3">
      <w:pPr>
        <w:pStyle w:val="EndnoteText"/>
        <w:widowControl w:val="0"/>
        <w:tabs>
          <w:tab w:val="clear" w:pos="567"/>
        </w:tabs>
        <w:rPr>
          <w:color w:val="000000"/>
          <w:szCs w:val="22"/>
          <w:lang w:val="fr-FR"/>
        </w:rPr>
      </w:pPr>
    </w:p>
    <w:p w14:paraId="10E9ADC1"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En raison des risques connus d’augmentation des saignements associés à l’utilisation de l’imatinib (par exemple hémorragie), les patients nécessitant un traitement anticoagulant devront recevoir de l’héparine standard ou de bas poids moléculaire au lieu de dérivés de la coumarine tels que la warfarine.</w:t>
      </w:r>
    </w:p>
    <w:p w14:paraId="6FBB827A" w14:textId="77777777" w:rsidR="00EF4CB3" w:rsidRPr="00961E0F" w:rsidRDefault="00EF4CB3" w:rsidP="00EF4CB3">
      <w:pPr>
        <w:pStyle w:val="EndnoteText"/>
        <w:widowControl w:val="0"/>
        <w:tabs>
          <w:tab w:val="clear" w:pos="567"/>
        </w:tabs>
        <w:rPr>
          <w:color w:val="000000"/>
          <w:szCs w:val="22"/>
          <w:lang w:val="fr-FR"/>
        </w:rPr>
      </w:pPr>
    </w:p>
    <w:p w14:paraId="07897976"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Glivec inhibe l’activité de l’isoenzyme CYP2D6 du cytochrome P450 à des concentrations similaires à celles affectant l’activité du CYP3A4. L’imatinib à 400 mg deux fois par jour avait un effet inhibiteur sur le métabolisme de métoprolol via le CYP2D6, avec une augmentation approximativement de 23% du C</w:t>
      </w:r>
      <w:r w:rsidRPr="00961E0F">
        <w:rPr>
          <w:color w:val="000000"/>
          <w:szCs w:val="22"/>
          <w:vertAlign w:val="subscript"/>
          <w:lang w:val="fr-FR"/>
        </w:rPr>
        <w:t>max</w:t>
      </w:r>
      <w:r w:rsidRPr="00961E0F">
        <w:rPr>
          <w:color w:val="000000"/>
          <w:szCs w:val="22"/>
          <w:lang w:val="fr-FR"/>
        </w:rPr>
        <w:t xml:space="preserve"> et de l’ASC</w:t>
      </w:r>
      <w:r w:rsidRPr="00961E0F">
        <w:rPr>
          <w:color w:val="000000"/>
          <w:szCs w:val="22"/>
          <w:vertAlign w:val="subscript"/>
          <w:lang w:val="fr-FR"/>
        </w:rPr>
        <w:t xml:space="preserve"> </w:t>
      </w:r>
      <w:r w:rsidRPr="00961E0F">
        <w:rPr>
          <w:color w:val="000000"/>
          <w:szCs w:val="22"/>
          <w:lang w:val="fr-FR"/>
        </w:rPr>
        <w:t>du métoprolol (IC 90%[1,16</w:t>
      </w:r>
      <w:r w:rsidRPr="00961E0F">
        <w:rPr>
          <w:color w:val="000000"/>
          <w:szCs w:val="22"/>
          <w:lang w:val="fr-FR"/>
        </w:rPr>
        <w:noBreakHyphen/>
        <w:t>1,30]. Il ne semble pas nécessaire d’adapter les doses lorsque l’imatinib est administré avec des substrats du CYP2D6, toutefois la prudence est recommandée avec les substrats du CYP2D6 présentant une fenêtre thérapeutique étroite telle que le métoprolol. Chez les patients traités par métoprolol, la surveillance clinique devra être envisagée.</w:t>
      </w:r>
    </w:p>
    <w:p w14:paraId="40055026" w14:textId="77777777" w:rsidR="00EF4CB3" w:rsidRPr="00961E0F" w:rsidRDefault="00EF4CB3" w:rsidP="00EF4CB3">
      <w:pPr>
        <w:pStyle w:val="EndnoteText"/>
        <w:widowControl w:val="0"/>
        <w:tabs>
          <w:tab w:val="clear" w:pos="567"/>
        </w:tabs>
        <w:rPr>
          <w:color w:val="000000"/>
          <w:szCs w:val="22"/>
          <w:lang w:val="fr-FR"/>
        </w:rPr>
      </w:pPr>
    </w:p>
    <w:p w14:paraId="26E0A90F"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xml:space="preserve">, Glivec inhibe l’O-glucuronidation du paracétamol avec un Ki de 58,5 µmol/l. Cette inhibition n’a pas été observée </w:t>
      </w:r>
      <w:r w:rsidRPr="00961E0F">
        <w:rPr>
          <w:i/>
          <w:color w:val="000000"/>
          <w:szCs w:val="22"/>
          <w:lang w:val="fr-FR"/>
        </w:rPr>
        <w:t>in vivo</w:t>
      </w:r>
      <w:r w:rsidRPr="00961E0F">
        <w:rPr>
          <w:color w:val="000000"/>
          <w:szCs w:val="22"/>
          <w:lang w:val="fr-FR"/>
        </w:rPr>
        <w:t xml:space="preserve"> après l’administration de 400 mg de Glivec et 1000 mg de paracétamol. Des doses plus élevées de Glivec et de paracétamol n’ont pas été étudiées.</w:t>
      </w:r>
    </w:p>
    <w:p w14:paraId="13C26378" w14:textId="77777777" w:rsidR="00EF4CB3" w:rsidRPr="00961E0F" w:rsidRDefault="00EF4CB3" w:rsidP="00EF4CB3">
      <w:pPr>
        <w:pStyle w:val="EndnoteText"/>
        <w:widowControl w:val="0"/>
        <w:tabs>
          <w:tab w:val="clear" w:pos="567"/>
        </w:tabs>
        <w:rPr>
          <w:color w:val="000000"/>
          <w:szCs w:val="22"/>
          <w:lang w:val="fr-FR"/>
        </w:rPr>
      </w:pPr>
    </w:p>
    <w:p w14:paraId="236E9CD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La prudence est donc requise lors de l’utilisation concomitante de fortes doses de Glivec et de paracétamol.</w:t>
      </w:r>
    </w:p>
    <w:p w14:paraId="6584421E" w14:textId="77777777" w:rsidR="00EF4CB3" w:rsidRPr="00961E0F" w:rsidRDefault="00EF4CB3" w:rsidP="00EF4CB3">
      <w:pPr>
        <w:pStyle w:val="EndnoteText"/>
        <w:widowControl w:val="0"/>
        <w:tabs>
          <w:tab w:val="clear" w:pos="567"/>
        </w:tabs>
        <w:rPr>
          <w:color w:val="000000"/>
          <w:szCs w:val="22"/>
          <w:lang w:val="fr-FR"/>
        </w:rPr>
      </w:pPr>
    </w:p>
    <w:p w14:paraId="1DE95A7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Des cas cliniques d’hupothyroïdie ont été rapportés chez des patients traités par Glivec, ayant subi une thyroïdectomie et recevant un traitement par lévothyroxine (voir rubrique 4.4). Toutefois, le mécanisme de cette interaction observée est à ce jour inconnu. La prudence est donc recommandée. Les taux de </w:t>
      </w:r>
      <w:smartTag w:uri="urn:schemas-microsoft-com:office:smarttags" w:element="stockticker">
        <w:r w:rsidRPr="00961E0F">
          <w:rPr>
            <w:color w:val="000000"/>
            <w:szCs w:val="22"/>
            <w:lang w:val="fr-FR"/>
          </w:rPr>
          <w:t>TSH</w:t>
        </w:r>
      </w:smartTag>
      <w:r w:rsidRPr="00961E0F">
        <w:rPr>
          <w:color w:val="000000"/>
          <w:szCs w:val="22"/>
          <w:lang w:val="fr-FR"/>
        </w:rPr>
        <w:t xml:space="preserve"> devront être étroitement surveillés chez ces patients.</w:t>
      </w:r>
    </w:p>
    <w:p w14:paraId="1C400104" w14:textId="77777777" w:rsidR="00EF4CB3" w:rsidRPr="00961E0F" w:rsidRDefault="00EF4CB3" w:rsidP="00EF4CB3">
      <w:pPr>
        <w:pStyle w:val="EndnoteText"/>
        <w:widowControl w:val="0"/>
        <w:tabs>
          <w:tab w:val="clear" w:pos="567"/>
        </w:tabs>
        <w:rPr>
          <w:color w:val="000000"/>
          <w:szCs w:val="22"/>
          <w:lang w:val="fr-FR"/>
        </w:rPr>
      </w:pPr>
    </w:p>
    <w:p w14:paraId="5E73A701"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Chez les patients atteints de LAL Ph+, on dispose d’une expérience clinique de l’administration concomitante de Glivec avec une chimiothérapie (voir rubrique 5.1), cependant les interactions médicamenteuses entre l’imatinib et les schémas thérapeutiques de chimiothérapie n’ont pas été clairement identifiés. Les effets indésirables de l’imatinib tels qu’une hépatotoxicité, une myélosuppression ou d’autres effets, peuvent augmenter et il a été rapporté q’une utilisation concomitante de </w:t>
      </w:r>
      <w:smartTag w:uri="urn:schemas-microsoft-com:office:smarttags" w:element="PersonName">
        <w:smartTagPr>
          <w:attr w:name="ProductID" w:val="la L-asparaginase"/>
        </w:smartTagPr>
        <w:r w:rsidRPr="00961E0F">
          <w:rPr>
            <w:color w:val="000000"/>
            <w:szCs w:val="22"/>
            <w:lang w:val="fr-FR"/>
          </w:rPr>
          <w:t>la L-asparaginase</w:t>
        </w:r>
      </w:smartTag>
      <w:r w:rsidRPr="00961E0F">
        <w:rPr>
          <w:color w:val="000000"/>
          <w:szCs w:val="22"/>
          <w:lang w:val="fr-FR"/>
        </w:rPr>
        <w:t xml:space="preserve"> pourrait être associée à une hépatotoxicité augmentée (voir rubrique 4.8). Ainsi, l’administration de Glivec en association nécessite des précautions particulières.</w:t>
      </w:r>
    </w:p>
    <w:p w14:paraId="15DAC62E" w14:textId="77777777" w:rsidR="00EF4CB3" w:rsidRPr="00961E0F" w:rsidRDefault="00EF4CB3" w:rsidP="00EF4CB3">
      <w:pPr>
        <w:pStyle w:val="EndnoteText"/>
        <w:widowControl w:val="0"/>
        <w:tabs>
          <w:tab w:val="clear" w:pos="567"/>
        </w:tabs>
        <w:rPr>
          <w:color w:val="000000"/>
          <w:szCs w:val="22"/>
          <w:lang w:val="fr-FR"/>
        </w:rPr>
      </w:pPr>
    </w:p>
    <w:p w14:paraId="04F18D02" w14:textId="77777777" w:rsidR="00EF4CB3" w:rsidRPr="00961E0F" w:rsidRDefault="00EF4CB3" w:rsidP="004B2956">
      <w:pPr>
        <w:keepNext/>
        <w:widowControl w:val="0"/>
        <w:ind w:left="567" w:hanging="567"/>
        <w:rPr>
          <w:rFonts w:ascii="Times New Roman" w:hAnsi="Times New Roman"/>
          <w:color w:val="000000"/>
          <w:szCs w:val="22"/>
        </w:rPr>
      </w:pPr>
      <w:r w:rsidRPr="00961E0F">
        <w:rPr>
          <w:rFonts w:ascii="Times New Roman" w:hAnsi="Times New Roman"/>
          <w:b/>
          <w:color w:val="000000"/>
          <w:szCs w:val="22"/>
        </w:rPr>
        <w:t>4.6</w:t>
      </w:r>
      <w:r w:rsidRPr="00961E0F">
        <w:rPr>
          <w:rFonts w:ascii="Times New Roman" w:hAnsi="Times New Roman"/>
          <w:b/>
          <w:color w:val="000000"/>
          <w:szCs w:val="22"/>
        </w:rPr>
        <w:tab/>
        <w:t>Fertilité, grossesse et allaitement</w:t>
      </w:r>
    </w:p>
    <w:p w14:paraId="41BB4557" w14:textId="77777777" w:rsidR="00EF4CB3" w:rsidRPr="00961E0F" w:rsidRDefault="00EF4CB3" w:rsidP="004B2956">
      <w:pPr>
        <w:pStyle w:val="EndnoteText"/>
        <w:keepNext/>
        <w:widowControl w:val="0"/>
        <w:tabs>
          <w:tab w:val="clear" w:pos="567"/>
        </w:tabs>
        <w:rPr>
          <w:color w:val="000000"/>
          <w:szCs w:val="22"/>
          <w:lang w:val="fr-FR"/>
        </w:rPr>
      </w:pPr>
    </w:p>
    <w:p w14:paraId="485FFC9D"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Femmes en âge de procréer</w:t>
      </w:r>
    </w:p>
    <w:p w14:paraId="256ADCFE" w14:textId="1941D180"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Les femmes en âge de procréer doivent être informées qu’elles doivent utiliser une contraception efficace pendant le traitement</w:t>
      </w:r>
      <w:r w:rsidR="00BD0478">
        <w:rPr>
          <w:color w:val="000000"/>
          <w:szCs w:val="22"/>
          <w:lang w:val="fr-FR"/>
        </w:rPr>
        <w:t xml:space="preserve"> et pendant au moins 15 jours après l’arrêt du traitement par Glivec</w:t>
      </w:r>
      <w:r w:rsidR="00BD0478" w:rsidRPr="00961E0F">
        <w:rPr>
          <w:color w:val="000000"/>
          <w:szCs w:val="22"/>
          <w:lang w:val="fr-FR"/>
        </w:rPr>
        <w:t>.</w:t>
      </w:r>
    </w:p>
    <w:p w14:paraId="0FACBA78" w14:textId="77777777" w:rsidR="00EF4CB3" w:rsidRPr="00961E0F" w:rsidRDefault="00EF4CB3" w:rsidP="00EF4CB3">
      <w:pPr>
        <w:pStyle w:val="EndnoteText"/>
        <w:widowControl w:val="0"/>
        <w:tabs>
          <w:tab w:val="clear" w:pos="567"/>
        </w:tabs>
        <w:rPr>
          <w:color w:val="000000"/>
          <w:szCs w:val="22"/>
          <w:u w:val="single"/>
          <w:lang w:val="fr-FR"/>
        </w:rPr>
      </w:pPr>
    </w:p>
    <w:p w14:paraId="707A37ED"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lastRenderedPageBreak/>
        <w:t>Grossesse</w:t>
      </w:r>
    </w:p>
    <w:p w14:paraId="1BC070FE"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Les données concernant l'utilisation de l'imatinib chez la femme enceinte sont limitées. </w:t>
      </w:r>
      <w:r w:rsidR="00516A9E" w:rsidRPr="00961E0F">
        <w:rPr>
          <w:color w:val="000000"/>
          <w:szCs w:val="22"/>
          <w:lang w:val="fr-FR"/>
        </w:rPr>
        <w:t xml:space="preserve">Depuis la mise sur le marché, des cas d’avortement spontanés et d’anomalies congénitales ont été rapportés chez des femmes ayant été traitées par Glivec. </w:t>
      </w:r>
      <w:r w:rsidRPr="00961E0F">
        <w:rPr>
          <w:color w:val="000000"/>
          <w:szCs w:val="22"/>
          <w:lang w:val="fr-FR"/>
        </w:rPr>
        <w:t>Les études effectuées chez l'animal ont toutefois mis en évidence une toxicité sur la reproduction (voir rubrique 5.3) et le risque potentiel sur le fœtus en clinique n’est pas connu. Glivec ne doit pas être utilisé pendant la grossesse à moins d’une nécessité absolue. S’il est utilisé au cours de la grossesse, la patiente doit être prévenue du risque potentiel pour le fœtus.</w:t>
      </w:r>
    </w:p>
    <w:p w14:paraId="40BB7759" w14:textId="77777777" w:rsidR="00EF4CB3" w:rsidRPr="00961E0F" w:rsidRDefault="00EF4CB3" w:rsidP="00EF4CB3">
      <w:pPr>
        <w:pStyle w:val="EndnoteText"/>
        <w:widowControl w:val="0"/>
        <w:tabs>
          <w:tab w:val="clear" w:pos="567"/>
        </w:tabs>
        <w:rPr>
          <w:color w:val="000000"/>
          <w:szCs w:val="22"/>
          <w:lang w:val="fr-FR"/>
        </w:rPr>
      </w:pPr>
    </w:p>
    <w:p w14:paraId="72DE5836" w14:textId="77777777" w:rsidR="00EF4CB3" w:rsidRPr="00961E0F" w:rsidRDefault="00EF4CB3" w:rsidP="004B2956">
      <w:pPr>
        <w:pStyle w:val="EndnoteText"/>
        <w:keepNext/>
        <w:widowControl w:val="0"/>
        <w:tabs>
          <w:tab w:val="clear" w:pos="567"/>
        </w:tabs>
        <w:rPr>
          <w:color w:val="000000"/>
          <w:szCs w:val="22"/>
          <w:lang w:val="fr-FR"/>
        </w:rPr>
      </w:pPr>
      <w:r w:rsidRPr="00961E0F">
        <w:rPr>
          <w:color w:val="000000"/>
          <w:szCs w:val="22"/>
          <w:u w:val="single"/>
          <w:lang w:val="fr-FR"/>
        </w:rPr>
        <w:t>Allaitement</w:t>
      </w:r>
    </w:p>
    <w:p w14:paraId="56EB0960" w14:textId="0D0EECA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Les informations concernant la distribution de l’imatinib dans le lait maternel sont limitées. Les études chez deux patientes qui allaitaient ont montré que l’imatinib et son métabolite actif peuvent être distribués dans le lait maternel. Le rapport lait/plasma des concentrations d’imatinib mesuré chez une patiente était de 0,5 et celui du métabolite était de 0,9, suggérant une distribution plus élevée du métabolite dans le lait. En considérant la concentration de l’imatinib associée à celle de son métabolite et la quantité de lait journalière ingérée par les nourrissons, l’exposition totale attendue devrait être faible (environ 10% de la dose thérapeutique). Cependant, les effets d’une exposition</w:t>
      </w:r>
      <w:r w:rsidR="00BD0478">
        <w:rPr>
          <w:color w:val="000000"/>
          <w:szCs w:val="22"/>
          <w:lang w:val="fr-FR"/>
        </w:rPr>
        <w:t xml:space="preserve"> à l’imatinib</w:t>
      </w:r>
      <w:r w:rsidRPr="00961E0F">
        <w:rPr>
          <w:color w:val="000000"/>
          <w:szCs w:val="22"/>
          <w:lang w:val="fr-FR"/>
        </w:rPr>
        <w:t xml:space="preserve"> de faible dose chez le nourrisson n’étant pas connus, les femmes ne doivent pas allaiter</w:t>
      </w:r>
      <w:r w:rsidR="00BD0478">
        <w:rPr>
          <w:color w:val="000000"/>
          <w:szCs w:val="22"/>
          <w:lang w:val="fr-FR"/>
        </w:rPr>
        <w:t xml:space="preserve"> pendant le traitement et pendant au moins 15 jours après l’arrêt du traitement par Glivec</w:t>
      </w:r>
      <w:r w:rsidRPr="00961E0F">
        <w:rPr>
          <w:color w:val="000000"/>
          <w:szCs w:val="22"/>
          <w:lang w:val="fr-FR"/>
        </w:rPr>
        <w:t>.</w:t>
      </w:r>
    </w:p>
    <w:p w14:paraId="11D38829" w14:textId="77777777" w:rsidR="00EF4CB3" w:rsidRPr="00961E0F" w:rsidRDefault="00EF4CB3" w:rsidP="00EF4CB3">
      <w:pPr>
        <w:pStyle w:val="EndnoteText"/>
        <w:widowControl w:val="0"/>
        <w:tabs>
          <w:tab w:val="clear" w:pos="567"/>
        </w:tabs>
        <w:rPr>
          <w:color w:val="000000"/>
          <w:szCs w:val="22"/>
          <w:u w:val="single"/>
          <w:lang w:val="fr-FR"/>
        </w:rPr>
      </w:pPr>
    </w:p>
    <w:p w14:paraId="7B1B5007"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Fertilité</w:t>
      </w:r>
    </w:p>
    <w:p w14:paraId="61DA1327" w14:textId="3A3A7393"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La fertilité des rats mâles et femelles n’a pas été affectée dans les études précliniques</w:t>
      </w:r>
      <w:r w:rsidR="00BD0478">
        <w:rPr>
          <w:color w:val="000000"/>
          <w:szCs w:val="22"/>
          <w:lang w:val="fr-FR"/>
        </w:rPr>
        <w:t>, bien que des effets sur les paramètres de la reproduction aient été observés</w:t>
      </w:r>
      <w:r w:rsidRPr="00961E0F">
        <w:rPr>
          <w:color w:val="000000"/>
          <w:szCs w:val="22"/>
          <w:lang w:val="fr-FR"/>
        </w:rPr>
        <w:t xml:space="preserve"> (voir rubrique 5.3). Aucune étude n'a été effectuée sur des patients recevant Glivec et sur son effet sur la fécondité et la gamétogenèse. Les patients préoccupés par leur fécondité sous traitement par Glivec doivent consulter leur médecin.</w:t>
      </w:r>
    </w:p>
    <w:p w14:paraId="061DADB1" w14:textId="77777777" w:rsidR="00EF4CB3" w:rsidRPr="00961E0F" w:rsidRDefault="00EF4CB3" w:rsidP="00EF4CB3">
      <w:pPr>
        <w:pStyle w:val="EndnoteText"/>
        <w:widowControl w:val="0"/>
        <w:tabs>
          <w:tab w:val="clear" w:pos="567"/>
        </w:tabs>
        <w:rPr>
          <w:color w:val="000000"/>
          <w:szCs w:val="22"/>
          <w:lang w:val="fr-FR"/>
        </w:rPr>
      </w:pPr>
    </w:p>
    <w:p w14:paraId="3B9D0FB4" w14:textId="77777777" w:rsidR="00EF4CB3" w:rsidRPr="00961E0F" w:rsidRDefault="00EF4CB3" w:rsidP="004B2956">
      <w:pPr>
        <w:keepNext/>
        <w:widowControl w:val="0"/>
        <w:ind w:left="567" w:hanging="567"/>
        <w:rPr>
          <w:rFonts w:ascii="Times New Roman" w:hAnsi="Times New Roman"/>
          <w:color w:val="000000"/>
          <w:szCs w:val="22"/>
        </w:rPr>
      </w:pPr>
      <w:r w:rsidRPr="00961E0F">
        <w:rPr>
          <w:rFonts w:ascii="Times New Roman" w:hAnsi="Times New Roman"/>
          <w:b/>
          <w:color w:val="000000"/>
          <w:szCs w:val="22"/>
        </w:rPr>
        <w:t>4.7</w:t>
      </w:r>
      <w:r w:rsidRPr="00961E0F">
        <w:rPr>
          <w:rFonts w:ascii="Times New Roman" w:hAnsi="Times New Roman"/>
          <w:b/>
          <w:color w:val="000000"/>
          <w:szCs w:val="22"/>
        </w:rPr>
        <w:tab/>
        <w:t>Effets sur l'aptitude à conduire des véhicules et à utiliser des machines</w:t>
      </w:r>
    </w:p>
    <w:p w14:paraId="13705345" w14:textId="77777777" w:rsidR="00EF4CB3" w:rsidRPr="00961E0F" w:rsidRDefault="00EF4CB3" w:rsidP="004B2956">
      <w:pPr>
        <w:pStyle w:val="EndnoteText"/>
        <w:keepNext/>
        <w:widowControl w:val="0"/>
        <w:tabs>
          <w:tab w:val="clear" w:pos="567"/>
        </w:tabs>
        <w:rPr>
          <w:color w:val="000000"/>
          <w:szCs w:val="22"/>
          <w:lang w:val="fr-FR"/>
        </w:rPr>
      </w:pPr>
    </w:p>
    <w:p w14:paraId="5737409A" w14:textId="77777777" w:rsidR="00EF4CB3" w:rsidRPr="00961E0F" w:rsidRDefault="00EF4CB3" w:rsidP="00EF4CB3">
      <w:pPr>
        <w:widowControl w:val="0"/>
        <w:suppressAutoHyphens/>
        <w:rPr>
          <w:rFonts w:ascii="Times New Roman" w:hAnsi="Times New Roman"/>
          <w:snapToGrid w:val="0"/>
          <w:color w:val="000000"/>
          <w:szCs w:val="22"/>
        </w:rPr>
      </w:pPr>
      <w:r w:rsidRPr="00961E0F">
        <w:rPr>
          <w:rFonts w:ascii="Times New Roman" w:hAnsi="Times New Roman"/>
          <w:snapToGrid w:val="0"/>
          <w:color w:val="000000"/>
          <w:szCs w:val="22"/>
        </w:rPr>
        <w:t>Les patients devront être informés qu’ils peuvent voir survenir des effets indésirables tels que sensations vertigineuses, troubles visuels ou somnolence au cours du traitement par l’imatinib. La prudence est donc recommandée pour les utilisateurs de véhicules ou de machines.</w:t>
      </w:r>
    </w:p>
    <w:p w14:paraId="7DB6392C" w14:textId="77777777" w:rsidR="00EF4CB3" w:rsidRPr="00961E0F" w:rsidRDefault="00EF4CB3" w:rsidP="00EF4CB3">
      <w:pPr>
        <w:widowControl w:val="0"/>
        <w:suppressAutoHyphens/>
        <w:rPr>
          <w:rFonts w:ascii="Times New Roman" w:hAnsi="Times New Roman"/>
          <w:snapToGrid w:val="0"/>
          <w:color w:val="000000"/>
          <w:szCs w:val="22"/>
        </w:rPr>
      </w:pPr>
    </w:p>
    <w:p w14:paraId="52BC3608" w14:textId="77777777" w:rsidR="00EF4CB3" w:rsidRPr="00961E0F" w:rsidRDefault="00EF4CB3" w:rsidP="004B2956">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4.8</w:t>
      </w:r>
      <w:r w:rsidRPr="00961E0F">
        <w:rPr>
          <w:rFonts w:ascii="Times New Roman" w:hAnsi="Times New Roman"/>
          <w:b/>
          <w:color w:val="000000"/>
          <w:szCs w:val="22"/>
        </w:rPr>
        <w:tab/>
        <w:t>Effets indésirables</w:t>
      </w:r>
    </w:p>
    <w:p w14:paraId="1971C439" w14:textId="77777777" w:rsidR="00EF4CB3" w:rsidRPr="00961E0F" w:rsidRDefault="00EF4CB3" w:rsidP="004B2956">
      <w:pPr>
        <w:keepNext/>
        <w:widowControl w:val="0"/>
        <w:rPr>
          <w:rFonts w:ascii="Times New Roman" w:hAnsi="Times New Roman"/>
          <w:color w:val="000000"/>
          <w:szCs w:val="22"/>
        </w:rPr>
      </w:pPr>
    </w:p>
    <w:p w14:paraId="3C818717"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Les patients atteints de pathologies malignes à un stade avancé peuvent présenter des affections intercurrentes. Ces affections peuvent rendre difficile l’évaluation du lien entre l’administration de Glivec et la survenue d’événements indésirables en raison de la variété des symptômes liés à la maladie sous-jacente, à sa progression ou à la co-administration de nombreux médicaments.</w:t>
      </w:r>
    </w:p>
    <w:p w14:paraId="502842AA" w14:textId="77777777" w:rsidR="00EF4CB3" w:rsidRPr="00961E0F" w:rsidRDefault="00EF4CB3" w:rsidP="00EF4CB3">
      <w:pPr>
        <w:pStyle w:val="paragraphSIF"/>
        <w:widowControl w:val="0"/>
        <w:tabs>
          <w:tab w:val="clear" w:pos="-720"/>
        </w:tabs>
        <w:jc w:val="left"/>
        <w:rPr>
          <w:color w:val="000000"/>
          <w:szCs w:val="22"/>
          <w:lang w:val="fr-FR"/>
        </w:rPr>
      </w:pPr>
    </w:p>
    <w:p w14:paraId="33924E46"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 xml:space="preserve">Au cours des études cliniques menées dans </w:t>
      </w:r>
      <w:smartTag w:uri="urn:schemas-microsoft-com:office:smarttags" w:element="PersonName">
        <w:smartTagPr>
          <w:attr w:name="ProductID" w:val="la LMC"/>
        </w:smartTagPr>
        <w:r w:rsidRPr="00961E0F">
          <w:rPr>
            <w:rFonts w:ascii="Times New Roman" w:hAnsi="Times New Roman"/>
            <w:color w:val="000000"/>
            <w:szCs w:val="22"/>
          </w:rPr>
          <w:t>la LMC</w:t>
        </w:r>
      </w:smartTag>
      <w:r w:rsidRPr="00961E0F">
        <w:rPr>
          <w:rFonts w:ascii="Times New Roman" w:hAnsi="Times New Roman"/>
          <w:color w:val="000000"/>
          <w:szCs w:val="22"/>
        </w:rPr>
        <w:t>, un arrêt du traitement motivé par des effets indésirables imputables au médicament a été observé chez 2,4% des patients nouvellement diagnostiqués, 4% des patients en phase chronique tardive après échec du traitement par l’interféron, 4% des patients en phase accélérée après échec du traitement par l’interféron et 5% des patients en crise blastique après échec du traitement par l’interféron. Dans les GIST, le produit étudié a été arrêté en raison d'effets indésirables imputables au médicament chez 4% des patients.</w:t>
      </w:r>
    </w:p>
    <w:p w14:paraId="0ED19718" w14:textId="77777777" w:rsidR="00EF4CB3" w:rsidRPr="00961E0F" w:rsidRDefault="00EF4CB3" w:rsidP="00EF4CB3">
      <w:pPr>
        <w:widowControl w:val="0"/>
        <w:rPr>
          <w:rFonts w:ascii="Times New Roman" w:hAnsi="Times New Roman"/>
          <w:color w:val="000000"/>
          <w:szCs w:val="22"/>
        </w:rPr>
      </w:pPr>
    </w:p>
    <w:p w14:paraId="199E2805" w14:textId="77777777" w:rsidR="00EF4CB3" w:rsidRPr="00961E0F" w:rsidRDefault="00EF4CB3" w:rsidP="00EF4CB3">
      <w:pPr>
        <w:pStyle w:val="paragraphSIF"/>
        <w:widowControl w:val="0"/>
        <w:tabs>
          <w:tab w:val="clear" w:pos="-720"/>
        </w:tabs>
        <w:jc w:val="left"/>
        <w:rPr>
          <w:color w:val="000000"/>
          <w:szCs w:val="22"/>
          <w:lang w:val="fr-FR"/>
        </w:rPr>
      </w:pPr>
      <w:r w:rsidRPr="00961E0F">
        <w:rPr>
          <w:color w:val="000000"/>
          <w:szCs w:val="22"/>
          <w:lang w:val="fr-FR"/>
        </w:rPr>
        <w:t xml:space="preserve">Les effets indésirables ont été comparables dans toutes les indications, à deux exceptions près. Il y a eu plus de myélosuppressions observées chez les patients atteints de LMC que chez ceux atteints de GIST, ce qui est probablement dû à la maladie sous-jacente. Dans l’étude clinique menée chez des patients atteints de GIST non resécables et/ou métastatiques, 7 (5%) patients ont présenté des saignements de grade 3 / 4 selon la classification </w:t>
      </w:r>
      <w:smartTag w:uri="urn:schemas-microsoft-com:office:smarttags" w:element="stockticker">
        <w:r w:rsidRPr="00961E0F">
          <w:rPr>
            <w:color w:val="000000"/>
            <w:szCs w:val="22"/>
            <w:lang w:val="fr-FR"/>
          </w:rPr>
          <w:t>CTC</w:t>
        </w:r>
      </w:smartTag>
      <w:r w:rsidRPr="00961E0F">
        <w:rPr>
          <w:color w:val="000000"/>
          <w:szCs w:val="22"/>
          <w:lang w:val="fr-FR"/>
        </w:rPr>
        <w:t xml:space="preserve"> (Common Toxicity Criteria) : saignements gastrointestinaux (3 patients), saignements intra-tumoraux (3 patients), les deux types (1 patient). La localisation de la tumeur gastrointestinale peut avoir été à l’origine des saignements gastro-intestinaux (voir rubrique 4.4). Les saignements gastro-intestinaux et intra-tumoraux peuvent être sérieux et dans certains cas fatals. Les effets indésirables les plus fréquemment rapportés (</w:t>
      </w:r>
      <w:r w:rsidRPr="00961E0F">
        <w:rPr>
          <w:color w:val="000000"/>
          <w:szCs w:val="22"/>
        </w:rPr>
        <w:sym w:font="Symbol" w:char="F0B3"/>
      </w:r>
      <w:r w:rsidRPr="00961E0F">
        <w:rPr>
          <w:color w:val="000000"/>
          <w:szCs w:val="22"/>
          <w:lang w:val="fr-FR"/>
        </w:rPr>
        <w:t xml:space="preserve"> 10%) pouvant être imputables au traitement par Glivec dans les deux indications ont été des nausées modérées, vomissements, diarrhée, douleur abdominale, fatigue, myalgies, crampes musculaires et rash. Des œdèmes superficiels ont été très fréquemment observés dans toutes les études cliniques et décrits </w:t>
      </w:r>
      <w:r w:rsidRPr="00961E0F">
        <w:rPr>
          <w:color w:val="000000"/>
          <w:szCs w:val="22"/>
          <w:lang w:val="fr-FR"/>
        </w:rPr>
        <w:lastRenderedPageBreak/>
        <w:t>principalement comme des œdèmes périorbitaux ou des membres inférieurs. Toutefois, ces œdèmes ont été rarement sévères et ont pu être contrôlés par des diurétiques, d’autres mesures symptomatiques ou en réduisant la dose de Glivec.</w:t>
      </w:r>
    </w:p>
    <w:p w14:paraId="63721969" w14:textId="77777777" w:rsidR="00EF4CB3" w:rsidRPr="00961E0F" w:rsidRDefault="00EF4CB3" w:rsidP="00EF4CB3">
      <w:pPr>
        <w:pStyle w:val="paragraphSIF"/>
        <w:widowControl w:val="0"/>
        <w:tabs>
          <w:tab w:val="clear" w:pos="-720"/>
        </w:tabs>
        <w:jc w:val="left"/>
        <w:rPr>
          <w:color w:val="000000"/>
          <w:szCs w:val="22"/>
          <w:lang w:val="fr-FR"/>
        </w:rPr>
      </w:pPr>
    </w:p>
    <w:p w14:paraId="2B45C9EE" w14:textId="77777777" w:rsidR="00EF4CB3" w:rsidRPr="00961E0F" w:rsidRDefault="00EF4CB3" w:rsidP="00EF4CB3">
      <w:pPr>
        <w:pStyle w:val="paragraphSIF"/>
        <w:widowControl w:val="0"/>
        <w:tabs>
          <w:tab w:val="clear" w:pos="-720"/>
        </w:tabs>
        <w:jc w:val="left"/>
        <w:rPr>
          <w:color w:val="000000"/>
          <w:szCs w:val="22"/>
          <w:lang w:val="fr-FR"/>
        </w:rPr>
      </w:pPr>
      <w:r w:rsidRPr="00961E0F">
        <w:rPr>
          <w:color w:val="000000"/>
          <w:szCs w:val="22"/>
          <w:lang w:val="fr-FR"/>
        </w:rPr>
        <w:t>Lorsque l’imatinib était associé à des doses élevées de chimiothérapie chez des patients atteints de LAL Ph+, une toxicité hépatique transitoire se traduisant par une élévation des transaminases et une hyperbilirubinémie a été observée. Au vu des données limitées de tolérance, les effets indésirables rapportés ci-après chez l’enfant sont cohérents avec le profil de tolérance observé chez l’adulte atteint de LAL Ph+. Les données de tolérance chez l’enfant atteint de LAL Ph+ sont très limitées bien qu’aucun nouveau problème de sécurité n’ait été identifié.</w:t>
      </w:r>
    </w:p>
    <w:p w14:paraId="2F6081CF" w14:textId="77777777" w:rsidR="00EF4CB3" w:rsidRPr="00961E0F" w:rsidRDefault="00EF4CB3" w:rsidP="00EF4CB3">
      <w:pPr>
        <w:widowControl w:val="0"/>
        <w:rPr>
          <w:rFonts w:ascii="Times New Roman" w:hAnsi="Times New Roman"/>
          <w:color w:val="000000"/>
          <w:szCs w:val="22"/>
        </w:rPr>
      </w:pPr>
    </w:p>
    <w:p w14:paraId="2460AD94"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Divers effets indésirables tels qu’épanchement pleural, ascite, œdème pulmonaire, prise de poids rapide avec ou sans œdème superficiel ont été décrits dans le cadre de rétention hydrique. Ces effets peuvent habituellement être contrôlés par l’interruption temporaire du Glivec et par l’utilisation de diurétiques et d’autres traitements symptomatiques appropriés. Cependant, certains de ces effets peuvent être graves voire mettre en jeu le pronostic vital : plusieurs patients en crise blastique sont décédés, avec un tableau clinique complexe associant un épanchement pleural, une insuffisance cardiaque congestive et une insuffisance rénale. Les études cliniques menées chez l’enfant n’ont pas révélé de données de tolérance particulière à cette population.</w:t>
      </w:r>
    </w:p>
    <w:p w14:paraId="2BEFD644" w14:textId="77777777" w:rsidR="00EF4CB3" w:rsidRPr="00961E0F" w:rsidRDefault="00EF4CB3" w:rsidP="00EF4CB3">
      <w:pPr>
        <w:widowControl w:val="0"/>
        <w:rPr>
          <w:rFonts w:ascii="Times New Roman" w:hAnsi="Times New Roman"/>
          <w:color w:val="000000"/>
          <w:szCs w:val="22"/>
        </w:rPr>
      </w:pPr>
    </w:p>
    <w:p w14:paraId="2AFBBDD4" w14:textId="77777777" w:rsidR="00EF4CB3" w:rsidRPr="00961E0F" w:rsidRDefault="00EF4CB3" w:rsidP="004B2956">
      <w:pPr>
        <w:pStyle w:val="paragraphSIF"/>
        <w:keepNext/>
        <w:widowControl w:val="0"/>
        <w:tabs>
          <w:tab w:val="clear" w:pos="-720"/>
        </w:tabs>
        <w:jc w:val="left"/>
        <w:rPr>
          <w:b/>
          <w:color w:val="000000"/>
          <w:szCs w:val="22"/>
          <w:lang w:val="fr-FR"/>
        </w:rPr>
      </w:pPr>
      <w:r w:rsidRPr="00961E0F">
        <w:rPr>
          <w:b/>
          <w:color w:val="000000"/>
          <w:szCs w:val="22"/>
          <w:lang w:val="fr-FR"/>
        </w:rPr>
        <w:t>Les effets indésirables</w:t>
      </w:r>
    </w:p>
    <w:p w14:paraId="16AE40AA"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Les effets indésirables, en dehors des cas isolés, sont repris ci-dessous par organe et par ordre de fréquence</w:t>
      </w:r>
      <w:r w:rsidRPr="00961E0F">
        <w:rPr>
          <w:color w:val="000000"/>
          <w:szCs w:val="22"/>
        </w:rPr>
        <w:t xml:space="preserve"> </w:t>
      </w:r>
      <w:r w:rsidRPr="00961E0F">
        <w:rPr>
          <w:rFonts w:ascii="Times New Roman" w:hAnsi="Times New Roman"/>
          <w:color w:val="000000"/>
          <w:szCs w:val="22"/>
        </w:rPr>
        <w:t>Les catégories de fréquence</w:t>
      </w:r>
      <w:r w:rsidRPr="00961E0F">
        <w:rPr>
          <w:color w:val="000000"/>
          <w:szCs w:val="22"/>
        </w:rPr>
        <w:t xml:space="preserve"> </w:t>
      </w:r>
      <w:r w:rsidRPr="00961E0F">
        <w:rPr>
          <w:rFonts w:ascii="Times New Roman" w:hAnsi="Times New Roman"/>
          <w:color w:val="000000"/>
          <w:szCs w:val="22"/>
        </w:rPr>
        <w:t xml:space="preserve">sont définies selon la convention suivante : très fréquent (≥1/10), fréquent (≥1/100, &lt;1/10), peu fréquent (≥1/1 000, </w:t>
      </w:r>
      <w:r w:rsidRPr="00961E0F">
        <w:rPr>
          <w:rFonts w:ascii="Times New Roman" w:hAnsi="Times New Roman"/>
          <w:b/>
          <w:noProof/>
          <w:color w:val="000000"/>
          <w:lang w:val="fi-FI"/>
        </w:rPr>
        <w:t>&lt;</w:t>
      </w:r>
      <w:r w:rsidRPr="00961E0F">
        <w:rPr>
          <w:rFonts w:ascii="Times New Roman" w:hAnsi="Times New Roman"/>
          <w:color w:val="000000"/>
          <w:szCs w:val="22"/>
        </w:rPr>
        <w:t>1/100), rare (</w:t>
      </w:r>
      <w:r w:rsidRPr="00961E0F">
        <w:rPr>
          <w:rFonts w:ascii="Times New Roman" w:hAnsi="Times New Roman"/>
          <w:noProof/>
          <w:color w:val="000000"/>
        </w:rPr>
        <w:sym w:font="Symbol" w:char="F0B3"/>
      </w:r>
      <w:r w:rsidRPr="00961E0F">
        <w:rPr>
          <w:rFonts w:ascii="Times New Roman" w:hAnsi="Times New Roman"/>
          <w:noProof/>
          <w:color w:val="000000"/>
        </w:rPr>
        <w:t>1/10 000, &lt;</w:t>
      </w:r>
      <w:r w:rsidRPr="00961E0F">
        <w:rPr>
          <w:rFonts w:ascii="Times New Roman" w:hAnsi="Times New Roman"/>
          <w:color w:val="000000"/>
          <w:szCs w:val="22"/>
        </w:rPr>
        <w:t>1/1 000),</w:t>
      </w:r>
      <w:r w:rsidRPr="00961E0F">
        <w:rPr>
          <w:rFonts w:ascii="Times New Roman" w:hAnsi="Times New Roman"/>
          <w:bCs/>
          <w:color w:val="000000"/>
          <w:szCs w:val="22"/>
        </w:rPr>
        <w:t xml:space="preserve"> </w:t>
      </w:r>
      <w:r w:rsidRPr="00961E0F">
        <w:rPr>
          <w:rFonts w:ascii="Times New Roman" w:hAnsi="Times New Roman"/>
          <w:bCs/>
          <w:noProof/>
          <w:color w:val="000000"/>
          <w:szCs w:val="22"/>
        </w:rPr>
        <w:t xml:space="preserve">très rare (&lt;1/10 000), </w:t>
      </w:r>
      <w:r w:rsidRPr="00961E0F">
        <w:rPr>
          <w:rFonts w:ascii="Times New Roman" w:hAnsi="Times New Roman"/>
          <w:noProof/>
          <w:color w:val="000000"/>
          <w:szCs w:val="22"/>
        </w:rPr>
        <w:t>fréquence indéterminée (ne peut être estimée sur la base des données disponibles)</w:t>
      </w:r>
      <w:r w:rsidRPr="00961E0F">
        <w:rPr>
          <w:rFonts w:ascii="Times New Roman" w:hAnsi="Times New Roman"/>
          <w:color w:val="000000"/>
          <w:szCs w:val="22"/>
        </w:rPr>
        <w:t>.</w:t>
      </w:r>
    </w:p>
    <w:p w14:paraId="35F37AA6" w14:textId="77777777" w:rsidR="00EF4CB3" w:rsidRPr="00961E0F" w:rsidRDefault="00EF4CB3" w:rsidP="00EF4CB3">
      <w:pPr>
        <w:widowControl w:val="0"/>
        <w:rPr>
          <w:rFonts w:ascii="Times New Roman" w:hAnsi="Times New Roman"/>
          <w:color w:val="000000"/>
          <w:szCs w:val="22"/>
        </w:rPr>
      </w:pPr>
    </w:p>
    <w:p w14:paraId="58B4F151"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Au sein de chaque groupe de fréquence, les effets indésirables doivent être présentés suivant un ordre de fréquence, le plus fréquent en premier.</w:t>
      </w:r>
    </w:p>
    <w:p w14:paraId="309AA76A" w14:textId="77777777" w:rsidR="00EF4CB3" w:rsidRPr="00961E0F" w:rsidRDefault="00EF4CB3" w:rsidP="00EF4CB3">
      <w:pPr>
        <w:widowControl w:val="0"/>
        <w:rPr>
          <w:rFonts w:ascii="Times New Roman" w:hAnsi="Times New Roman"/>
          <w:color w:val="000000"/>
          <w:szCs w:val="22"/>
        </w:rPr>
      </w:pPr>
    </w:p>
    <w:p w14:paraId="38155211"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 xml:space="preserve">Les effets indésirables et leurs fréquences </w:t>
      </w:r>
      <w:r w:rsidR="00A36CDB" w:rsidRPr="00961E0F">
        <w:rPr>
          <w:rFonts w:ascii="Times New Roman" w:hAnsi="Times New Roman"/>
          <w:color w:val="000000"/>
          <w:szCs w:val="22"/>
        </w:rPr>
        <w:t xml:space="preserve">sont </w:t>
      </w:r>
      <w:r w:rsidRPr="00961E0F">
        <w:rPr>
          <w:rFonts w:ascii="Times New Roman" w:hAnsi="Times New Roman"/>
          <w:color w:val="000000"/>
          <w:szCs w:val="22"/>
        </w:rPr>
        <w:t>présentés dans le Tableau 1.</w:t>
      </w:r>
    </w:p>
    <w:p w14:paraId="24FA37BC" w14:textId="77777777" w:rsidR="00EF4CB3" w:rsidRPr="00961E0F" w:rsidRDefault="00EF4CB3" w:rsidP="00EF4CB3">
      <w:pPr>
        <w:widowControl w:val="0"/>
        <w:rPr>
          <w:rFonts w:ascii="Times New Roman" w:hAnsi="Times New Roman"/>
          <w:color w:val="000000"/>
          <w:szCs w:val="22"/>
        </w:rPr>
      </w:pPr>
    </w:p>
    <w:p w14:paraId="2E38EDCE" w14:textId="77777777" w:rsidR="00EF4CB3" w:rsidRPr="00961E0F" w:rsidRDefault="00EF4CB3" w:rsidP="004B2956">
      <w:pPr>
        <w:keepNext/>
        <w:widowControl w:val="0"/>
        <w:tabs>
          <w:tab w:val="left" w:pos="1134"/>
        </w:tabs>
        <w:rPr>
          <w:rFonts w:ascii="Times New Roman" w:hAnsi="Times New Roman"/>
          <w:b/>
          <w:color w:val="000000"/>
          <w:szCs w:val="22"/>
        </w:rPr>
      </w:pPr>
      <w:r w:rsidRPr="00961E0F">
        <w:rPr>
          <w:rFonts w:ascii="Times New Roman" w:hAnsi="Times New Roman"/>
          <w:b/>
          <w:color w:val="000000"/>
          <w:szCs w:val="22"/>
        </w:rPr>
        <w:t>Tableau 1</w:t>
      </w:r>
      <w:r w:rsidRPr="00961E0F">
        <w:rPr>
          <w:rFonts w:ascii="Times New Roman" w:hAnsi="Times New Roman"/>
          <w:b/>
          <w:color w:val="000000"/>
          <w:szCs w:val="22"/>
        </w:rPr>
        <w:tab/>
      </w:r>
      <w:r w:rsidR="00A36CDB" w:rsidRPr="00961E0F">
        <w:rPr>
          <w:rFonts w:ascii="Times New Roman" w:hAnsi="Times New Roman"/>
          <w:b/>
          <w:color w:val="000000"/>
          <w:szCs w:val="22"/>
        </w:rPr>
        <w:t>Tableau de synthèse des e</w:t>
      </w:r>
      <w:r w:rsidRPr="00961E0F">
        <w:rPr>
          <w:rFonts w:ascii="Times New Roman" w:hAnsi="Times New Roman"/>
          <w:b/>
          <w:color w:val="000000"/>
          <w:szCs w:val="22"/>
        </w:rPr>
        <w:t>ffets indésirables</w:t>
      </w:r>
    </w:p>
    <w:p w14:paraId="5907CEC0" w14:textId="77777777" w:rsidR="00EF4CB3" w:rsidRPr="00961E0F" w:rsidRDefault="00EF4CB3" w:rsidP="004B2956">
      <w:pPr>
        <w:keepNext/>
        <w:widowControl w:val="0"/>
        <w:rPr>
          <w:rFonts w:ascii="Times New Roman" w:hAnsi="Times New Roman"/>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EF4CB3" w:rsidRPr="00961E0F" w14:paraId="071DC4F9" w14:textId="77777777" w:rsidTr="004B2956">
        <w:trPr>
          <w:cantSplit/>
        </w:trPr>
        <w:tc>
          <w:tcPr>
            <w:tcW w:w="9322" w:type="dxa"/>
            <w:gridSpan w:val="2"/>
          </w:tcPr>
          <w:p w14:paraId="1B939091" w14:textId="77777777" w:rsidR="00EF4CB3" w:rsidRPr="00961E0F" w:rsidRDefault="00EF4CB3" w:rsidP="004B2956">
            <w:pPr>
              <w:keepNext/>
              <w:tabs>
                <w:tab w:val="left" w:pos="567"/>
              </w:tabs>
              <w:spacing w:line="260" w:lineRule="exact"/>
              <w:rPr>
                <w:rFonts w:ascii="Times New Roman" w:hAnsi="Times New Roman"/>
                <w:color w:val="000000"/>
                <w:szCs w:val="22"/>
                <w:lang w:val="pt-PT"/>
              </w:rPr>
            </w:pPr>
            <w:r w:rsidRPr="00961E0F">
              <w:rPr>
                <w:rFonts w:ascii="Times New Roman" w:hAnsi="Times New Roman"/>
                <w:b/>
                <w:color w:val="000000"/>
                <w:szCs w:val="22"/>
              </w:rPr>
              <w:t>Infections et infestations</w:t>
            </w:r>
          </w:p>
        </w:tc>
      </w:tr>
      <w:tr w:rsidR="00EF4CB3" w:rsidRPr="00961E0F" w14:paraId="7095ECD0" w14:textId="77777777" w:rsidTr="004B2956">
        <w:trPr>
          <w:cantSplit/>
        </w:trPr>
        <w:tc>
          <w:tcPr>
            <w:tcW w:w="2235" w:type="dxa"/>
          </w:tcPr>
          <w:p w14:paraId="1C1A4413"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36B2488C"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Zona, herpès simplex, inflammation nasopharyngée, pneumonie</w:t>
            </w:r>
            <w:r w:rsidRPr="00961E0F">
              <w:rPr>
                <w:rFonts w:ascii="Times New Roman" w:hAnsi="Times New Roman"/>
                <w:color w:val="000000"/>
                <w:szCs w:val="22"/>
                <w:vertAlign w:val="superscript"/>
              </w:rPr>
              <w:t>1</w:t>
            </w:r>
            <w:r w:rsidRPr="00961E0F">
              <w:rPr>
                <w:rFonts w:ascii="Times New Roman" w:hAnsi="Times New Roman"/>
                <w:color w:val="000000"/>
                <w:szCs w:val="22"/>
              </w:rPr>
              <w:t>, sinusite, cellulites, infection des voies respiratoires hautes, grippe, infection des voies urinaires, gastroenterite, septicémie</w:t>
            </w:r>
          </w:p>
        </w:tc>
      </w:tr>
      <w:tr w:rsidR="00EF4CB3" w:rsidRPr="00961E0F" w14:paraId="26E357DA" w14:textId="77777777" w:rsidTr="004B2956">
        <w:trPr>
          <w:cantSplit/>
        </w:trPr>
        <w:tc>
          <w:tcPr>
            <w:tcW w:w="2235" w:type="dxa"/>
          </w:tcPr>
          <w:p w14:paraId="42AACC1E"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2D656BBF"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Infection fongique</w:t>
            </w:r>
          </w:p>
        </w:tc>
      </w:tr>
      <w:tr w:rsidR="00A802CA" w:rsidRPr="00961E0F" w14:paraId="14DBB3B9" w14:textId="77777777" w:rsidTr="004B2956">
        <w:trPr>
          <w:cantSplit/>
        </w:trPr>
        <w:tc>
          <w:tcPr>
            <w:tcW w:w="2235" w:type="dxa"/>
          </w:tcPr>
          <w:p w14:paraId="7AAE1B63" w14:textId="77777777" w:rsidR="00A802CA" w:rsidRPr="00961E0F" w:rsidRDefault="00A802CA"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045D92F7" w14:textId="77777777" w:rsidR="00A802CA" w:rsidRPr="00961E0F" w:rsidRDefault="00A802CA"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Réactivation de l’hépatite B*</w:t>
            </w:r>
          </w:p>
        </w:tc>
      </w:tr>
      <w:tr w:rsidR="00EF4CB3" w:rsidRPr="00961E0F" w14:paraId="1A0BEC2C" w14:textId="77777777" w:rsidTr="004B2956">
        <w:trPr>
          <w:cantSplit/>
        </w:trPr>
        <w:tc>
          <w:tcPr>
            <w:tcW w:w="9322" w:type="dxa"/>
            <w:gridSpan w:val="2"/>
          </w:tcPr>
          <w:p w14:paraId="4B8A7734" w14:textId="77777777" w:rsidR="00EF4CB3" w:rsidRPr="00961E0F" w:rsidRDefault="00EF4CB3" w:rsidP="004B2956">
            <w:pPr>
              <w:keepNext/>
              <w:autoSpaceDE w:val="0"/>
              <w:autoSpaceDN w:val="0"/>
              <w:adjustRightInd w:val="0"/>
              <w:rPr>
                <w:rFonts w:ascii="Times New Roman" w:hAnsi="Times New Roman"/>
                <w:b/>
                <w:color w:val="000000"/>
                <w:szCs w:val="22"/>
              </w:rPr>
            </w:pPr>
            <w:r w:rsidRPr="00961E0F">
              <w:rPr>
                <w:rFonts w:ascii="Times New Roman" w:hAnsi="Times New Roman"/>
                <w:b/>
                <w:color w:val="000000"/>
                <w:szCs w:val="22"/>
              </w:rPr>
              <w:t>Tumeurs bénignes, malignes et non précisées (incluant kystes et polypes)</w:t>
            </w:r>
          </w:p>
        </w:tc>
      </w:tr>
      <w:tr w:rsidR="00EF4CB3" w:rsidRPr="00961E0F" w14:paraId="6DCFB3E9" w14:textId="77777777" w:rsidTr="004B2956">
        <w:trPr>
          <w:cantSplit/>
        </w:trPr>
        <w:tc>
          <w:tcPr>
            <w:tcW w:w="2235" w:type="dxa"/>
          </w:tcPr>
          <w:p w14:paraId="56700523"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2281EF8D"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Syndrome de lyse tumorale</w:t>
            </w:r>
          </w:p>
        </w:tc>
      </w:tr>
      <w:tr w:rsidR="00A36CDB" w:rsidRPr="00961E0F" w14:paraId="6C624B04" w14:textId="77777777" w:rsidTr="004B2956">
        <w:trPr>
          <w:cantSplit/>
        </w:trPr>
        <w:tc>
          <w:tcPr>
            <w:tcW w:w="2235" w:type="dxa"/>
          </w:tcPr>
          <w:p w14:paraId="5435DA9E"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3110CBAC"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Hémorragie tumorale/nécrose tumorale*</w:t>
            </w:r>
          </w:p>
        </w:tc>
      </w:tr>
      <w:tr w:rsidR="00A36CDB" w:rsidRPr="00961E0F" w14:paraId="10D493C0" w14:textId="77777777" w:rsidTr="004B2956">
        <w:trPr>
          <w:cantSplit/>
        </w:trPr>
        <w:tc>
          <w:tcPr>
            <w:tcW w:w="9322" w:type="dxa"/>
            <w:gridSpan w:val="2"/>
          </w:tcPr>
          <w:p w14:paraId="11E4C7E0" w14:textId="77777777" w:rsidR="00A36CDB" w:rsidRPr="00961E0F" w:rsidRDefault="00A36CDB"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du système immunitaire</w:t>
            </w:r>
          </w:p>
        </w:tc>
      </w:tr>
      <w:tr w:rsidR="00A36CDB" w:rsidRPr="00961E0F" w14:paraId="2EE4A567" w14:textId="77777777" w:rsidTr="004B2956">
        <w:trPr>
          <w:cantSplit/>
        </w:trPr>
        <w:tc>
          <w:tcPr>
            <w:tcW w:w="2235" w:type="dxa"/>
          </w:tcPr>
          <w:p w14:paraId="4634E924"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76E0F359"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Choc anaphylactique*</w:t>
            </w:r>
          </w:p>
        </w:tc>
      </w:tr>
      <w:tr w:rsidR="00EF4CB3" w:rsidRPr="00961E0F" w14:paraId="60BAD0F5" w14:textId="77777777" w:rsidTr="004B2956">
        <w:trPr>
          <w:cantSplit/>
        </w:trPr>
        <w:tc>
          <w:tcPr>
            <w:tcW w:w="9322" w:type="dxa"/>
            <w:gridSpan w:val="2"/>
          </w:tcPr>
          <w:p w14:paraId="14AA34DD"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hématologiques et du système lymphatique</w:t>
            </w:r>
          </w:p>
        </w:tc>
      </w:tr>
      <w:tr w:rsidR="00EF4CB3" w:rsidRPr="00961E0F" w14:paraId="38C1DA04" w14:textId="77777777" w:rsidTr="004B2956">
        <w:trPr>
          <w:cantSplit/>
        </w:trPr>
        <w:tc>
          <w:tcPr>
            <w:tcW w:w="2235" w:type="dxa"/>
          </w:tcPr>
          <w:p w14:paraId="79EF3C90"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69F3604A"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Neutropénie, thrombopénie, anémie</w:t>
            </w:r>
          </w:p>
        </w:tc>
      </w:tr>
      <w:tr w:rsidR="00EF4CB3" w:rsidRPr="00961E0F" w14:paraId="2A78B06F" w14:textId="77777777" w:rsidTr="004B2956">
        <w:trPr>
          <w:cantSplit/>
        </w:trPr>
        <w:tc>
          <w:tcPr>
            <w:tcW w:w="2235" w:type="dxa"/>
          </w:tcPr>
          <w:p w14:paraId="7FD58AD7"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3E3C4D92"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Pancytopénie, neutropénie fébrile</w:t>
            </w:r>
          </w:p>
        </w:tc>
      </w:tr>
      <w:tr w:rsidR="00EF4CB3" w:rsidRPr="00961E0F" w14:paraId="2DCD1DBE" w14:textId="77777777" w:rsidTr="004B2956">
        <w:trPr>
          <w:cantSplit/>
        </w:trPr>
        <w:tc>
          <w:tcPr>
            <w:tcW w:w="2235" w:type="dxa"/>
          </w:tcPr>
          <w:p w14:paraId="7315565B"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149EDE91"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Thrombocythémie, lymphopénie, aplasie médullaire, eosinophilie, lymphadénopathie</w:t>
            </w:r>
          </w:p>
        </w:tc>
      </w:tr>
      <w:tr w:rsidR="00EF4CB3" w:rsidRPr="00961E0F" w14:paraId="093A3252" w14:textId="77777777" w:rsidTr="004B2956">
        <w:trPr>
          <w:cantSplit/>
        </w:trPr>
        <w:tc>
          <w:tcPr>
            <w:tcW w:w="2235" w:type="dxa"/>
          </w:tcPr>
          <w:p w14:paraId="30FADD4A" w14:textId="77777777" w:rsidR="00EF4CB3" w:rsidRPr="00961E0F" w:rsidRDefault="00EF4CB3" w:rsidP="00F84278">
            <w:pPr>
              <w:tabs>
                <w:tab w:val="left" w:pos="567"/>
              </w:tabs>
              <w:spacing w:line="260" w:lineRule="exact"/>
              <w:rPr>
                <w:rFonts w:ascii="Times New Roman" w:hAnsi="Times New Roman"/>
                <w:i/>
                <w:color w:val="000000"/>
              </w:rPr>
            </w:pPr>
            <w:r w:rsidRPr="00961E0F">
              <w:rPr>
                <w:rFonts w:ascii="Times New Roman" w:hAnsi="Times New Roman"/>
                <w:i/>
                <w:color w:val="000000"/>
              </w:rPr>
              <w:t>Rare :</w:t>
            </w:r>
          </w:p>
        </w:tc>
        <w:tc>
          <w:tcPr>
            <w:tcW w:w="7087" w:type="dxa"/>
          </w:tcPr>
          <w:p w14:paraId="23081C80" w14:textId="77777777" w:rsidR="00EF4CB3" w:rsidRPr="00961E0F" w:rsidRDefault="00EF4CB3" w:rsidP="00F84278">
            <w:pPr>
              <w:tabs>
                <w:tab w:val="left" w:pos="567"/>
              </w:tabs>
              <w:spacing w:line="260" w:lineRule="exact"/>
              <w:rPr>
                <w:rFonts w:ascii="Times New Roman" w:hAnsi="Times New Roman"/>
                <w:color w:val="000000"/>
              </w:rPr>
            </w:pPr>
            <w:r w:rsidRPr="00961E0F">
              <w:rPr>
                <w:rFonts w:ascii="Times New Roman" w:hAnsi="Times New Roman"/>
                <w:color w:val="000000"/>
              </w:rPr>
              <w:t>Anémie hémolytique</w:t>
            </w:r>
            <w:r w:rsidR="00F279C2" w:rsidRPr="00961E0F">
              <w:rPr>
                <w:rFonts w:ascii="Times New Roman" w:hAnsi="Times New Roman"/>
                <w:color w:val="000000"/>
              </w:rPr>
              <w:t>, microangiopathie thrombotique</w:t>
            </w:r>
          </w:p>
        </w:tc>
      </w:tr>
      <w:tr w:rsidR="00EF4CB3" w:rsidRPr="00961E0F" w14:paraId="2BA7B523" w14:textId="77777777" w:rsidTr="004B2956">
        <w:trPr>
          <w:cantSplit/>
        </w:trPr>
        <w:tc>
          <w:tcPr>
            <w:tcW w:w="9322" w:type="dxa"/>
            <w:gridSpan w:val="2"/>
          </w:tcPr>
          <w:p w14:paraId="18A922C6"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lastRenderedPageBreak/>
              <w:t>Troubles du métabolisme et de la nutrition</w:t>
            </w:r>
          </w:p>
        </w:tc>
      </w:tr>
      <w:tr w:rsidR="00EF4CB3" w:rsidRPr="00961E0F" w14:paraId="2E073F13" w14:textId="77777777" w:rsidTr="004B2956">
        <w:trPr>
          <w:cantSplit/>
        </w:trPr>
        <w:tc>
          <w:tcPr>
            <w:tcW w:w="2235" w:type="dxa"/>
          </w:tcPr>
          <w:p w14:paraId="5BDCC3D3"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3F5153C3"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Anorexie</w:t>
            </w:r>
          </w:p>
        </w:tc>
      </w:tr>
      <w:tr w:rsidR="00EF4CB3" w:rsidRPr="00961E0F" w14:paraId="0141DA9A" w14:textId="77777777" w:rsidTr="004B2956">
        <w:trPr>
          <w:cantSplit/>
        </w:trPr>
        <w:tc>
          <w:tcPr>
            <w:tcW w:w="2235" w:type="dxa"/>
          </w:tcPr>
          <w:p w14:paraId="670B9092"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41B6149E"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Hypokaliémie, augmentation de l’appétit, hypophosphatémie, diminution de l’appétit, déshydratation, goutte, hyperuricémie, hypercalcémie, hyperglycémie, hyponatrémie</w:t>
            </w:r>
          </w:p>
        </w:tc>
      </w:tr>
      <w:tr w:rsidR="00EF4CB3" w:rsidRPr="00961E0F" w14:paraId="46A120D3" w14:textId="77777777" w:rsidTr="004B2956">
        <w:trPr>
          <w:cantSplit/>
        </w:trPr>
        <w:tc>
          <w:tcPr>
            <w:tcW w:w="2235" w:type="dxa"/>
          </w:tcPr>
          <w:p w14:paraId="566BFA52" w14:textId="77777777" w:rsidR="00EF4CB3" w:rsidRPr="00961E0F" w:rsidRDefault="00EF4CB3"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076EF45C" w14:textId="77777777" w:rsidR="00EF4CB3" w:rsidRPr="00961E0F" w:rsidRDefault="00EF4CB3" w:rsidP="00F84278">
            <w:pPr>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Hyperkaliémie, hypomagnésémie</w:t>
            </w:r>
          </w:p>
        </w:tc>
      </w:tr>
      <w:tr w:rsidR="00EF4CB3" w:rsidRPr="00961E0F" w14:paraId="5AF4C591" w14:textId="77777777" w:rsidTr="004B2956">
        <w:trPr>
          <w:cantSplit/>
        </w:trPr>
        <w:tc>
          <w:tcPr>
            <w:tcW w:w="9322" w:type="dxa"/>
            <w:gridSpan w:val="2"/>
          </w:tcPr>
          <w:p w14:paraId="2E75095B"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psychiatriques</w:t>
            </w:r>
          </w:p>
        </w:tc>
      </w:tr>
      <w:tr w:rsidR="00EF4CB3" w:rsidRPr="00961E0F" w14:paraId="0E9E0F2E" w14:textId="77777777" w:rsidTr="004B2956">
        <w:trPr>
          <w:cantSplit/>
        </w:trPr>
        <w:tc>
          <w:tcPr>
            <w:tcW w:w="2235" w:type="dxa"/>
          </w:tcPr>
          <w:p w14:paraId="7B4C3FE3"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373BDD1A"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Insomnie</w:t>
            </w:r>
          </w:p>
        </w:tc>
      </w:tr>
      <w:tr w:rsidR="00EF4CB3" w:rsidRPr="00961E0F" w14:paraId="05543FAF" w14:textId="77777777" w:rsidTr="004B2956">
        <w:trPr>
          <w:cantSplit/>
        </w:trPr>
        <w:tc>
          <w:tcPr>
            <w:tcW w:w="2235" w:type="dxa"/>
          </w:tcPr>
          <w:p w14:paraId="60B91E4B"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38CC0122"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Dépression, diminution de libido, anxiété</w:t>
            </w:r>
          </w:p>
        </w:tc>
      </w:tr>
      <w:tr w:rsidR="00EF4CB3" w:rsidRPr="00961E0F" w14:paraId="355F3596" w14:textId="77777777" w:rsidTr="004B2956">
        <w:trPr>
          <w:cantSplit/>
        </w:trPr>
        <w:tc>
          <w:tcPr>
            <w:tcW w:w="2235" w:type="dxa"/>
          </w:tcPr>
          <w:p w14:paraId="0C1BD73F" w14:textId="77777777" w:rsidR="00EF4CB3" w:rsidRPr="00961E0F" w:rsidRDefault="00EF4CB3"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231D47FB" w14:textId="77777777" w:rsidR="00EF4CB3" w:rsidRPr="00961E0F" w:rsidRDefault="00EF4CB3"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Confusion</w:t>
            </w:r>
          </w:p>
        </w:tc>
      </w:tr>
      <w:tr w:rsidR="00EF4CB3" w:rsidRPr="00961E0F" w14:paraId="702F27BB" w14:textId="77777777" w:rsidTr="004B2956">
        <w:trPr>
          <w:cantSplit/>
        </w:trPr>
        <w:tc>
          <w:tcPr>
            <w:tcW w:w="9322" w:type="dxa"/>
            <w:gridSpan w:val="2"/>
          </w:tcPr>
          <w:p w14:paraId="20978752"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du système nerveux</w:t>
            </w:r>
          </w:p>
        </w:tc>
      </w:tr>
      <w:tr w:rsidR="00EF4CB3" w:rsidRPr="00961E0F" w14:paraId="2ED2D9D5" w14:textId="77777777" w:rsidTr="004B2956">
        <w:trPr>
          <w:cantSplit/>
        </w:trPr>
        <w:tc>
          <w:tcPr>
            <w:tcW w:w="2235" w:type="dxa"/>
          </w:tcPr>
          <w:p w14:paraId="5C14340F"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0E1DF87F"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Céphalées</w:t>
            </w:r>
            <w:r w:rsidRPr="00961E0F">
              <w:rPr>
                <w:rFonts w:ascii="Times New Roman" w:hAnsi="Times New Roman"/>
                <w:color w:val="000000"/>
                <w:szCs w:val="22"/>
                <w:vertAlign w:val="superscript"/>
              </w:rPr>
              <w:t>2</w:t>
            </w:r>
          </w:p>
        </w:tc>
      </w:tr>
      <w:tr w:rsidR="00EF4CB3" w:rsidRPr="00961E0F" w14:paraId="4DC3067F" w14:textId="77777777" w:rsidTr="004B2956">
        <w:trPr>
          <w:cantSplit/>
        </w:trPr>
        <w:tc>
          <w:tcPr>
            <w:tcW w:w="2235" w:type="dxa"/>
          </w:tcPr>
          <w:p w14:paraId="69FB94F9"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738EF111"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Sensations vertigineuses, paresthésies, troubles du goût, hypoesthésie</w:t>
            </w:r>
          </w:p>
        </w:tc>
      </w:tr>
      <w:tr w:rsidR="00EF4CB3" w:rsidRPr="00961E0F" w14:paraId="6CEAF949" w14:textId="77777777" w:rsidTr="004B2956">
        <w:trPr>
          <w:cantSplit/>
        </w:trPr>
        <w:tc>
          <w:tcPr>
            <w:tcW w:w="2235" w:type="dxa"/>
          </w:tcPr>
          <w:p w14:paraId="4DDD1093"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34D1BA7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Migraine, somnolence, syncope, neuropathie périphérique, troubles de la mémoire, sciatique, syndrome des jambes sans repos, tremblement, hémorragie cérébrale</w:t>
            </w:r>
          </w:p>
        </w:tc>
      </w:tr>
      <w:tr w:rsidR="00EF4CB3" w:rsidRPr="00961E0F" w14:paraId="63DD6EB3" w14:textId="77777777" w:rsidTr="004B2956">
        <w:trPr>
          <w:cantSplit/>
        </w:trPr>
        <w:tc>
          <w:tcPr>
            <w:tcW w:w="2235" w:type="dxa"/>
          </w:tcPr>
          <w:p w14:paraId="0D6A5D1C"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4482AAC0"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Hypertension intracrânienne, convulsions, névrite optique</w:t>
            </w:r>
          </w:p>
        </w:tc>
      </w:tr>
      <w:tr w:rsidR="00A36CDB" w:rsidRPr="00961E0F" w14:paraId="025DEF0A" w14:textId="77777777" w:rsidTr="004B2956">
        <w:trPr>
          <w:cantSplit/>
        </w:trPr>
        <w:tc>
          <w:tcPr>
            <w:tcW w:w="2235" w:type="dxa"/>
          </w:tcPr>
          <w:p w14:paraId="40ECB8E5"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547E0A4C"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Oedème cérébral*</w:t>
            </w:r>
          </w:p>
        </w:tc>
      </w:tr>
      <w:tr w:rsidR="00EF4CB3" w:rsidRPr="00961E0F" w14:paraId="0E83EE6E" w14:textId="77777777" w:rsidTr="004B2956">
        <w:trPr>
          <w:cantSplit/>
        </w:trPr>
        <w:tc>
          <w:tcPr>
            <w:tcW w:w="9322" w:type="dxa"/>
            <w:gridSpan w:val="2"/>
          </w:tcPr>
          <w:p w14:paraId="68A7F58C"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oculaires</w:t>
            </w:r>
          </w:p>
        </w:tc>
      </w:tr>
      <w:tr w:rsidR="00EF4CB3" w:rsidRPr="00961E0F" w14:paraId="230D9F98" w14:textId="77777777" w:rsidTr="004B2956">
        <w:trPr>
          <w:cantSplit/>
        </w:trPr>
        <w:tc>
          <w:tcPr>
            <w:tcW w:w="2235" w:type="dxa"/>
          </w:tcPr>
          <w:p w14:paraId="765EB20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29E075A2"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Oedème des paupières, secretions lacrymales augmentées, hémorrhagie conjonctivale, conjonctivite, yeux secs, vision trouble</w:t>
            </w:r>
          </w:p>
        </w:tc>
      </w:tr>
      <w:tr w:rsidR="00EF4CB3" w:rsidRPr="00961E0F" w14:paraId="604DE661" w14:textId="77777777" w:rsidTr="004B2956">
        <w:trPr>
          <w:cantSplit/>
        </w:trPr>
        <w:tc>
          <w:tcPr>
            <w:tcW w:w="2235" w:type="dxa"/>
          </w:tcPr>
          <w:p w14:paraId="5CB05898"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744398E8"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Irritation oculaire, douleur oculaire, œdème orbitaire, hémorrhagie sclérale, hémorrhagie rétinienne, blépharite, œdème maculaire</w:t>
            </w:r>
          </w:p>
        </w:tc>
      </w:tr>
      <w:tr w:rsidR="00EF4CB3" w:rsidRPr="00961E0F" w14:paraId="42379E35" w14:textId="77777777" w:rsidTr="004B2956">
        <w:trPr>
          <w:cantSplit/>
        </w:trPr>
        <w:tc>
          <w:tcPr>
            <w:tcW w:w="2235" w:type="dxa"/>
          </w:tcPr>
          <w:p w14:paraId="278BF8DF"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3FD7507D"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Cataracte, glaucome, œdème papillaire</w:t>
            </w:r>
          </w:p>
        </w:tc>
      </w:tr>
      <w:tr w:rsidR="00A36CDB" w:rsidRPr="00961E0F" w14:paraId="181802CB" w14:textId="77777777" w:rsidTr="004B2956">
        <w:trPr>
          <w:cantSplit/>
        </w:trPr>
        <w:tc>
          <w:tcPr>
            <w:tcW w:w="2235" w:type="dxa"/>
          </w:tcPr>
          <w:p w14:paraId="6ABD2614"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756AAA66"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Hémorragie du corps vitré*</w:t>
            </w:r>
          </w:p>
        </w:tc>
      </w:tr>
      <w:tr w:rsidR="00EF4CB3" w:rsidRPr="00961E0F" w14:paraId="04341FCB" w14:textId="77777777" w:rsidTr="004B2956">
        <w:trPr>
          <w:cantSplit/>
        </w:trPr>
        <w:tc>
          <w:tcPr>
            <w:tcW w:w="9322" w:type="dxa"/>
            <w:gridSpan w:val="2"/>
          </w:tcPr>
          <w:p w14:paraId="6C2FE369"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de l’oreille et du labyrinthe</w:t>
            </w:r>
          </w:p>
        </w:tc>
      </w:tr>
      <w:tr w:rsidR="00EF4CB3" w:rsidRPr="00961E0F" w14:paraId="3169D333" w14:textId="77777777" w:rsidTr="004B2956">
        <w:trPr>
          <w:cantSplit/>
        </w:trPr>
        <w:tc>
          <w:tcPr>
            <w:tcW w:w="2235" w:type="dxa"/>
          </w:tcPr>
          <w:p w14:paraId="5EB470E8" w14:textId="77777777" w:rsidR="00EF4CB3" w:rsidRPr="00961E0F" w:rsidRDefault="00EF4CB3" w:rsidP="00F84278">
            <w:pPr>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4B5C5D08" w14:textId="77777777" w:rsidR="00EF4CB3" w:rsidRPr="00961E0F" w:rsidRDefault="00EF4CB3" w:rsidP="00F84278">
            <w:pPr>
              <w:tabs>
                <w:tab w:val="left" w:pos="567"/>
              </w:tabs>
              <w:spacing w:line="260" w:lineRule="exact"/>
              <w:rPr>
                <w:rFonts w:ascii="Times New Roman" w:hAnsi="Times New Roman"/>
                <w:color w:val="000000"/>
              </w:rPr>
            </w:pPr>
            <w:r w:rsidRPr="00961E0F">
              <w:rPr>
                <w:rFonts w:ascii="Times New Roman" w:hAnsi="Times New Roman"/>
                <w:color w:val="000000"/>
                <w:szCs w:val="22"/>
                <w:lang w:val="it-IT"/>
              </w:rPr>
              <w:t>Vertiges, acouphènes, perte auditive</w:t>
            </w:r>
          </w:p>
        </w:tc>
      </w:tr>
      <w:tr w:rsidR="00EF4CB3" w:rsidRPr="00961E0F" w14:paraId="53E2528E" w14:textId="77777777" w:rsidTr="004B2956">
        <w:trPr>
          <w:cantSplit/>
        </w:trPr>
        <w:tc>
          <w:tcPr>
            <w:tcW w:w="9322" w:type="dxa"/>
            <w:gridSpan w:val="2"/>
          </w:tcPr>
          <w:p w14:paraId="43D8167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lang w:val="it-IT"/>
              </w:rPr>
              <w:t>Affections cardiaques</w:t>
            </w:r>
          </w:p>
        </w:tc>
      </w:tr>
      <w:tr w:rsidR="00EF4CB3" w:rsidRPr="00961E0F" w14:paraId="7E8C3802" w14:textId="77777777" w:rsidTr="004B2956">
        <w:trPr>
          <w:cantSplit/>
        </w:trPr>
        <w:tc>
          <w:tcPr>
            <w:tcW w:w="2235" w:type="dxa"/>
          </w:tcPr>
          <w:p w14:paraId="2C85F970"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2ABF0E1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Palpitations, tachycardie, insuffisance cardiaque congestive</w:t>
            </w:r>
            <w:r w:rsidRPr="00961E0F">
              <w:rPr>
                <w:rFonts w:ascii="Times New Roman" w:hAnsi="Times New Roman"/>
                <w:color w:val="000000"/>
                <w:szCs w:val="22"/>
                <w:vertAlign w:val="superscript"/>
              </w:rPr>
              <w:t>3</w:t>
            </w:r>
            <w:r w:rsidRPr="00961E0F">
              <w:rPr>
                <w:rFonts w:ascii="Times New Roman" w:hAnsi="Times New Roman"/>
                <w:color w:val="000000"/>
                <w:szCs w:val="22"/>
              </w:rPr>
              <w:t>, oedème pulmonaire</w:t>
            </w:r>
          </w:p>
        </w:tc>
      </w:tr>
      <w:tr w:rsidR="00EF4CB3" w:rsidRPr="00961E0F" w14:paraId="0206B44B" w14:textId="77777777" w:rsidTr="004B2956">
        <w:trPr>
          <w:cantSplit/>
        </w:trPr>
        <w:tc>
          <w:tcPr>
            <w:tcW w:w="2235" w:type="dxa"/>
          </w:tcPr>
          <w:p w14:paraId="644D92A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0EFFAFC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Arythmie, fibrillation auriculaire, arrêt cardiaque, infarctus du myocarde, angine de poitrine, épanchement péricardique</w:t>
            </w:r>
          </w:p>
        </w:tc>
      </w:tr>
      <w:tr w:rsidR="00A36CDB" w:rsidRPr="00961E0F" w14:paraId="4B49968A" w14:textId="77777777" w:rsidTr="004B2956">
        <w:trPr>
          <w:cantSplit/>
        </w:trPr>
        <w:tc>
          <w:tcPr>
            <w:tcW w:w="2235" w:type="dxa"/>
          </w:tcPr>
          <w:p w14:paraId="563F5CAA"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57D2C12C"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Péricardite*, tamponnade*</w:t>
            </w:r>
          </w:p>
        </w:tc>
      </w:tr>
      <w:tr w:rsidR="00EF4CB3" w:rsidRPr="00961E0F" w14:paraId="4DC91248" w14:textId="77777777" w:rsidTr="004B2956">
        <w:trPr>
          <w:cantSplit/>
        </w:trPr>
        <w:tc>
          <w:tcPr>
            <w:tcW w:w="9322" w:type="dxa"/>
            <w:gridSpan w:val="2"/>
          </w:tcPr>
          <w:p w14:paraId="61211900"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vasculaires</w:t>
            </w:r>
            <w:r w:rsidRPr="00961E0F">
              <w:rPr>
                <w:rFonts w:ascii="Times New Roman" w:hAnsi="Times New Roman"/>
                <w:color w:val="000000"/>
                <w:szCs w:val="22"/>
                <w:vertAlign w:val="superscript"/>
              </w:rPr>
              <w:t>4</w:t>
            </w:r>
          </w:p>
        </w:tc>
      </w:tr>
      <w:tr w:rsidR="00EF4CB3" w:rsidRPr="00961E0F" w14:paraId="5CE70DB5" w14:textId="77777777" w:rsidTr="004B2956">
        <w:trPr>
          <w:cantSplit/>
        </w:trPr>
        <w:tc>
          <w:tcPr>
            <w:tcW w:w="2235" w:type="dxa"/>
          </w:tcPr>
          <w:p w14:paraId="35CF229B"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666F74F7"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Bouffées vasomotrices, hémorragie</w:t>
            </w:r>
          </w:p>
        </w:tc>
      </w:tr>
      <w:tr w:rsidR="00EF4CB3" w:rsidRPr="00961E0F" w14:paraId="598B144C" w14:textId="77777777" w:rsidTr="004B2956">
        <w:trPr>
          <w:cantSplit/>
        </w:trPr>
        <w:tc>
          <w:tcPr>
            <w:tcW w:w="2235" w:type="dxa"/>
          </w:tcPr>
          <w:p w14:paraId="2705BAC3" w14:textId="77777777" w:rsidR="00EF4CB3" w:rsidRPr="00961E0F" w:rsidRDefault="00EF4CB3" w:rsidP="004B2956">
            <w:pPr>
              <w:keepNext/>
              <w:tabs>
                <w:tab w:val="left" w:pos="567"/>
              </w:tabs>
              <w:spacing w:line="260" w:lineRule="exact"/>
              <w:rPr>
                <w:rFonts w:ascii="Times New Roman" w:hAnsi="Times New Roman"/>
                <w:i/>
                <w:color w:val="000000"/>
                <w:szCs w:val="22"/>
                <w:u w:val="single"/>
              </w:rPr>
            </w:pPr>
            <w:r w:rsidRPr="00961E0F">
              <w:rPr>
                <w:rFonts w:ascii="Times New Roman" w:hAnsi="Times New Roman"/>
                <w:i/>
                <w:color w:val="000000"/>
                <w:szCs w:val="22"/>
              </w:rPr>
              <w:t>Peu fréquent :</w:t>
            </w:r>
          </w:p>
        </w:tc>
        <w:tc>
          <w:tcPr>
            <w:tcW w:w="7087" w:type="dxa"/>
          </w:tcPr>
          <w:p w14:paraId="21DA94CC"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Hypertension, hématome, hématome sous-dural, extrémités froides, hypotension, syndrome de Raynaud</w:t>
            </w:r>
          </w:p>
        </w:tc>
      </w:tr>
      <w:tr w:rsidR="00A36CDB" w:rsidRPr="00961E0F" w14:paraId="7BA46886" w14:textId="77777777" w:rsidTr="004B2956">
        <w:trPr>
          <w:cantSplit/>
        </w:trPr>
        <w:tc>
          <w:tcPr>
            <w:tcW w:w="2235" w:type="dxa"/>
          </w:tcPr>
          <w:p w14:paraId="47969EAC"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7851F802"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Thrombose/embolie*</w:t>
            </w:r>
          </w:p>
        </w:tc>
      </w:tr>
      <w:tr w:rsidR="00EF4CB3" w:rsidRPr="00961E0F" w14:paraId="69343C70" w14:textId="77777777" w:rsidTr="004B2956">
        <w:trPr>
          <w:cantSplit/>
        </w:trPr>
        <w:tc>
          <w:tcPr>
            <w:tcW w:w="9322" w:type="dxa"/>
            <w:gridSpan w:val="2"/>
          </w:tcPr>
          <w:p w14:paraId="6D4AC9FF"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respiratoires, thoraciques et médisatinales</w:t>
            </w:r>
          </w:p>
        </w:tc>
      </w:tr>
      <w:tr w:rsidR="00EF4CB3" w:rsidRPr="00961E0F" w14:paraId="21D04A50" w14:textId="77777777" w:rsidTr="004B2956">
        <w:trPr>
          <w:cantSplit/>
        </w:trPr>
        <w:tc>
          <w:tcPr>
            <w:tcW w:w="2235" w:type="dxa"/>
          </w:tcPr>
          <w:p w14:paraId="13FF77D2"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4AA472AE"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Dyspnée, epistaxis, toux</w:t>
            </w:r>
          </w:p>
        </w:tc>
      </w:tr>
      <w:tr w:rsidR="00EF4CB3" w:rsidRPr="00961E0F" w14:paraId="6E4AD462" w14:textId="77777777" w:rsidTr="004B2956">
        <w:trPr>
          <w:cantSplit/>
        </w:trPr>
        <w:tc>
          <w:tcPr>
            <w:tcW w:w="2235" w:type="dxa"/>
          </w:tcPr>
          <w:p w14:paraId="4EBFB561"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2B9E2DAB"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Epanchement pleural</w:t>
            </w:r>
            <w:r w:rsidRPr="00961E0F">
              <w:rPr>
                <w:rFonts w:ascii="Times New Roman" w:hAnsi="Times New Roman"/>
                <w:color w:val="000000"/>
                <w:szCs w:val="22"/>
                <w:vertAlign w:val="superscript"/>
              </w:rPr>
              <w:t>5</w:t>
            </w:r>
            <w:r w:rsidRPr="00961E0F">
              <w:rPr>
                <w:rFonts w:ascii="Times New Roman" w:hAnsi="Times New Roman"/>
                <w:color w:val="000000"/>
                <w:szCs w:val="22"/>
              </w:rPr>
              <w:t>, douleur pharyngolaryngée, pharyngite</w:t>
            </w:r>
          </w:p>
        </w:tc>
      </w:tr>
      <w:tr w:rsidR="00EF4CB3" w:rsidRPr="00961E0F" w14:paraId="19E25E21" w14:textId="77777777" w:rsidTr="004B2956">
        <w:trPr>
          <w:cantSplit/>
        </w:trPr>
        <w:tc>
          <w:tcPr>
            <w:tcW w:w="2235" w:type="dxa"/>
          </w:tcPr>
          <w:p w14:paraId="47C2969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0F17AA0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Douleur pleurale, fibrose pulmonaire, hypertension pulmonaire, hémorrhagie pulmonaire</w:t>
            </w:r>
          </w:p>
        </w:tc>
      </w:tr>
      <w:tr w:rsidR="00A36CDB" w:rsidRPr="00961E0F" w14:paraId="07829C94" w14:textId="77777777" w:rsidTr="004B2956">
        <w:trPr>
          <w:cantSplit/>
        </w:trPr>
        <w:tc>
          <w:tcPr>
            <w:tcW w:w="2235" w:type="dxa"/>
          </w:tcPr>
          <w:p w14:paraId="1C41E970"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27A5322C" w14:textId="77777777" w:rsidR="00A36CDB" w:rsidRPr="00961E0F" w:rsidRDefault="00A36CDB" w:rsidP="00D105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 xml:space="preserve">Insuffisance respiratoire </w:t>
            </w:r>
            <w:r w:rsidR="00D10578" w:rsidRPr="00961E0F">
              <w:rPr>
                <w:rFonts w:ascii="Times New Roman" w:hAnsi="Times New Roman"/>
                <w:color w:val="000000"/>
                <w:szCs w:val="22"/>
              </w:rPr>
              <w:t>aiguë</w:t>
            </w:r>
            <w:r w:rsidR="00D10578" w:rsidRPr="00961E0F">
              <w:rPr>
                <w:rFonts w:ascii="Times New Roman" w:hAnsi="Times New Roman"/>
                <w:color w:val="000000"/>
                <w:szCs w:val="22"/>
                <w:vertAlign w:val="superscript"/>
              </w:rPr>
              <w:t>11</w:t>
            </w:r>
            <w:r w:rsidRPr="00961E0F">
              <w:rPr>
                <w:rFonts w:ascii="Times New Roman" w:hAnsi="Times New Roman"/>
                <w:color w:val="000000"/>
                <w:szCs w:val="22"/>
              </w:rPr>
              <w:t>*, pneumopathie interstitielle*</w:t>
            </w:r>
          </w:p>
        </w:tc>
      </w:tr>
      <w:tr w:rsidR="00EF4CB3" w:rsidRPr="00961E0F" w14:paraId="5898CF72" w14:textId="77777777" w:rsidTr="004B2956">
        <w:trPr>
          <w:cantSplit/>
        </w:trPr>
        <w:tc>
          <w:tcPr>
            <w:tcW w:w="9322" w:type="dxa"/>
            <w:gridSpan w:val="2"/>
          </w:tcPr>
          <w:p w14:paraId="38BD7E08"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lastRenderedPageBreak/>
              <w:t>Affections gastro-intestinales</w:t>
            </w:r>
          </w:p>
        </w:tc>
      </w:tr>
      <w:tr w:rsidR="00EF4CB3" w:rsidRPr="00961E0F" w14:paraId="0C1DC87D" w14:textId="77777777" w:rsidTr="004B2956">
        <w:trPr>
          <w:cantSplit/>
        </w:trPr>
        <w:tc>
          <w:tcPr>
            <w:tcW w:w="2235" w:type="dxa"/>
          </w:tcPr>
          <w:p w14:paraId="795B40BF"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3CCFD4A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Nausées, diarrhée, vomissements, dyspepsie, douleur abdominale</w:t>
            </w:r>
            <w:r w:rsidRPr="00961E0F">
              <w:rPr>
                <w:rFonts w:ascii="Times New Roman" w:hAnsi="Times New Roman"/>
                <w:color w:val="000000"/>
                <w:szCs w:val="22"/>
                <w:vertAlign w:val="superscript"/>
              </w:rPr>
              <w:t>6</w:t>
            </w:r>
          </w:p>
        </w:tc>
      </w:tr>
      <w:tr w:rsidR="00EF4CB3" w:rsidRPr="00961E0F" w14:paraId="0AF11662" w14:textId="77777777" w:rsidTr="004B2956">
        <w:trPr>
          <w:cantSplit/>
        </w:trPr>
        <w:tc>
          <w:tcPr>
            <w:tcW w:w="2235" w:type="dxa"/>
          </w:tcPr>
          <w:p w14:paraId="6DA1114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57203DD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Flatulence, ballonnements, reflux gastro-oesophagien, constipation, sécheresse de la bouche, gastrite</w:t>
            </w:r>
          </w:p>
        </w:tc>
      </w:tr>
      <w:tr w:rsidR="00EF4CB3" w:rsidRPr="00961E0F" w14:paraId="26ED8F61" w14:textId="77777777" w:rsidTr="004B2956">
        <w:trPr>
          <w:cantSplit/>
        </w:trPr>
        <w:tc>
          <w:tcPr>
            <w:tcW w:w="2235" w:type="dxa"/>
          </w:tcPr>
          <w:p w14:paraId="5DF466B2"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0414A43E"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Stomatite, mucite, hémorrhagie gastro-intestinale</w:t>
            </w:r>
            <w:r w:rsidRPr="00961E0F">
              <w:rPr>
                <w:rFonts w:ascii="Times New Roman" w:hAnsi="Times New Roman"/>
                <w:color w:val="000000"/>
                <w:szCs w:val="22"/>
                <w:vertAlign w:val="superscript"/>
              </w:rPr>
              <w:t>7</w:t>
            </w:r>
            <w:r w:rsidRPr="00961E0F">
              <w:rPr>
                <w:rFonts w:ascii="Times New Roman" w:hAnsi="Times New Roman"/>
                <w:color w:val="000000"/>
                <w:szCs w:val="22"/>
              </w:rPr>
              <w:t>, eructation, méléna, oesophagite, ascite, ulcère gastrique, hématémèse, chéilite, dysphagie, pancréatite</w:t>
            </w:r>
          </w:p>
        </w:tc>
      </w:tr>
      <w:tr w:rsidR="00EF4CB3" w:rsidRPr="00961E0F" w14:paraId="15721E82" w14:textId="77777777" w:rsidTr="004B2956">
        <w:trPr>
          <w:cantSplit/>
        </w:trPr>
        <w:tc>
          <w:tcPr>
            <w:tcW w:w="2235" w:type="dxa"/>
          </w:tcPr>
          <w:p w14:paraId="02A2403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2585B4B4" w14:textId="77777777" w:rsidR="00EF4CB3" w:rsidRPr="00961E0F" w:rsidRDefault="00EF4CB3" w:rsidP="004B2956">
            <w:pPr>
              <w:keepNext/>
              <w:tabs>
                <w:tab w:val="left" w:pos="567"/>
              </w:tabs>
              <w:spacing w:line="260" w:lineRule="exact"/>
              <w:rPr>
                <w:rFonts w:ascii="Times New Roman" w:hAnsi="Times New Roman"/>
                <w:snapToGrid w:val="0"/>
                <w:color w:val="000000"/>
                <w:szCs w:val="22"/>
              </w:rPr>
            </w:pPr>
            <w:r w:rsidRPr="00961E0F">
              <w:rPr>
                <w:rFonts w:ascii="Times New Roman" w:hAnsi="Times New Roman"/>
                <w:color w:val="000000"/>
                <w:szCs w:val="22"/>
              </w:rPr>
              <w:t xml:space="preserve">Colite, </w:t>
            </w:r>
            <w:r w:rsidRPr="00961E0F">
              <w:rPr>
                <w:rFonts w:ascii="Times New Roman" w:hAnsi="Times New Roman"/>
                <w:snapToGrid w:val="0"/>
                <w:color w:val="000000"/>
                <w:szCs w:val="22"/>
              </w:rPr>
              <w:t>ileus, affection abdominale inflammatoire</w:t>
            </w:r>
          </w:p>
        </w:tc>
      </w:tr>
      <w:tr w:rsidR="00A36CDB" w:rsidRPr="00961E0F" w14:paraId="44410146" w14:textId="77777777" w:rsidTr="004B2956">
        <w:trPr>
          <w:cantSplit/>
        </w:trPr>
        <w:tc>
          <w:tcPr>
            <w:tcW w:w="2235" w:type="dxa"/>
          </w:tcPr>
          <w:p w14:paraId="560925C9"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37FB7194"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Ileus/occlusion intestinale*, perforation gastro-intestinale*, diverticulite*, ectasie vasculaire de l’antre gastrique (EVAG)*</w:t>
            </w:r>
          </w:p>
        </w:tc>
      </w:tr>
      <w:tr w:rsidR="00EF4CB3" w:rsidRPr="00961E0F" w14:paraId="3CD271C8" w14:textId="77777777" w:rsidTr="004B2956">
        <w:trPr>
          <w:cantSplit/>
        </w:trPr>
        <w:tc>
          <w:tcPr>
            <w:tcW w:w="9322" w:type="dxa"/>
            <w:gridSpan w:val="2"/>
          </w:tcPr>
          <w:p w14:paraId="0CDAB15A" w14:textId="77777777" w:rsidR="00EF4CB3" w:rsidRPr="00961E0F" w:rsidRDefault="00EF4CB3" w:rsidP="004B2956">
            <w:pPr>
              <w:keepNext/>
              <w:tabs>
                <w:tab w:val="left" w:pos="567"/>
              </w:tabs>
              <w:spacing w:line="260" w:lineRule="exact"/>
              <w:rPr>
                <w:rFonts w:ascii="Times New Roman" w:hAnsi="Times New Roman"/>
                <w:snapToGrid w:val="0"/>
                <w:color w:val="000000"/>
                <w:szCs w:val="22"/>
              </w:rPr>
            </w:pPr>
            <w:r w:rsidRPr="00961E0F">
              <w:rPr>
                <w:rFonts w:ascii="Times New Roman" w:hAnsi="Times New Roman"/>
                <w:b/>
                <w:color w:val="000000"/>
                <w:szCs w:val="22"/>
              </w:rPr>
              <w:t>Affections hépatobiliaires</w:t>
            </w:r>
          </w:p>
        </w:tc>
      </w:tr>
      <w:tr w:rsidR="00EF4CB3" w:rsidRPr="00961E0F" w14:paraId="3E086EB7" w14:textId="77777777" w:rsidTr="004B2956">
        <w:trPr>
          <w:cantSplit/>
        </w:trPr>
        <w:tc>
          <w:tcPr>
            <w:tcW w:w="2235" w:type="dxa"/>
          </w:tcPr>
          <w:p w14:paraId="7063E650"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4387710A"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Elévation des enzymes hépatiques</w:t>
            </w:r>
          </w:p>
        </w:tc>
      </w:tr>
      <w:tr w:rsidR="00EF4CB3" w:rsidRPr="00961E0F" w14:paraId="28EB3A45" w14:textId="77777777" w:rsidTr="004B2956">
        <w:trPr>
          <w:cantSplit/>
        </w:trPr>
        <w:tc>
          <w:tcPr>
            <w:tcW w:w="2235" w:type="dxa"/>
          </w:tcPr>
          <w:p w14:paraId="648C3367"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719CD6D9"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Hyperbilirubinémie, hépatite, ictère</w:t>
            </w:r>
          </w:p>
        </w:tc>
      </w:tr>
      <w:tr w:rsidR="00EF4CB3" w:rsidRPr="00961E0F" w14:paraId="763BBED5" w14:textId="77777777" w:rsidTr="004B2956">
        <w:trPr>
          <w:cantSplit/>
        </w:trPr>
        <w:tc>
          <w:tcPr>
            <w:tcW w:w="2235" w:type="dxa"/>
          </w:tcPr>
          <w:p w14:paraId="63273138" w14:textId="77777777" w:rsidR="00EF4CB3" w:rsidRPr="00961E0F" w:rsidRDefault="00EF4CB3"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71982E79" w14:textId="77777777" w:rsidR="00EF4CB3" w:rsidRPr="00961E0F" w:rsidRDefault="00EF4CB3"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Insuffisance hépatique</w:t>
            </w:r>
            <w:r w:rsidRPr="00961E0F">
              <w:rPr>
                <w:rFonts w:ascii="Times New Roman" w:hAnsi="Times New Roman"/>
                <w:color w:val="000000"/>
                <w:szCs w:val="22"/>
                <w:vertAlign w:val="superscript"/>
              </w:rPr>
              <w:t>8</w:t>
            </w:r>
            <w:r w:rsidRPr="00961E0F">
              <w:rPr>
                <w:rFonts w:ascii="Times New Roman" w:hAnsi="Times New Roman"/>
                <w:color w:val="000000"/>
                <w:szCs w:val="22"/>
              </w:rPr>
              <w:t>, nécrose hépatique</w:t>
            </w:r>
          </w:p>
        </w:tc>
      </w:tr>
      <w:tr w:rsidR="00EF4CB3" w:rsidRPr="00961E0F" w14:paraId="54099AF7" w14:textId="77777777" w:rsidTr="004B2956">
        <w:trPr>
          <w:cantSplit/>
        </w:trPr>
        <w:tc>
          <w:tcPr>
            <w:tcW w:w="9322" w:type="dxa"/>
            <w:gridSpan w:val="2"/>
          </w:tcPr>
          <w:p w14:paraId="6D14DA5A"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t>Affections de la peau et du tissu sous-cutané</w:t>
            </w:r>
          </w:p>
        </w:tc>
      </w:tr>
      <w:tr w:rsidR="00EF4CB3" w:rsidRPr="00961E0F" w14:paraId="7B8E6A0B" w14:textId="77777777" w:rsidTr="004B2956">
        <w:trPr>
          <w:cantSplit/>
        </w:trPr>
        <w:tc>
          <w:tcPr>
            <w:tcW w:w="2235" w:type="dxa"/>
          </w:tcPr>
          <w:p w14:paraId="0F8AE1B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5E01866A"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Oedème périorbitaire, dermatite/eczéma/rash</w:t>
            </w:r>
          </w:p>
        </w:tc>
      </w:tr>
      <w:tr w:rsidR="00EF4CB3" w:rsidRPr="00961E0F" w14:paraId="493A5645" w14:textId="77777777" w:rsidTr="004B2956">
        <w:trPr>
          <w:cantSplit/>
        </w:trPr>
        <w:tc>
          <w:tcPr>
            <w:tcW w:w="2235" w:type="dxa"/>
          </w:tcPr>
          <w:p w14:paraId="21872A8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p>
        </w:tc>
        <w:tc>
          <w:tcPr>
            <w:tcW w:w="7087" w:type="dxa"/>
          </w:tcPr>
          <w:p w14:paraId="59771A57"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Prurit, oedème de la face, peau sèche, erythème, alopécie, sueurs nocturnes, réaction de photosensibilité</w:t>
            </w:r>
          </w:p>
        </w:tc>
      </w:tr>
      <w:tr w:rsidR="00EF4CB3" w:rsidRPr="00961E0F" w14:paraId="404F690F" w14:textId="77777777" w:rsidTr="004B2956">
        <w:trPr>
          <w:cantSplit/>
        </w:trPr>
        <w:tc>
          <w:tcPr>
            <w:tcW w:w="2235" w:type="dxa"/>
          </w:tcPr>
          <w:p w14:paraId="5E0C66A9"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1CCB5A2E"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Rash pustuleux, contusion, hypersudation, urticaire, ecchymose, tendance augmentée aux ecchymoses, hypotrichose, hypopigmentation cutanée, dermatite exfoliative, ongles cassants, folliculite, pétéchies, psoriasis, purpura, hyperpigmentation cutanée, eruption bulleuse</w:t>
            </w:r>
          </w:p>
        </w:tc>
      </w:tr>
      <w:tr w:rsidR="00EF4CB3" w:rsidRPr="00961E0F" w14:paraId="3E104214" w14:textId="77777777" w:rsidTr="004B2956">
        <w:trPr>
          <w:cantSplit/>
        </w:trPr>
        <w:tc>
          <w:tcPr>
            <w:tcW w:w="2235" w:type="dxa"/>
          </w:tcPr>
          <w:p w14:paraId="417E2FD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Rare :</w:t>
            </w:r>
          </w:p>
        </w:tc>
        <w:tc>
          <w:tcPr>
            <w:tcW w:w="7087" w:type="dxa"/>
          </w:tcPr>
          <w:p w14:paraId="20FDA78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Dermatose aiguë fébrile neutrophilique (syndrome de Sweet), décoloration des ongles, œdème de Quincke, rash vésiculaire, érythème polymorphe, vascularite leucocyclasique, syndrome de Stevens-Johnson, pustulose exanthèmateuse aiguë généralisée</w:t>
            </w:r>
          </w:p>
        </w:tc>
      </w:tr>
      <w:tr w:rsidR="00A36CDB" w:rsidRPr="00961E0F" w14:paraId="402D8692" w14:textId="77777777" w:rsidTr="004B2956">
        <w:trPr>
          <w:cantSplit/>
        </w:trPr>
        <w:tc>
          <w:tcPr>
            <w:tcW w:w="2235" w:type="dxa"/>
          </w:tcPr>
          <w:p w14:paraId="10C3CBEA"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427290E5" w14:textId="77777777" w:rsidR="00A36CDB" w:rsidRPr="00961E0F" w:rsidRDefault="00A36CDB" w:rsidP="00F84278">
            <w:pPr>
              <w:tabs>
                <w:tab w:val="left" w:pos="567"/>
              </w:tabs>
              <w:spacing w:line="260" w:lineRule="exact"/>
              <w:rPr>
                <w:rFonts w:ascii="Times New Roman" w:hAnsi="Times New Roman"/>
                <w:color w:val="000000"/>
                <w:szCs w:val="22"/>
              </w:rPr>
            </w:pPr>
            <w:r w:rsidRPr="00961E0F">
              <w:rPr>
                <w:rFonts w:ascii="Times New Roman" w:hAnsi="Times New Roman"/>
                <w:bCs/>
                <w:color w:val="000000"/>
                <w:szCs w:val="22"/>
              </w:rPr>
              <w:t>Erythrodysesthésie palmo-plantaire*, kératose lichenoïde*, lichen plan*, nécrolyse épidermique toxique*, syndrome d’hypersensibilité médicamenteuse avec éosinophilie et symptômes systémiques (syndrome DRESS)*</w:t>
            </w:r>
            <w:r w:rsidR="005861BE" w:rsidRPr="00961E0F">
              <w:rPr>
                <w:rFonts w:ascii="Times New Roman" w:hAnsi="Times New Roman"/>
                <w:bCs/>
                <w:color w:val="000000"/>
                <w:szCs w:val="22"/>
              </w:rPr>
              <w:t>, pseudoporphyrie*</w:t>
            </w:r>
          </w:p>
        </w:tc>
      </w:tr>
      <w:tr w:rsidR="00EF4CB3" w:rsidRPr="00961E0F" w14:paraId="16B2C152" w14:textId="77777777" w:rsidTr="004B2956">
        <w:trPr>
          <w:cantSplit/>
        </w:trPr>
        <w:tc>
          <w:tcPr>
            <w:tcW w:w="9322" w:type="dxa"/>
            <w:gridSpan w:val="2"/>
          </w:tcPr>
          <w:p w14:paraId="2D905FAA"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musculo-sqelettiques et systémiques</w:t>
            </w:r>
          </w:p>
        </w:tc>
      </w:tr>
      <w:tr w:rsidR="00EF4CB3" w:rsidRPr="00961E0F" w14:paraId="62C4FB00" w14:textId="77777777" w:rsidTr="004B2956">
        <w:trPr>
          <w:cantSplit/>
        </w:trPr>
        <w:tc>
          <w:tcPr>
            <w:tcW w:w="2235" w:type="dxa"/>
          </w:tcPr>
          <w:p w14:paraId="62AF21FB"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Très fréquent :</w:t>
            </w:r>
          </w:p>
        </w:tc>
        <w:tc>
          <w:tcPr>
            <w:tcW w:w="7087" w:type="dxa"/>
          </w:tcPr>
          <w:p w14:paraId="73B7870D"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Crampes et spasmes musculaires, douleurs musculosquelettiques incluant les myalgies</w:t>
            </w:r>
            <w:r w:rsidR="00D10578" w:rsidRPr="00961E0F">
              <w:rPr>
                <w:rFonts w:ascii="Times New Roman" w:hAnsi="Times New Roman"/>
                <w:color w:val="000000"/>
                <w:szCs w:val="22"/>
                <w:vertAlign w:val="superscript"/>
              </w:rPr>
              <w:t>9</w:t>
            </w:r>
            <w:r w:rsidRPr="00961E0F">
              <w:rPr>
                <w:rFonts w:ascii="Times New Roman" w:hAnsi="Times New Roman"/>
                <w:color w:val="000000"/>
                <w:szCs w:val="22"/>
              </w:rPr>
              <w:t xml:space="preserve">, arthralgies, douleurs </w:t>
            </w:r>
            <w:r w:rsidR="00D10578" w:rsidRPr="00961E0F">
              <w:rPr>
                <w:rFonts w:ascii="Times New Roman" w:hAnsi="Times New Roman"/>
                <w:color w:val="000000"/>
                <w:szCs w:val="22"/>
              </w:rPr>
              <w:t>osseuses</w:t>
            </w:r>
            <w:r w:rsidR="00D10578" w:rsidRPr="00961E0F">
              <w:rPr>
                <w:rFonts w:ascii="Times New Roman" w:hAnsi="Times New Roman"/>
                <w:color w:val="000000"/>
                <w:szCs w:val="22"/>
                <w:vertAlign w:val="superscript"/>
              </w:rPr>
              <w:t>10</w:t>
            </w:r>
          </w:p>
        </w:tc>
      </w:tr>
      <w:tr w:rsidR="00EF4CB3" w:rsidRPr="00961E0F" w14:paraId="101E2153" w14:textId="77777777" w:rsidTr="004B2956">
        <w:trPr>
          <w:cantSplit/>
        </w:trPr>
        <w:tc>
          <w:tcPr>
            <w:tcW w:w="2235" w:type="dxa"/>
          </w:tcPr>
          <w:p w14:paraId="39DE23D0"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1A10C339" w14:textId="77777777" w:rsidR="00EF4CB3" w:rsidRPr="00961E0F" w:rsidRDefault="00EF4CB3" w:rsidP="004B2956">
            <w:pPr>
              <w:keepNext/>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Gonflement des articulations</w:t>
            </w:r>
          </w:p>
        </w:tc>
      </w:tr>
      <w:tr w:rsidR="00EF4CB3" w:rsidRPr="00961E0F" w14:paraId="67581E70" w14:textId="77777777" w:rsidTr="004B2956">
        <w:trPr>
          <w:cantSplit/>
        </w:trPr>
        <w:tc>
          <w:tcPr>
            <w:tcW w:w="2235" w:type="dxa"/>
          </w:tcPr>
          <w:p w14:paraId="6EF128CB" w14:textId="10998249" w:rsidR="00EF4CB3" w:rsidRPr="00961E0F" w:rsidRDefault="00A56477" w:rsidP="00A56477">
            <w:pPr>
              <w:keepNext/>
              <w:tabs>
                <w:tab w:val="left" w:pos="567"/>
              </w:tabs>
              <w:spacing w:line="260" w:lineRule="exact"/>
              <w:rPr>
                <w:rFonts w:ascii="Times New Roman" w:hAnsi="Times New Roman"/>
                <w:i/>
                <w:color w:val="000000"/>
                <w:szCs w:val="22"/>
              </w:rPr>
            </w:pPr>
            <w:r>
              <w:rPr>
                <w:rFonts w:ascii="Times New Roman" w:hAnsi="Times New Roman"/>
                <w:i/>
                <w:color w:val="000000"/>
                <w:szCs w:val="22"/>
              </w:rPr>
              <w:t>Peu f</w:t>
            </w:r>
            <w:r w:rsidR="00EF4CB3" w:rsidRPr="00961E0F">
              <w:rPr>
                <w:rFonts w:ascii="Times New Roman" w:hAnsi="Times New Roman"/>
                <w:i/>
                <w:color w:val="000000"/>
                <w:szCs w:val="22"/>
              </w:rPr>
              <w:t>réquent :</w:t>
            </w:r>
          </w:p>
        </w:tc>
        <w:tc>
          <w:tcPr>
            <w:tcW w:w="7087" w:type="dxa"/>
          </w:tcPr>
          <w:p w14:paraId="34B6E411" w14:textId="77777777" w:rsidR="00EF4CB3" w:rsidRPr="00961E0F" w:rsidRDefault="00EF4CB3" w:rsidP="004B2956">
            <w:pPr>
              <w:keepNext/>
              <w:tabs>
                <w:tab w:val="left" w:pos="567"/>
              </w:tabs>
              <w:spacing w:line="260" w:lineRule="exact"/>
              <w:rPr>
                <w:rFonts w:ascii="Times New Roman" w:hAnsi="Times New Roman"/>
                <w:color w:val="000000"/>
                <w:szCs w:val="22"/>
                <w:lang w:val="pt-PT"/>
              </w:rPr>
            </w:pPr>
            <w:r w:rsidRPr="00961E0F">
              <w:rPr>
                <w:rFonts w:ascii="Times New Roman" w:hAnsi="Times New Roman"/>
                <w:color w:val="000000"/>
                <w:szCs w:val="22"/>
              </w:rPr>
              <w:t>Raideur articulaire et musculaire</w:t>
            </w:r>
          </w:p>
        </w:tc>
      </w:tr>
      <w:tr w:rsidR="00EF4CB3" w:rsidRPr="00961E0F" w14:paraId="0BD23310" w14:textId="77777777" w:rsidTr="004B2956">
        <w:trPr>
          <w:cantSplit/>
        </w:trPr>
        <w:tc>
          <w:tcPr>
            <w:tcW w:w="2235" w:type="dxa"/>
          </w:tcPr>
          <w:p w14:paraId="3A94ACB8"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74B2D63F"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Cs/>
                <w:color w:val="000000"/>
                <w:szCs w:val="22"/>
              </w:rPr>
              <w:t>Faiblesse musculaire, arthrite, rhabdomyolyse/myopathie</w:t>
            </w:r>
          </w:p>
        </w:tc>
      </w:tr>
      <w:tr w:rsidR="00A36CDB" w:rsidRPr="00961E0F" w14:paraId="58D3B9CB" w14:textId="77777777" w:rsidTr="004B2956">
        <w:trPr>
          <w:cantSplit/>
        </w:trPr>
        <w:tc>
          <w:tcPr>
            <w:tcW w:w="2235" w:type="dxa"/>
          </w:tcPr>
          <w:p w14:paraId="19FDB02D" w14:textId="77777777" w:rsidR="00A36CDB" w:rsidRPr="00961E0F" w:rsidRDefault="00A36CDB"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345C6D23" w14:textId="77777777" w:rsidR="00A36CDB" w:rsidRPr="00961E0F" w:rsidRDefault="00A36CDB" w:rsidP="00F84278">
            <w:pPr>
              <w:tabs>
                <w:tab w:val="left" w:pos="567"/>
              </w:tabs>
              <w:spacing w:line="260" w:lineRule="exact"/>
              <w:rPr>
                <w:rFonts w:ascii="Times New Roman" w:hAnsi="Times New Roman"/>
                <w:bCs/>
                <w:color w:val="000000"/>
                <w:szCs w:val="22"/>
              </w:rPr>
            </w:pPr>
            <w:r w:rsidRPr="00961E0F">
              <w:rPr>
                <w:rFonts w:ascii="Times New Roman" w:hAnsi="Times New Roman"/>
                <w:color w:val="000000"/>
                <w:szCs w:val="22"/>
              </w:rPr>
              <w:t>Nécrose avasculaire/nécrose de la hanche*, retard de croissance chez l’enfant*</w:t>
            </w:r>
          </w:p>
        </w:tc>
      </w:tr>
      <w:tr w:rsidR="00EF4CB3" w:rsidRPr="00961E0F" w14:paraId="7F544B56" w14:textId="77777777" w:rsidTr="004B2956">
        <w:trPr>
          <w:cantSplit/>
        </w:trPr>
        <w:tc>
          <w:tcPr>
            <w:tcW w:w="9322" w:type="dxa"/>
            <w:gridSpan w:val="2"/>
          </w:tcPr>
          <w:p w14:paraId="4D8B9808" w14:textId="77777777" w:rsidR="00EF4CB3" w:rsidRPr="00961E0F" w:rsidRDefault="00EF4CB3" w:rsidP="004B2956">
            <w:pPr>
              <w:keepNext/>
              <w:tabs>
                <w:tab w:val="left" w:pos="567"/>
              </w:tabs>
              <w:spacing w:line="260" w:lineRule="exact"/>
              <w:rPr>
                <w:rFonts w:ascii="Times New Roman" w:hAnsi="Times New Roman"/>
                <w:b/>
                <w:color w:val="000000"/>
                <w:szCs w:val="22"/>
              </w:rPr>
            </w:pPr>
            <w:r w:rsidRPr="00961E0F">
              <w:rPr>
                <w:rFonts w:ascii="Times New Roman" w:hAnsi="Times New Roman"/>
                <w:b/>
                <w:color w:val="000000"/>
                <w:szCs w:val="22"/>
              </w:rPr>
              <w:t>Affections du rein et des voies urinaires</w:t>
            </w:r>
          </w:p>
        </w:tc>
      </w:tr>
      <w:tr w:rsidR="00EF4CB3" w:rsidRPr="00961E0F" w14:paraId="68361CEA" w14:textId="77777777" w:rsidTr="004B2956">
        <w:trPr>
          <w:cantSplit/>
        </w:trPr>
        <w:tc>
          <w:tcPr>
            <w:tcW w:w="2235" w:type="dxa"/>
          </w:tcPr>
          <w:p w14:paraId="5FDB19AD"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p>
        </w:tc>
        <w:tc>
          <w:tcPr>
            <w:tcW w:w="7087" w:type="dxa"/>
          </w:tcPr>
          <w:p w14:paraId="7374F05D"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Douleur rénale, hématurie, insuffisance rénale aiguë, pollakiurie</w:t>
            </w:r>
          </w:p>
        </w:tc>
      </w:tr>
      <w:tr w:rsidR="00A17E1E" w:rsidRPr="00961E0F" w14:paraId="37147F29" w14:textId="77777777" w:rsidTr="004B2956">
        <w:trPr>
          <w:cantSplit/>
        </w:trPr>
        <w:tc>
          <w:tcPr>
            <w:tcW w:w="2235" w:type="dxa"/>
          </w:tcPr>
          <w:p w14:paraId="7F002408" w14:textId="77777777" w:rsidR="00A17E1E" w:rsidRPr="00961E0F" w:rsidRDefault="00A17E1E"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Fréquence indéterminée :</w:t>
            </w:r>
          </w:p>
        </w:tc>
        <w:tc>
          <w:tcPr>
            <w:tcW w:w="7087" w:type="dxa"/>
          </w:tcPr>
          <w:p w14:paraId="43733DBE" w14:textId="77777777" w:rsidR="00A17E1E" w:rsidRPr="00961E0F" w:rsidRDefault="00A17E1E"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Insuffisance rénale chronique</w:t>
            </w:r>
          </w:p>
        </w:tc>
      </w:tr>
      <w:tr w:rsidR="00EF4CB3" w:rsidRPr="00961E0F" w14:paraId="63592995" w14:textId="77777777" w:rsidTr="004B2956">
        <w:trPr>
          <w:cantSplit/>
        </w:trPr>
        <w:tc>
          <w:tcPr>
            <w:tcW w:w="9322" w:type="dxa"/>
            <w:gridSpan w:val="2"/>
          </w:tcPr>
          <w:p w14:paraId="285F1945"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Affections des organes de reproduction et du sein</w:t>
            </w:r>
          </w:p>
        </w:tc>
      </w:tr>
      <w:tr w:rsidR="00EF4CB3" w:rsidRPr="00961E0F" w14:paraId="25126C90" w14:textId="77777777" w:rsidTr="004B2956">
        <w:trPr>
          <w:cantSplit/>
        </w:trPr>
        <w:tc>
          <w:tcPr>
            <w:tcW w:w="2235" w:type="dxa"/>
          </w:tcPr>
          <w:p w14:paraId="6E9D17D6"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1BA85D5D"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Gynécomastie, dysfonctionnement érectile, ménorragie, menstruation irrégulière, troubles sexuels, douleur des mammelons, gonflement des seins, œdème du scrotum</w:t>
            </w:r>
          </w:p>
        </w:tc>
      </w:tr>
      <w:tr w:rsidR="00EF4CB3" w:rsidRPr="00961E0F" w14:paraId="6087F1B8" w14:textId="77777777" w:rsidTr="004B2956">
        <w:trPr>
          <w:cantSplit/>
        </w:trPr>
        <w:tc>
          <w:tcPr>
            <w:tcW w:w="2235" w:type="dxa"/>
          </w:tcPr>
          <w:p w14:paraId="4EDB977E" w14:textId="77777777" w:rsidR="00EF4CB3" w:rsidRPr="00961E0F" w:rsidRDefault="00EF4CB3"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594FAC0A" w14:textId="77777777" w:rsidR="00EF4CB3" w:rsidRPr="00961E0F" w:rsidRDefault="00EF4CB3"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Corps jaune hémorragique, kyste ovarien hémorragique</w:t>
            </w:r>
          </w:p>
        </w:tc>
      </w:tr>
      <w:tr w:rsidR="00EF4CB3" w:rsidRPr="00961E0F" w14:paraId="710E6EA8" w14:textId="77777777" w:rsidTr="004B2956">
        <w:trPr>
          <w:cantSplit/>
        </w:trPr>
        <w:tc>
          <w:tcPr>
            <w:tcW w:w="9322" w:type="dxa"/>
            <w:gridSpan w:val="2"/>
          </w:tcPr>
          <w:p w14:paraId="5A5103DF"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b/>
                <w:color w:val="000000"/>
                <w:szCs w:val="22"/>
              </w:rPr>
              <w:t>Troubles généraux et anomalies au site d’administration</w:t>
            </w:r>
          </w:p>
        </w:tc>
      </w:tr>
      <w:tr w:rsidR="00EF4CB3" w:rsidRPr="00961E0F" w14:paraId="6BBAD99F" w14:textId="77777777" w:rsidTr="004B2956">
        <w:trPr>
          <w:cantSplit/>
        </w:trPr>
        <w:tc>
          <w:tcPr>
            <w:tcW w:w="2235" w:type="dxa"/>
          </w:tcPr>
          <w:p w14:paraId="51B80B68"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Très fréquent :</w:t>
            </w:r>
          </w:p>
        </w:tc>
        <w:tc>
          <w:tcPr>
            <w:tcW w:w="7087" w:type="dxa"/>
          </w:tcPr>
          <w:p w14:paraId="1C9A6FAC"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Rétention hydrique et oedème, fatigue</w:t>
            </w:r>
          </w:p>
        </w:tc>
      </w:tr>
      <w:tr w:rsidR="00EF4CB3" w:rsidRPr="00961E0F" w14:paraId="05193E9F" w14:textId="77777777" w:rsidTr="004B2956">
        <w:trPr>
          <w:cantSplit/>
        </w:trPr>
        <w:tc>
          <w:tcPr>
            <w:tcW w:w="2235" w:type="dxa"/>
          </w:tcPr>
          <w:p w14:paraId="7A3B952E"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Fréquent :</w:t>
            </w:r>
          </w:p>
        </w:tc>
        <w:tc>
          <w:tcPr>
            <w:tcW w:w="7087" w:type="dxa"/>
          </w:tcPr>
          <w:p w14:paraId="5AD6FF9E"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Faiblesse, pyrexie, anasarque, frissons, rigidité</w:t>
            </w:r>
          </w:p>
        </w:tc>
      </w:tr>
      <w:tr w:rsidR="00EF4CB3" w:rsidRPr="00961E0F" w14:paraId="4606EDF2" w14:textId="77777777" w:rsidTr="004B2956">
        <w:trPr>
          <w:cantSplit/>
        </w:trPr>
        <w:tc>
          <w:tcPr>
            <w:tcW w:w="2235" w:type="dxa"/>
          </w:tcPr>
          <w:p w14:paraId="348414A8" w14:textId="77777777" w:rsidR="00EF4CB3" w:rsidRPr="00961E0F" w:rsidRDefault="00EF4CB3" w:rsidP="00F84278">
            <w:pPr>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Peu fréquent :</w:t>
            </w:r>
          </w:p>
        </w:tc>
        <w:tc>
          <w:tcPr>
            <w:tcW w:w="7087" w:type="dxa"/>
          </w:tcPr>
          <w:p w14:paraId="4A194207" w14:textId="77777777" w:rsidR="00EF4CB3" w:rsidRPr="00961E0F" w:rsidRDefault="00EF4CB3" w:rsidP="00F84278">
            <w:pPr>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Douleur thoracique, malaise</w:t>
            </w:r>
          </w:p>
        </w:tc>
      </w:tr>
      <w:tr w:rsidR="00EF4CB3" w:rsidRPr="00961E0F" w14:paraId="2FC9F208" w14:textId="77777777" w:rsidTr="004B2956">
        <w:trPr>
          <w:cantSplit/>
        </w:trPr>
        <w:tc>
          <w:tcPr>
            <w:tcW w:w="9322" w:type="dxa"/>
            <w:gridSpan w:val="2"/>
          </w:tcPr>
          <w:p w14:paraId="12E329DE"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b/>
                <w:color w:val="000000"/>
                <w:szCs w:val="22"/>
              </w:rPr>
              <w:lastRenderedPageBreak/>
              <w:t>Investigations</w:t>
            </w:r>
          </w:p>
        </w:tc>
      </w:tr>
      <w:tr w:rsidR="00EF4CB3" w:rsidRPr="00961E0F" w14:paraId="536AF5CC" w14:textId="77777777" w:rsidTr="004B2956">
        <w:trPr>
          <w:cantSplit/>
        </w:trPr>
        <w:tc>
          <w:tcPr>
            <w:tcW w:w="2235" w:type="dxa"/>
          </w:tcPr>
          <w:p w14:paraId="7156E23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Très fréquent :</w:t>
            </w:r>
          </w:p>
        </w:tc>
        <w:tc>
          <w:tcPr>
            <w:tcW w:w="7087" w:type="dxa"/>
          </w:tcPr>
          <w:p w14:paraId="2D31327F"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Prise de poids</w:t>
            </w:r>
          </w:p>
        </w:tc>
      </w:tr>
      <w:tr w:rsidR="00EF4CB3" w:rsidRPr="00961E0F" w14:paraId="5F710B76" w14:textId="77777777" w:rsidTr="004B2956">
        <w:trPr>
          <w:cantSplit/>
        </w:trPr>
        <w:tc>
          <w:tcPr>
            <w:tcW w:w="2235" w:type="dxa"/>
          </w:tcPr>
          <w:p w14:paraId="49646DC6"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Fréquent </w:t>
            </w:r>
            <w:r w:rsidRPr="00961E0F">
              <w:rPr>
                <w:rFonts w:ascii="Times New Roman" w:hAnsi="Times New Roman"/>
                <w:color w:val="000000"/>
                <w:szCs w:val="22"/>
              </w:rPr>
              <w:t>:</w:t>
            </w:r>
          </w:p>
        </w:tc>
        <w:tc>
          <w:tcPr>
            <w:tcW w:w="7087" w:type="dxa"/>
          </w:tcPr>
          <w:p w14:paraId="2CD41687"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Perte de poids</w:t>
            </w:r>
          </w:p>
        </w:tc>
      </w:tr>
      <w:tr w:rsidR="00EF4CB3" w:rsidRPr="00961E0F" w14:paraId="6BE625F0" w14:textId="77777777" w:rsidTr="004B2956">
        <w:trPr>
          <w:cantSplit/>
        </w:trPr>
        <w:tc>
          <w:tcPr>
            <w:tcW w:w="2235" w:type="dxa"/>
          </w:tcPr>
          <w:p w14:paraId="0ED1A694"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i/>
                <w:color w:val="000000"/>
                <w:szCs w:val="22"/>
              </w:rPr>
              <w:t>Peu fréquent </w:t>
            </w:r>
            <w:r w:rsidRPr="00961E0F">
              <w:rPr>
                <w:rFonts w:ascii="Times New Roman" w:hAnsi="Times New Roman"/>
                <w:color w:val="000000"/>
                <w:szCs w:val="22"/>
              </w:rPr>
              <w:t>:</w:t>
            </w:r>
          </w:p>
        </w:tc>
        <w:tc>
          <w:tcPr>
            <w:tcW w:w="7087" w:type="dxa"/>
          </w:tcPr>
          <w:p w14:paraId="1BF04725" w14:textId="77777777" w:rsidR="00EF4CB3" w:rsidRPr="00961E0F" w:rsidRDefault="00EF4CB3" w:rsidP="004B2956">
            <w:pPr>
              <w:keepNext/>
              <w:tabs>
                <w:tab w:val="left" w:pos="567"/>
              </w:tabs>
              <w:spacing w:line="260" w:lineRule="exact"/>
              <w:rPr>
                <w:rFonts w:ascii="Times New Roman" w:hAnsi="Times New Roman"/>
                <w:color w:val="000000"/>
              </w:rPr>
            </w:pPr>
            <w:r w:rsidRPr="00961E0F">
              <w:rPr>
                <w:rFonts w:ascii="Times New Roman" w:hAnsi="Times New Roman"/>
                <w:color w:val="000000"/>
                <w:szCs w:val="22"/>
              </w:rPr>
              <w:t>Augmentation de la créatininémie, augmentation de la créatine phosphokinase, augmentation de la lacticodeshydrogénase, augmentation des phosphatases alcalines</w:t>
            </w:r>
          </w:p>
        </w:tc>
      </w:tr>
      <w:tr w:rsidR="00EF4CB3" w:rsidRPr="00961E0F" w14:paraId="2B99311A" w14:textId="77777777" w:rsidTr="004B2956">
        <w:trPr>
          <w:cantSplit/>
        </w:trPr>
        <w:tc>
          <w:tcPr>
            <w:tcW w:w="2235" w:type="dxa"/>
          </w:tcPr>
          <w:p w14:paraId="774A5DAC" w14:textId="77777777" w:rsidR="00EF4CB3" w:rsidRPr="00961E0F" w:rsidRDefault="00EF4CB3" w:rsidP="004B2956">
            <w:pPr>
              <w:keepNext/>
              <w:tabs>
                <w:tab w:val="left" w:pos="567"/>
              </w:tabs>
              <w:spacing w:line="260" w:lineRule="exact"/>
              <w:rPr>
                <w:rFonts w:ascii="Times New Roman" w:hAnsi="Times New Roman"/>
                <w:i/>
                <w:color w:val="000000"/>
                <w:szCs w:val="22"/>
              </w:rPr>
            </w:pPr>
            <w:r w:rsidRPr="00961E0F">
              <w:rPr>
                <w:rFonts w:ascii="Times New Roman" w:hAnsi="Times New Roman"/>
                <w:i/>
                <w:color w:val="000000"/>
                <w:szCs w:val="22"/>
              </w:rPr>
              <w:t>Rare :</w:t>
            </w:r>
          </w:p>
        </w:tc>
        <w:tc>
          <w:tcPr>
            <w:tcW w:w="7087" w:type="dxa"/>
          </w:tcPr>
          <w:p w14:paraId="7AF8887E" w14:textId="77777777" w:rsidR="00EF4CB3" w:rsidRPr="00961E0F" w:rsidRDefault="00EF4CB3" w:rsidP="004B2956">
            <w:pPr>
              <w:keepNext/>
              <w:tabs>
                <w:tab w:val="left" w:pos="567"/>
              </w:tabs>
              <w:spacing w:line="260" w:lineRule="exact"/>
              <w:rPr>
                <w:rFonts w:ascii="Times New Roman" w:hAnsi="Times New Roman"/>
                <w:color w:val="000000"/>
                <w:szCs w:val="22"/>
              </w:rPr>
            </w:pPr>
            <w:r w:rsidRPr="00961E0F">
              <w:rPr>
                <w:rFonts w:ascii="Times New Roman" w:hAnsi="Times New Roman"/>
                <w:color w:val="000000"/>
                <w:szCs w:val="22"/>
              </w:rPr>
              <w:t>Augmentation de l’amylasémie</w:t>
            </w:r>
          </w:p>
        </w:tc>
      </w:tr>
    </w:tbl>
    <w:p w14:paraId="2EFD7881" w14:textId="77777777" w:rsidR="00FA7BC1" w:rsidRPr="00961E0F" w:rsidRDefault="00FA7BC1" w:rsidP="004B2956">
      <w:pPr>
        <w:pStyle w:val="Text"/>
        <w:keepNext/>
        <w:spacing w:before="0"/>
        <w:ind w:left="567" w:hanging="567"/>
        <w:jc w:val="left"/>
        <w:rPr>
          <w:color w:val="000000"/>
          <w:sz w:val="22"/>
          <w:szCs w:val="22"/>
          <w:lang w:val="fr-FR"/>
        </w:rPr>
      </w:pPr>
    </w:p>
    <w:p w14:paraId="4D04C055" w14:textId="77777777" w:rsidR="003F5EC3" w:rsidRPr="00961E0F" w:rsidRDefault="003F5EC3" w:rsidP="004B2956">
      <w:pPr>
        <w:pStyle w:val="Text"/>
        <w:keepNext/>
        <w:keepLines/>
        <w:spacing w:before="0"/>
        <w:ind w:left="567" w:hanging="567"/>
        <w:jc w:val="left"/>
        <w:rPr>
          <w:color w:val="000000"/>
          <w:szCs w:val="22"/>
          <w:lang w:val="fr-FR"/>
        </w:rPr>
      </w:pPr>
      <w:r w:rsidRPr="00961E0F">
        <w:rPr>
          <w:color w:val="000000"/>
          <w:sz w:val="22"/>
          <w:szCs w:val="22"/>
          <w:lang w:val="fr-FR"/>
        </w:rPr>
        <w:t>*</w:t>
      </w:r>
      <w:r w:rsidRPr="00961E0F">
        <w:rPr>
          <w:color w:val="000000"/>
          <w:szCs w:val="22"/>
          <w:lang w:val="fr-FR"/>
        </w:rPr>
        <w:tab/>
      </w:r>
      <w:r w:rsidRPr="00961E0F">
        <w:rPr>
          <w:color w:val="000000"/>
          <w:sz w:val="22"/>
          <w:szCs w:val="22"/>
          <w:lang w:val="fr-FR" w:eastAsia="ja-JP"/>
        </w:rPr>
        <w:t>Ces effets indésirables ont été principalement rapportés après la mise sur le marché de Glivec. Ceci inclut les cas issus de la notification spontanée ainsi que les événements indésirables graves des études cliniques en cours, des programmes d’accès élargi, des études de pharmacologie clinique et des études exploratoires menées dans le cadre d’indications thérapeutiques non approuvées. Etant donné que ces évenements sont issus d’une population dont la taille n’est pas déterminée, il n’est pas toujours possible d’estimer de manière fiable leur fréquence ou d’établir la relation de causalité avec l’exposition à l’imatinib.</w:t>
      </w:r>
    </w:p>
    <w:p w14:paraId="4A53640E"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1</w:t>
      </w:r>
      <w:r w:rsidRPr="00961E0F">
        <w:rPr>
          <w:rFonts w:ascii="Times New Roman" w:hAnsi="Times New Roman"/>
          <w:color w:val="000000"/>
          <w:szCs w:val="22"/>
        </w:rPr>
        <w:tab/>
        <w:t>La pneumonie a été le plus fréquemment observée chez les patients atteints de LMC en transformation et les patients atteints de GIST.</w:t>
      </w:r>
    </w:p>
    <w:p w14:paraId="7C324B7E"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2</w:t>
      </w:r>
      <w:r w:rsidRPr="00961E0F">
        <w:rPr>
          <w:rFonts w:ascii="Times New Roman" w:hAnsi="Times New Roman"/>
          <w:color w:val="000000"/>
          <w:szCs w:val="22"/>
        </w:rPr>
        <w:tab/>
        <w:t>Les céphalées ont été le plus fréquemment observées chez les patients atteints de GIST.</w:t>
      </w:r>
    </w:p>
    <w:p w14:paraId="30871BE2"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3</w:t>
      </w:r>
      <w:r w:rsidRPr="00961E0F">
        <w:rPr>
          <w:rFonts w:ascii="Times New Roman" w:hAnsi="Times New Roman"/>
          <w:color w:val="000000"/>
          <w:szCs w:val="22"/>
        </w:rPr>
        <w:tab/>
        <w:t>Selon l’unité de mesure « patient-année », les effets cardiaques incluant l’insuffisance cardiaque congestive ont été plus fréquemment observés chez les patients ayant une LMC en transformation que chez ceux ayant une LMC en phase chronique.</w:t>
      </w:r>
    </w:p>
    <w:p w14:paraId="4A45715C"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4</w:t>
      </w:r>
      <w:r w:rsidRPr="00961E0F">
        <w:rPr>
          <w:rFonts w:ascii="Times New Roman" w:hAnsi="Times New Roman"/>
          <w:color w:val="000000"/>
          <w:szCs w:val="22"/>
        </w:rPr>
        <w:tab/>
        <w:t>Les bouffées vasomotrices ont été le plus fréquemment observées chez les patients atteints de GIST et les saignements (hématomes et hémorragies) ont été le plus fréquemment observés chez les patients atteints de GIST et les pateinst atteints de LMC en transformation (LMC en phase accélérée et LMC en crise blastique).</w:t>
      </w:r>
    </w:p>
    <w:p w14:paraId="651AC277"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5</w:t>
      </w:r>
      <w:r w:rsidRPr="00961E0F">
        <w:rPr>
          <w:rFonts w:ascii="Times New Roman" w:hAnsi="Times New Roman"/>
          <w:color w:val="000000"/>
          <w:szCs w:val="22"/>
        </w:rPr>
        <w:tab/>
        <w:t>L’épanchement pleural a été rapporté plus fréquemment chez les patients atteints de GIST et les patients ayant une LMC en transformation (LMC en phase accélérée et LMC en crise blastique) que chez les patients en phase chronique.</w:t>
      </w:r>
    </w:p>
    <w:p w14:paraId="4EA34C96"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6+7</w:t>
      </w:r>
      <w:r w:rsidRPr="00961E0F">
        <w:rPr>
          <w:rFonts w:ascii="Times New Roman" w:hAnsi="Times New Roman"/>
          <w:color w:val="000000"/>
          <w:szCs w:val="22"/>
        </w:rPr>
        <w:tab/>
        <w:t>Les douleurs abdominales et les hémorragies gastro-intestinales ont été le plus fréquement observées chez les patients atteints de GIST.</w:t>
      </w:r>
    </w:p>
    <w:p w14:paraId="69BDEBE9" w14:textId="77777777" w:rsidR="00EF4CB3" w:rsidRPr="00961E0F" w:rsidRDefault="00EF4CB3"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8</w:t>
      </w:r>
      <w:r w:rsidRPr="00961E0F">
        <w:rPr>
          <w:rFonts w:ascii="Times New Roman" w:hAnsi="Times New Roman"/>
          <w:color w:val="000000"/>
          <w:szCs w:val="22"/>
        </w:rPr>
        <w:tab/>
        <w:t>Des cas mortels d’insuffisance hépatique et de nécrose hépatique ont été rapportés.</w:t>
      </w:r>
    </w:p>
    <w:p w14:paraId="3610262F" w14:textId="77777777" w:rsidR="009A531A" w:rsidRPr="00961E0F" w:rsidRDefault="009A531A"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9</w:t>
      </w:r>
      <w:r w:rsidRPr="00961E0F">
        <w:rPr>
          <w:rFonts w:ascii="Times New Roman" w:hAnsi="Times New Roman"/>
          <w:color w:val="000000"/>
          <w:szCs w:val="22"/>
        </w:rPr>
        <w:tab/>
        <w:t xml:space="preserve">Des douleurs musculosquelettiques pendant le traitement par imatinib ou après arrêt </w:t>
      </w:r>
      <w:r w:rsidR="00D10578" w:rsidRPr="00961E0F">
        <w:rPr>
          <w:rFonts w:ascii="Times New Roman" w:hAnsi="Times New Roman"/>
          <w:color w:val="000000"/>
          <w:szCs w:val="22"/>
        </w:rPr>
        <w:t xml:space="preserve">du traitement </w:t>
      </w:r>
      <w:r w:rsidRPr="00961E0F">
        <w:rPr>
          <w:rFonts w:ascii="Times New Roman" w:hAnsi="Times New Roman"/>
          <w:color w:val="000000"/>
          <w:szCs w:val="22"/>
        </w:rPr>
        <w:t xml:space="preserve">ont été observées après </w:t>
      </w:r>
      <w:r w:rsidR="00D10578" w:rsidRPr="00961E0F">
        <w:rPr>
          <w:rFonts w:ascii="Times New Roman" w:hAnsi="Times New Roman"/>
          <w:color w:val="000000"/>
          <w:szCs w:val="22"/>
        </w:rPr>
        <w:t xml:space="preserve">la </w:t>
      </w:r>
      <w:r w:rsidRPr="00961E0F">
        <w:rPr>
          <w:rFonts w:ascii="Times New Roman" w:hAnsi="Times New Roman"/>
          <w:color w:val="000000"/>
          <w:szCs w:val="22"/>
        </w:rPr>
        <w:t>commercialisation</w:t>
      </w:r>
      <w:r w:rsidR="00777258" w:rsidRPr="00961E0F">
        <w:rPr>
          <w:rFonts w:ascii="Times New Roman" w:hAnsi="Times New Roman"/>
          <w:color w:val="000000"/>
          <w:szCs w:val="22"/>
        </w:rPr>
        <w:t>.</w:t>
      </w:r>
    </w:p>
    <w:p w14:paraId="24959911" w14:textId="77777777" w:rsidR="00EF4CB3" w:rsidRPr="00961E0F" w:rsidRDefault="00D10578" w:rsidP="004B2956">
      <w:pPr>
        <w:keepNext/>
        <w:keepLines/>
        <w:widowControl w:val="0"/>
        <w:ind w:left="567" w:hanging="567"/>
        <w:rPr>
          <w:rFonts w:ascii="Times New Roman" w:hAnsi="Times New Roman"/>
          <w:color w:val="000000"/>
          <w:szCs w:val="22"/>
        </w:rPr>
      </w:pPr>
      <w:r w:rsidRPr="00961E0F">
        <w:rPr>
          <w:rFonts w:ascii="Times New Roman" w:hAnsi="Times New Roman"/>
          <w:color w:val="000000"/>
          <w:szCs w:val="22"/>
        </w:rPr>
        <w:t>10</w:t>
      </w:r>
      <w:r w:rsidR="00EF4CB3" w:rsidRPr="00961E0F">
        <w:rPr>
          <w:rFonts w:ascii="Times New Roman" w:hAnsi="Times New Roman"/>
          <w:color w:val="000000"/>
          <w:szCs w:val="22"/>
        </w:rPr>
        <w:tab/>
        <w:t>Les douleurs musculosquelettiques et les effets reliés à ces douleurs ont été plus fréquemment observés chez les patients atteints de LMC que chez les patients atteints de GIST.</w:t>
      </w:r>
    </w:p>
    <w:p w14:paraId="1A1DD94D" w14:textId="77777777" w:rsidR="00A239AE" w:rsidRPr="00961E0F" w:rsidRDefault="00D10578" w:rsidP="004B2956">
      <w:pPr>
        <w:keepNext/>
        <w:widowControl w:val="0"/>
        <w:ind w:left="567" w:hanging="567"/>
        <w:rPr>
          <w:rFonts w:ascii="Times New Roman" w:hAnsi="Times New Roman"/>
          <w:color w:val="000000"/>
          <w:szCs w:val="22"/>
        </w:rPr>
      </w:pPr>
      <w:r w:rsidRPr="00961E0F">
        <w:rPr>
          <w:rFonts w:ascii="Times New Roman" w:hAnsi="Times New Roman"/>
          <w:color w:val="000000"/>
          <w:szCs w:val="22"/>
        </w:rPr>
        <w:t>11</w:t>
      </w:r>
      <w:r w:rsidR="00A239AE" w:rsidRPr="00961E0F">
        <w:rPr>
          <w:rFonts w:ascii="Times New Roman" w:hAnsi="Times New Roman"/>
          <w:color w:val="000000"/>
          <w:szCs w:val="22"/>
        </w:rPr>
        <w:tab/>
        <w:t>Des cas d’évolution fatale ont été rapportés chez des patients à un stade avancé de la maladie, présentant des infections sévères, des neutropénies sévères et d’autres troubles cliniques concomitants sévères.</w:t>
      </w:r>
    </w:p>
    <w:p w14:paraId="06261453" w14:textId="77777777" w:rsidR="00EF4CB3" w:rsidRPr="00961E0F" w:rsidRDefault="00EF4CB3" w:rsidP="00EF4CB3">
      <w:pPr>
        <w:widowControl w:val="0"/>
        <w:ind w:left="567" w:hanging="567"/>
        <w:rPr>
          <w:rFonts w:ascii="Times New Roman" w:hAnsi="Times New Roman"/>
          <w:color w:val="000000"/>
          <w:szCs w:val="22"/>
          <w:u w:val="single"/>
        </w:rPr>
      </w:pPr>
    </w:p>
    <w:p w14:paraId="7DE67436" w14:textId="77777777" w:rsidR="00EF4CB3" w:rsidRPr="00961E0F" w:rsidRDefault="00EF4CB3" w:rsidP="004B2956">
      <w:pPr>
        <w:keepNext/>
        <w:widowControl w:val="0"/>
        <w:rPr>
          <w:rFonts w:ascii="Times New Roman" w:hAnsi="Times New Roman"/>
          <w:color w:val="000000"/>
          <w:szCs w:val="22"/>
          <w:u w:val="single"/>
        </w:rPr>
      </w:pPr>
      <w:r w:rsidRPr="00961E0F">
        <w:rPr>
          <w:rFonts w:ascii="Times New Roman" w:hAnsi="Times New Roman"/>
          <w:color w:val="000000"/>
          <w:szCs w:val="22"/>
          <w:u w:val="single"/>
        </w:rPr>
        <w:t>Anomalies biologiques :</w:t>
      </w:r>
    </w:p>
    <w:p w14:paraId="0D054770" w14:textId="77777777" w:rsidR="00EF4CB3" w:rsidRPr="00961E0F" w:rsidRDefault="00EF4CB3" w:rsidP="004B2956">
      <w:pPr>
        <w:keepNext/>
        <w:widowControl w:val="0"/>
        <w:rPr>
          <w:rFonts w:ascii="Times New Roman" w:hAnsi="Times New Roman"/>
          <w:i/>
          <w:color w:val="000000"/>
          <w:szCs w:val="22"/>
        </w:rPr>
      </w:pPr>
      <w:r w:rsidRPr="00961E0F">
        <w:rPr>
          <w:rFonts w:ascii="Times New Roman" w:hAnsi="Times New Roman"/>
          <w:i/>
          <w:color w:val="000000"/>
          <w:szCs w:val="22"/>
        </w:rPr>
        <w:t>Paramètres hématologiques</w:t>
      </w:r>
    </w:p>
    <w:p w14:paraId="1E924511"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 xml:space="preserve">Dans les LMC, des cytopénies, en particulier des neutropénies et des thrombopénies, ont été régulièrement rapportées dans toutes les études cliniques avec une fréquence plus élevée aux fortes doses </w:t>
      </w:r>
      <w:r w:rsidRPr="00961E0F">
        <w:rPr>
          <w:rFonts w:ascii="Times New Roman" w:hAnsi="Times New Roman"/>
          <w:color w:val="000000"/>
          <w:szCs w:val="22"/>
        </w:rPr>
        <w:sym w:font="Symbol" w:char="F0B3"/>
      </w:r>
      <w:r w:rsidRPr="00961E0F">
        <w:rPr>
          <w:rFonts w:ascii="Times New Roman" w:hAnsi="Times New Roman"/>
          <w:color w:val="000000"/>
          <w:szCs w:val="22"/>
        </w:rPr>
        <w:t> 750 mg (étude de phase I). Cependant, la survenue des cytopénies dépendait aussi nettement du stade de la maladie : la fréquence des neutropénies et des thrombopénies de grade 3 ou 4 (PN &lt; 1,0 x 10</w:t>
      </w:r>
      <w:r w:rsidRPr="00961E0F">
        <w:rPr>
          <w:rFonts w:ascii="Times New Roman" w:hAnsi="Times New Roman"/>
          <w:color w:val="000000"/>
          <w:szCs w:val="22"/>
          <w:vertAlign w:val="superscript"/>
        </w:rPr>
        <w:t>9</w:t>
      </w:r>
      <w:r w:rsidRPr="00961E0F">
        <w:rPr>
          <w:rFonts w:ascii="Times New Roman" w:hAnsi="Times New Roman"/>
          <w:color w:val="000000"/>
          <w:szCs w:val="22"/>
        </w:rPr>
        <w:t>/l ; taux de plaquettes &lt; 50 x 10</w:t>
      </w:r>
      <w:r w:rsidRPr="00961E0F">
        <w:rPr>
          <w:rFonts w:ascii="Times New Roman" w:hAnsi="Times New Roman"/>
          <w:color w:val="000000"/>
          <w:szCs w:val="22"/>
          <w:vertAlign w:val="superscript"/>
        </w:rPr>
        <w:t>9</w:t>
      </w:r>
      <w:r w:rsidRPr="00961E0F">
        <w:rPr>
          <w:rFonts w:ascii="Times New Roman" w:hAnsi="Times New Roman"/>
          <w:color w:val="000000"/>
          <w:szCs w:val="22"/>
        </w:rPr>
        <w:t>/l) étant 4 à 6 fois plus élevée dans les LMC en crise blastique ou en phase accélérée (respectivement 59–64% pour les neutropénies et 44–63% pour les thrombopénies) que dans les LMC en phase chronique nouvellement diagnostiquées (16,7% de neutropénie et 8,9% de thrombopénie). Dans les LMC en phase chronique nouvellement diagnostiquées, les neutropénies et les thrombopénies de grade 4 (PN&lt; 0,5 x 10</w:t>
      </w:r>
      <w:r w:rsidRPr="00961E0F">
        <w:rPr>
          <w:rFonts w:ascii="Times New Roman" w:hAnsi="Times New Roman"/>
          <w:color w:val="000000"/>
          <w:szCs w:val="22"/>
          <w:vertAlign w:val="superscript"/>
        </w:rPr>
        <w:t>9</w:t>
      </w:r>
      <w:r w:rsidRPr="00961E0F">
        <w:rPr>
          <w:rFonts w:ascii="Times New Roman" w:hAnsi="Times New Roman"/>
          <w:color w:val="000000"/>
          <w:szCs w:val="22"/>
        </w:rPr>
        <w:t>/l ; plaquettes &lt; 10 x 10</w:t>
      </w:r>
      <w:r w:rsidRPr="00961E0F">
        <w:rPr>
          <w:rFonts w:ascii="Times New Roman" w:hAnsi="Times New Roman"/>
          <w:color w:val="000000"/>
          <w:szCs w:val="22"/>
          <w:vertAlign w:val="superscript"/>
        </w:rPr>
        <w:t>9</w:t>
      </w:r>
      <w:r w:rsidRPr="00961E0F">
        <w:rPr>
          <w:rFonts w:ascii="Times New Roman" w:hAnsi="Times New Roman"/>
          <w:color w:val="000000"/>
          <w:szCs w:val="22"/>
        </w:rPr>
        <w:t xml:space="preserve">/l) ont été observées chez 3,6% et &lt; 1% des patients respectivement. La durée médiane des épisodes de neutropénie est habituellement de l’ordre de 2 à 3 semaines, et de 3 à 4 semaines pour les épisodes de thrombopénie. Ces événements peuvent être habituellement contrôlés soit par une réduction de la dose soit par une interruption du traitement par Glivec, mais peuvent dans de rares cas conduire à une interruption définitive du traitement. En pédiatrie, chez les enfants atteints de LMC, les toxicités les plus fréquemment observées étaient des cytopénies de grade 3 ou 4 incluant des neutropénies, des thrombocytopénies et des anémies. Elles surviennent principalement dans les </w:t>
      </w:r>
      <w:r w:rsidRPr="00961E0F">
        <w:rPr>
          <w:rFonts w:ascii="Times New Roman" w:hAnsi="Times New Roman"/>
          <w:color w:val="000000"/>
          <w:szCs w:val="22"/>
        </w:rPr>
        <w:lastRenderedPageBreak/>
        <w:t>premiers mois de traitement.</w:t>
      </w:r>
    </w:p>
    <w:p w14:paraId="6C706B8C" w14:textId="77777777" w:rsidR="00EF4CB3" w:rsidRPr="00961E0F" w:rsidRDefault="00EF4CB3" w:rsidP="00EF4CB3">
      <w:pPr>
        <w:widowControl w:val="0"/>
        <w:rPr>
          <w:rFonts w:ascii="Times New Roman" w:hAnsi="Times New Roman"/>
          <w:color w:val="000000"/>
          <w:szCs w:val="22"/>
        </w:rPr>
      </w:pPr>
    </w:p>
    <w:p w14:paraId="2FDAD9EA" w14:textId="77777777" w:rsidR="00EF4CB3" w:rsidRPr="00961E0F" w:rsidRDefault="00EF4CB3" w:rsidP="00EF4CB3">
      <w:pPr>
        <w:pStyle w:val="paragraphSIF"/>
        <w:widowControl w:val="0"/>
        <w:tabs>
          <w:tab w:val="clear" w:pos="-720"/>
        </w:tabs>
        <w:jc w:val="left"/>
        <w:rPr>
          <w:color w:val="000000"/>
          <w:szCs w:val="22"/>
          <w:lang w:val="fr-FR"/>
        </w:rPr>
      </w:pPr>
      <w:r w:rsidRPr="00961E0F">
        <w:rPr>
          <w:color w:val="000000"/>
          <w:szCs w:val="22"/>
          <w:lang w:val="fr-FR"/>
        </w:rPr>
        <w:t xml:space="preserve">Dans l’étude menée chez des patients atteints de GIST non resécables et/ou métastatiques, une anémie de grade 3 ou </w:t>
      </w:r>
      <w:smartTag w:uri="urn:schemas-microsoft-com:office:smarttags" w:element="metricconverter">
        <w:smartTagPr>
          <w:attr w:name="ProductID" w:val="4 a"/>
        </w:smartTagPr>
        <w:r w:rsidRPr="00961E0F">
          <w:rPr>
            <w:color w:val="000000"/>
            <w:szCs w:val="22"/>
            <w:lang w:val="fr-FR"/>
          </w:rPr>
          <w:t>4 a</w:t>
        </w:r>
      </w:smartTag>
      <w:r w:rsidRPr="00961E0F">
        <w:rPr>
          <w:color w:val="000000"/>
          <w:szCs w:val="22"/>
          <w:lang w:val="fr-FR"/>
        </w:rPr>
        <w:t xml:space="preserve"> été rapportée respectivement chez 5,4% et 0,7% des patients. Ces cas d'anémies pouvaient être liés à un saignement gastro-intestinal ou intra-tumoral, au moins chez certains de ces patients. Des neutropénies de grade 3 ou 4 ont été rapportées respectivement 7,5% et 2,7% chez des patients et une thrombopénie de grade 3 chez 0,7% des patients. Aucun patient n'a développé de thrombopénie de grade 4. Des diminutions du nombre de leucocytes et de neutrophiles ont principalement été observées au cours des six premières semaines du traitement, les valeurs demeurant relativement stables par la suite.</w:t>
      </w:r>
    </w:p>
    <w:p w14:paraId="79E6A9D1" w14:textId="77777777" w:rsidR="00EF4CB3" w:rsidRPr="00961E0F" w:rsidRDefault="00EF4CB3" w:rsidP="00EF4CB3">
      <w:pPr>
        <w:widowControl w:val="0"/>
        <w:rPr>
          <w:rFonts w:ascii="Times New Roman" w:hAnsi="Times New Roman"/>
          <w:color w:val="000000"/>
          <w:szCs w:val="22"/>
        </w:rPr>
      </w:pPr>
    </w:p>
    <w:p w14:paraId="210D9F87" w14:textId="77777777" w:rsidR="00EF4CB3" w:rsidRPr="00961E0F" w:rsidRDefault="00EF4CB3" w:rsidP="00EF4CB3">
      <w:pPr>
        <w:widowControl w:val="0"/>
        <w:rPr>
          <w:rFonts w:ascii="Times New Roman" w:hAnsi="Times New Roman"/>
          <w:i/>
          <w:color w:val="000000"/>
          <w:szCs w:val="22"/>
        </w:rPr>
      </w:pPr>
      <w:r w:rsidRPr="00961E0F">
        <w:rPr>
          <w:rFonts w:ascii="Times New Roman" w:hAnsi="Times New Roman"/>
          <w:i/>
          <w:color w:val="000000"/>
          <w:szCs w:val="22"/>
        </w:rPr>
        <w:t>Paramètres biochimiques</w:t>
      </w:r>
    </w:p>
    <w:p w14:paraId="22ADC766"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Des augmentations importantes des transaminases (&lt; 5%) ou de la bilirubine (&lt; 1%) ont été observées chez des patients atteints de LMC et ont été habituellement contrôlées par une réduction de la dose ou une interruption du traitement (la durée médiane de ces épisodes était d’environ une semaine). Le traitement a été interrompu définitivement en raison d’anomalies biologiques hépatiques chez moins de 1% des patients atteints de LMC. Chez les patients atteints de GIST (étude B2222), on a observé 6,8% d’augmentations de grade 3 à 4 des ALAT (alanine aminotransférase) et 4,8% d’augmentations de grade 3 à 4 des ASAT (aspartate aminotransférase). L’augmentation de la bilirubine était inférieure à 3%.</w:t>
      </w:r>
    </w:p>
    <w:p w14:paraId="7FC76739" w14:textId="77777777" w:rsidR="00EF4CB3" w:rsidRPr="00961E0F" w:rsidRDefault="00EF4CB3" w:rsidP="00EF4CB3">
      <w:pPr>
        <w:widowControl w:val="0"/>
        <w:rPr>
          <w:rFonts w:ascii="Times New Roman" w:hAnsi="Times New Roman"/>
          <w:color w:val="000000"/>
          <w:szCs w:val="22"/>
        </w:rPr>
      </w:pPr>
    </w:p>
    <w:p w14:paraId="1FCFE760"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Il y a eu des cas d’hépatite cytolytique et cholestatique et de défaillance hépatique. Dans certains cas l’issue fut fatale, notamment pour un patient sous dose élevée de paracétamol.</w:t>
      </w:r>
    </w:p>
    <w:p w14:paraId="05EC167C" w14:textId="77777777" w:rsidR="00A802CA" w:rsidRPr="00961E0F" w:rsidRDefault="00A802CA" w:rsidP="00EF4CB3">
      <w:pPr>
        <w:widowControl w:val="0"/>
        <w:rPr>
          <w:rFonts w:ascii="Times New Roman" w:hAnsi="Times New Roman"/>
          <w:color w:val="000000"/>
          <w:szCs w:val="22"/>
        </w:rPr>
      </w:pPr>
    </w:p>
    <w:p w14:paraId="4D2746E6" w14:textId="77777777" w:rsidR="00A802CA" w:rsidRPr="00961E0F" w:rsidRDefault="00A802CA" w:rsidP="005964B1">
      <w:pPr>
        <w:keepNext/>
        <w:rPr>
          <w:rFonts w:ascii="Times New Roman" w:hAnsi="Times New Roman"/>
          <w:u w:val="single"/>
        </w:rPr>
      </w:pPr>
      <w:r w:rsidRPr="00961E0F">
        <w:rPr>
          <w:rFonts w:ascii="Times New Roman" w:hAnsi="Times New Roman"/>
          <w:u w:val="single"/>
        </w:rPr>
        <w:t>Description de certains effets indésirables</w:t>
      </w:r>
    </w:p>
    <w:p w14:paraId="76D7B3B4" w14:textId="77777777" w:rsidR="00A802CA" w:rsidRPr="00961E0F" w:rsidRDefault="00A802CA" w:rsidP="005964B1">
      <w:pPr>
        <w:keepNext/>
        <w:rPr>
          <w:rFonts w:ascii="Times New Roman" w:hAnsi="Times New Roman"/>
          <w:i/>
          <w:u w:val="single"/>
        </w:rPr>
      </w:pPr>
      <w:r w:rsidRPr="00961E0F">
        <w:rPr>
          <w:rFonts w:ascii="Times New Roman" w:hAnsi="Times New Roman"/>
          <w:i/>
          <w:u w:val="single"/>
        </w:rPr>
        <w:t>Réactivation de l'hépatite B</w:t>
      </w:r>
    </w:p>
    <w:p w14:paraId="4C15EB8A" w14:textId="77777777" w:rsidR="00A802CA" w:rsidRPr="00961E0F" w:rsidRDefault="00A802CA" w:rsidP="005964B1">
      <w:pPr>
        <w:rPr>
          <w:rFonts w:ascii="Times New Roman" w:hAnsi="Times New Roman"/>
          <w:color w:val="000000"/>
          <w:szCs w:val="22"/>
        </w:rPr>
      </w:pPr>
      <w:r w:rsidRPr="00961E0F">
        <w:rPr>
          <w:rFonts w:ascii="Times New Roman" w:hAnsi="Times New Roman"/>
        </w:rPr>
        <w:t>Des cas de réactivation du virus de l’hépatite B ont été rapportés chez des patients traités par des inhibiteurs de la tyrosine kinase BCR-ABL. Certains de ces cas ont évolué vers une insuffisance hépatique aiguë ou une hépatite fulminante requérant une transplantation hépatique ou dont l’issue a été fatale (voir rubrique</w:t>
      </w:r>
      <w:r w:rsidR="005964B1" w:rsidRPr="00961E0F">
        <w:rPr>
          <w:rFonts w:ascii="Times New Roman" w:hAnsi="Times New Roman"/>
        </w:rPr>
        <w:t> </w:t>
      </w:r>
      <w:r w:rsidRPr="00961E0F">
        <w:rPr>
          <w:rFonts w:ascii="Times New Roman" w:hAnsi="Times New Roman"/>
        </w:rPr>
        <w:t>4.4).</w:t>
      </w:r>
    </w:p>
    <w:p w14:paraId="7FF9DD61" w14:textId="77777777" w:rsidR="00EF4CB3" w:rsidRPr="00961E0F" w:rsidRDefault="00EF4CB3" w:rsidP="00EF4CB3">
      <w:pPr>
        <w:widowControl w:val="0"/>
        <w:rPr>
          <w:rFonts w:ascii="Times New Roman" w:hAnsi="Times New Roman"/>
          <w:color w:val="000000"/>
          <w:szCs w:val="22"/>
        </w:rPr>
      </w:pPr>
    </w:p>
    <w:p w14:paraId="2FAEC0AF" w14:textId="77777777" w:rsidR="00EF4CB3" w:rsidRPr="00961E0F" w:rsidRDefault="00EF4CB3" w:rsidP="004B2956">
      <w:pPr>
        <w:keepNext/>
        <w:autoSpaceDE w:val="0"/>
        <w:autoSpaceDN w:val="0"/>
        <w:adjustRightInd w:val="0"/>
        <w:jc w:val="both"/>
        <w:rPr>
          <w:rFonts w:ascii="Times New Roman" w:hAnsi="Times New Roman"/>
          <w:szCs w:val="22"/>
          <w:u w:val="single"/>
          <w:lang w:val="fr-BE"/>
        </w:rPr>
      </w:pPr>
      <w:r w:rsidRPr="00961E0F">
        <w:rPr>
          <w:rFonts w:ascii="Times New Roman" w:hAnsi="Times New Roman"/>
          <w:szCs w:val="22"/>
          <w:u w:val="single"/>
          <w:lang w:val="fr-BE"/>
        </w:rPr>
        <w:t>Déclaration des effets indésirables suspectés</w:t>
      </w:r>
    </w:p>
    <w:p w14:paraId="5E22C985"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szCs w:val="22"/>
          <w:lang w:val="fr-BE"/>
        </w:rPr>
        <w:t xml:space="preserve">La déclaration des effets indésirables suspectés après autorisation du médicament est importante. Elle permet une surveillance continue du rapport bénéfice/risque du médicament. </w:t>
      </w:r>
      <w:r w:rsidRPr="00961E0F">
        <w:rPr>
          <w:rFonts w:ascii="Times New Roman" w:hAnsi="Times New Roman"/>
          <w:szCs w:val="22"/>
        </w:rPr>
        <w:t xml:space="preserve">Les professionnels de santé déclarent tout effet indésirable suspecté </w:t>
      </w:r>
      <w:r w:rsidRPr="00961E0F">
        <w:rPr>
          <w:rFonts w:ascii="Times New Roman" w:hAnsi="Times New Roman"/>
          <w:szCs w:val="22"/>
          <w:shd w:val="pct15" w:color="auto" w:fill="auto"/>
        </w:rPr>
        <w:t xml:space="preserve">via le système national de déclaration – voir </w:t>
      </w:r>
      <w:hyperlink r:id="rId15" w:history="1">
        <w:r w:rsidRPr="00961E0F">
          <w:rPr>
            <w:rStyle w:val="Hyperlink"/>
            <w:rFonts w:ascii="Times New Roman" w:hAnsi="Times New Roman"/>
            <w:szCs w:val="22"/>
            <w:shd w:val="pct15" w:color="auto" w:fill="auto"/>
          </w:rPr>
          <w:t>Annexe V</w:t>
        </w:r>
      </w:hyperlink>
      <w:r w:rsidRPr="00961E0F">
        <w:rPr>
          <w:rFonts w:ascii="Times New Roman" w:hAnsi="Times New Roman"/>
          <w:szCs w:val="22"/>
          <w:shd w:val="pct15" w:color="auto" w:fill="auto"/>
        </w:rPr>
        <w:t>.</w:t>
      </w:r>
    </w:p>
    <w:p w14:paraId="7799EC3F" w14:textId="77777777" w:rsidR="00EF4CB3" w:rsidRPr="00961E0F" w:rsidRDefault="00EF4CB3" w:rsidP="00EF4CB3">
      <w:pPr>
        <w:widowControl w:val="0"/>
        <w:ind w:left="567" w:hanging="567"/>
        <w:rPr>
          <w:rFonts w:ascii="Times New Roman" w:hAnsi="Times New Roman"/>
          <w:color w:val="000000"/>
          <w:szCs w:val="22"/>
        </w:rPr>
      </w:pPr>
    </w:p>
    <w:p w14:paraId="67093388" w14:textId="77777777" w:rsidR="00EF4CB3" w:rsidRPr="00961E0F" w:rsidRDefault="00EF4CB3" w:rsidP="004B2956">
      <w:pPr>
        <w:keepNext/>
        <w:widowControl w:val="0"/>
        <w:ind w:left="567" w:hanging="567"/>
        <w:rPr>
          <w:rFonts w:ascii="Times New Roman" w:hAnsi="Times New Roman"/>
          <w:color w:val="000000"/>
          <w:szCs w:val="22"/>
        </w:rPr>
      </w:pPr>
      <w:r w:rsidRPr="00961E0F">
        <w:rPr>
          <w:rFonts w:ascii="Times New Roman" w:hAnsi="Times New Roman"/>
          <w:b/>
          <w:color w:val="000000"/>
          <w:szCs w:val="22"/>
        </w:rPr>
        <w:t>4.9</w:t>
      </w:r>
      <w:r w:rsidRPr="00961E0F">
        <w:rPr>
          <w:rFonts w:ascii="Times New Roman" w:hAnsi="Times New Roman"/>
          <w:b/>
          <w:color w:val="000000"/>
          <w:szCs w:val="22"/>
        </w:rPr>
        <w:tab/>
        <w:t>Surdosage</w:t>
      </w:r>
    </w:p>
    <w:p w14:paraId="670AD1FA" w14:textId="77777777" w:rsidR="00EF4CB3" w:rsidRPr="00961E0F" w:rsidRDefault="00EF4CB3" w:rsidP="004B2956">
      <w:pPr>
        <w:keepNext/>
        <w:widowControl w:val="0"/>
        <w:rPr>
          <w:rFonts w:ascii="Times New Roman" w:hAnsi="Times New Roman"/>
          <w:color w:val="000000"/>
          <w:szCs w:val="22"/>
        </w:rPr>
      </w:pPr>
    </w:p>
    <w:p w14:paraId="25266167"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L’expérience avec des doses supérieures aux doses thérapeutiques recommandées est limitée. Des cas spontanés de surdosage avec Glivec ont été rapportés et publiés dans la littérature. En cas de surdosage, le patient doit être surveillé et un traitement symptomatique approprié doit lui être administré. L’évolution rapportée de ces cas était une « amélioration » ou un « rétablissement ».Les événements qui ont été rapportés à des doses différentes sont les suivants :</w:t>
      </w:r>
    </w:p>
    <w:p w14:paraId="4C737061" w14:textId="77777777" w:rsidR="00EF4CB3" w:rsidRPr="00961E0F" w:rsidRDefault="00EF4CB3" w:rsidP="00EF4CB3">
      <w:pPr>
        <w:pStyle w:val="EndnoteText"/>
        <w:widowControl w:val="0"/>
        <w:tabs>
          <w:tab w:val="clear" w:pos="567"/>
        </w:tabs>
        <w:rPr>
          <w:color w:val="000000"/>
          <w:szCs w:val="22"/>
          <w:lang w:val="fr-FR"/>
        </w:rPr>
      </w:pPr>
    </w:p>
    <w:p w14:paraId="03AB096A" w14:textId="77777777" w:rsidR="00EF4CB3" w:rsidRPr="00961E0F" w:rsidRDefault="00EF4CB3" w:rsidP="004B2956">
      <w:pPr>
        <w:pStyle w:val="EndnoteText"/>
        <w:keepNext/>
        <w:widowControl w:val="0"/>
        <w:tabs>
          <w:tab w:val="clear" w:pos="567"/>
        </w:tabs>
        <w:rPr>
          <w:i/>
          <w:iCs/>
          <w:color w:val="000000"/>
          <w:szCs w:val="22"/>
          <w:lang w:val="fr-FR"/>
        </w:rPr>
      </w:pPr>
      <w:r w:rsidRPr="00961E0F">
        <w:rPr>
          <w:i/>
          <w:iCs/>
          <w:color w:val="000000"/>
          <w:szCs w:val="22"/>
          <w:lang w:val="fr-FR"/>
        </w:rPr>
        <w:t>Population adulte</w:t>
      </w:r>
    </w:p>
    <w:p w14:paraId="5394E89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1200 à 1600 mg (sur une durée allant de 1 à 10 jours) : nausée, vomissements, diarrhées, rash, érythème, œdème, gonflement, fatigue, crampes musculaires, thrombopénie, pancytopénie, douleurs abdominales, céphalées, diminution de l’appétit.</w:t>
      </w:r>
    </w:p>
    <w:p w14:paraId="12ACEFA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1800 à 3200 mg (jusqu’à 3200 mg par jour pendant 6 jours) : faiblesse, myalgie, taux de créatine-phosphokinase augmenté, taux de bilirubine augmenté, douleur gastro-intestinale.</w:t>
      </w:r>
    </w:p>
    <w:p w14:paraId="0F73D0D6"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6400 mg (dose unique) : un cas rapporté dans la littérature d’un patient qui a présenté : nausées, vomissements, douleurs abdominales, fièvre, œdème du visage, diminution du taux de neutrophiles, augmentation des transaminases.</w:t>
      </w:r>
    </w:p>
    <w:p w14:paraId="691F676C"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8 à </w:t>
      </w:r>
      <w:smartTag w:uri="urn:schemas-microsoft-com:office:smarttags" w:element="metricconverter">
        <w:smartTagPr>
          <w:attr w:name="ProductID" w:val="10ﾠg"/>
        </w:smartTagPr>
        <w:r w:rsidRPr="00961E0F">
          <w:rPr>
            <w:color w:val="000000"/>
            <w:szCs w:val="22"/>
            <w:lang w:val="fr-FR"/>
          </w:rPr>
          <w:t>10 g</w:t>
        </w:r>
      </w:smartTag>
      <w:r w:rsidRPr="00961E0F">
        <w:rPr>
          <w:color w:val="000000"/>
          <w:szCs w:val="22"/>
          <w:lang w:val="fr-FR"/>
        </w:rPr>
        <w:t xml:space="preserve"> (dose unique) : vomissements et douleurs gastro-intestinales ont été rapportés.</w:t>
      </w:r>
    </w:p>
    <w:p w14:paraId="74CF9796" w14:textId="77777777" w:rsidR="00EF4CB3" w:rsidRPr="00961E0F" w:rsidRDefault="00EF4CB3" w:rsidP="00EF4CB3">
      <w:pPr>
        <w:pStyle w:val="EndnoteText"/>
        <w:widowControl w:val="0"/>
        <w:tabs>
          <w:tab w:val="clear" w:pos="567"/>
        </w:tabs>
        <w:rPr>
          <w:color w:val="000000"/>
          <w:szCs w:val="22"/>
          <w:lang w:val="fr-FR"/>
        </w:rPr>
      </w:pPr>
    </w:p>
    <w:p w14:paraId="5AF75146" w14:textId="77777777" w:rsidR="00EF4CB3" w:rsidRPr="00961E0F" w:rsidRDefault="00EF4CB3" w:rsidP="004B2956">
      <w:pPr>
        <w:pStyle w:val="EndnoteText"/>
        <w:keepNext/>
        <w:widowControl w:val="0"/>
        <w:tabs>
          <w:tab w:val="clear" w:pos="567"/>
        </w:tabs>
        <w:rPr>
          <w:i/>
          <w:iCs/>
          <w:color w:val="000000"/>
          <w:szCs w:val="22"/>
          <w:lang w:val="fr-FR"/>
        </w:rPr>
      </w:pPr>
      <w:r w:rsidRPr="00961E0F">
        <w:rPr>
          <w:i/>
          <w:iCs/>
          <w:color w:val="000000"/>
          <w:szCs w:val="22"/>
          <w:lang w:val="fr-FR"/>
        </w:rPr>
        <w:t>Population pédiatrique</w:t>
      </w:r>
    </w:p>
    <w:p w14:paraId="5CF5C6F7"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Un garçon âgé de 3 ans ayant pris une dose unique de 400 mg a présenté des vomissements, une </w:t>
      </w:r>
      <w:r w:rsidRPr="00961E0F">
        <w:rPr>
          <w:color w:val="000000"/>
          <w:szCs w:val="22"/>
          <w:lang w:val="fr-FR"/>
        </w:rPr>
        <w:lastRenderedPageBreak/>
        <w:t>diarrhée et une anorexie et un autre garçon âgé de 3 ans ayant pris une dose unique de 980 mg a présenté une diminution du taux de globules blancs et une diarrhée.</w:t>
      </w:r>
    </w:p>
    <w:p w14:paraId="5BDED815" w14:textId="77777777" w:rsidR="00EF4CB3" w:rsidRPr="00961E0F" w:rsidRDefault="00EF4CB3" w:rsidP="00EF4CB3">
      <w:pPr>
        <w:pStyle w:val="EndnoteText"/>
        <w:widowControl w:val="0"/>
        <w:tabs>
          <w:tab w:val="clear" w:pos="567"/>
        </w:tabs>
        <w:rPr>
          <w:color w:val="000000"/>
          <w:szCs w:val="22"/>
          <w:lang w:val="fr-FR"/>
        </w:rPr>
      </w:pPr>
    </w:p>
    <w:p w14:paraId="0F147C1E"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En cas de surdosage, le patient devra être placé sous surveillance et recevoir un traitement symptomatique approprié.</w:t>
      </w:r>
    </w:p>
    <w:p w14:paraId="1FEA4040" w14:textId="77777777" w:rsidR="00EF4CB3" w:rsidRPr="00961E0F" w:rsidRDefault="00EF4CB3" w:rsidP="00EF4CB3">
      <w:pPr>
        <w:widowControl w:val="0"/>
        <w:rPr>
          <w:rFonts w:ascii="Times New Roman" w:hAnsi="Times New Roman"/>
          <w:color w:val="000000"/>
          <w:szCs w:val="22"/>
        </w:rPr>
      </w:pPr>
    </w:p>
    <w:p w14:paraId="78AF9750" w14:textId="77777777" w:rsidR="00EF4CB3" w:rsidRPr="00961E0F" w:rsidRDefault="00EF4CB3" w:rsidP="00EF4CB3">
      <w:pPr>
        <w:widowControl w:val="0"/>
        <w:rPr>
          <w:rFonts w:ascii="Times New Roman" w:hAnsi="Times New Roman"/>
          <w:color w:val="000000"/>
          <w:szCs w:val="22"/>
        </w:rPr>
      </w:pPr>
    </w:p>
    <w:p w14:paraId="034CBD85" w14:textId="77777777" w:rsidR="00EF4CB3" w:rsidRPr="00961E0F" w:rsidRDefault="00EF4CB3" w:rsidP="004B2956">
      <w:pPr>
        <w:keepNext/>
        <w:widowControl w:val="0"/>
        <w:ind w:left="567" w:hanging="567"/>
        <w:rPr>
          <w:rFonts w:ascii="Times New Roman" w:hAnsi="Times New Roman"/>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PROPRIÉTÉS PHARMACOLOGIQUES</w:t>
      </w:r>
    </w:p>
    <w:p w14:paraId="320F48B2" w14:textId="77777777" w:rsidR="00EF4CB3" w:rsidRPr="00961E0F" w:rsidRDefault="00EF4CB3" w:rsidP="004B2956">
      <w:pPr>
        <w:keepNext/>
        <w:widowControl w:val="0"/>
        <w:rPr>
          <w:rFonts w:ascii="Times New Roman" w:hAnsi="Times New Roman"/>
          <w:color w:val="000000"/>
          <w:szCs w:val="22"/>
        </w:rPr>
      </w:pPr>
    </w:p>
    <w:p w14:paraId="0F64A30B" w14:textId="77777777" w:rsidR="00EF4CB3" w:rsidRPr="00961E0F" w:rsidRDefault="00EF4CB3" w:rsidP="004B2956">
      <w:pPr>
        <w:keepNext/>
        <w:widowControl w:val="0"/>
        <w:ind w:left="567" w:hanging="567"/>
        <w:rPr>
          <w:rFonts w:ascii="Times New Roman" w:hAnsi="Times New Roman"/>
          <w:color w:val="000000"/>
          <w:szCs w:val="22"/>
        </w:rPr>
      </w:pPr>
      <w:r w:rsidRPr="00961E0F">
        <w:rPr>
          <w:rFonts w:ascii="Times New Roman" w:hAnsi="Times New Roman"/>
          <w:b/>
          <w:color w:val="000000"/>
          <w:szCs w:val="22"/>
        </w:rPr>
        <w:t>5.1</w:t>
      </w:r>
      <w:r w:rsidRPr="00961E0F">
        <w:rPr>
          <w:rFonts w:ascii="Times New Roman" w:hAnsi="Times New Roman"/>
          <w:b/>
          <w:color w:val="000000"/>
          <w:szCs w:val="22"/>
        </w:rPr>
        <w:tab/>
        <w:t>Propriétés pharmacodynamiques</w:t>
      </w:r>
    </w:p>
    <w:p w14:paraId="22CFA754" w14:textId="77777777" w:rsidR="00EF4CB3" w:rsidRPr="00961E0F" w:rsidRDefault="00EF4CB3" w:rsidP="004B2956">
      <w:pPr>
        <w:pStyle w:val="EndnoteText"/>
        <w:keepNext/>
        <w:widowControl w:val="0"/>
        <w:tabs>
          <w:tab w:val="clear" w:pos="567"/>
        </w:tabs>
        <w:rPr>
          <w:color w:val="000000"/>
          <w:szCs w:val="22"/>
          <w:lang w:val="fr-FR"/>
        </w:rPr>
      </w:pPr>
    </w:p>
    <w:p w14:paraId="1352FC30" w14:textId="77777777" w:rsidR="00EF4CB3" w:rsidRPr="00961E0F" w:rsidRDefault="00EF4CB3" w:rsidP="00EF4CB3">
      <w:pPr>
        <w:widowControl w:val="0"/>
        <w:rPr>
          <w:rFonts w:ascii="Times New Roman" w:hAnsi="Times New Roman"/>
          <w:color w:val="000000"/>
          <w:szCs w:val="22"/>
        </w:rPr>
      </w:pPr>
      <w:r w:rsidRPr="00961E0F">
        <w:rPr>
          <w:rFonts w:ascii="Times New Roman" w:hAnsi="Times New Roman"/>
          <w:color w:val="000000"/>
          <w:szCs w:val="22"/>
        </w:rPr>
        <w:t>Classe pharmacothérapeutique : inhibiteur de protéine-tyrosine kinase, Code ATC : L01XE01</w:t>
      </w:r>
    </w:p>
    <w:p w14:paraId="71A17987" w14:textId="77777777" w:rsidR="00EF4CB3" w:rsidRPr="00961E0F" w:rsidRDefault="00EF4CB3" w:rsidP="00EF4CB3">
      <w:pPr>
        <w:pStyle w:val="EndnoteText"/>
        <w:widowControl w:val="0"/>
        <w:tabs>
          <w:tab w:val="clear" w:pos="567"/>
        </w:tabs>
        <w:rPr>
          <w:color w:val="000000"/>
          <w:szCs w:val="22"/>
          <w:lang w:val="fr-FR"/>
        </w:rPr>
      </w:pPr>
    </w:p>
    <w:p w14:paraId="5AC023CE"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Mécanisme d'action</w:t>
      </w:r>
    </w:p>
    <w:p w14:paraId="182A881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L'imatinib est une petite molécule chimique inhibitrice de protéine tyrosine kinase qui inhibe puissamment l'activité de la tyrosine kinase (TK) Bcr-Abl ainsi que plusieurs récepteurs TK : Kit, le récepteur du SCF (stem cell factor) codé par le proto-oncogène c-Kit, les récepteurs du domaine discoidine (DDR1 et DDR2), le CSF-1R (récepteur du colony stimulating factor) et les récepteurs alpha et bêta du PDGF (platelet-derived growth factor) (PDGFR-alpha et PDGFR-bêta). L'imatinib peut également inhiber les processus cellulaires médiés par l'activation des kinases de ces récepteurs.</w:t>
      </w:r>
    </w:p>
    <w:p w14:paraId="32B4275C" w14:textId="77777777" w:rsidR="00EF4CB3" w:rsidRPr="00961E0F" w:rsidRDefault="00EF4CB3" w:rsidP="00EF4CB3">
      <w:pPr>
        <w:pStyle w:val="EndnoteText"/>
        <w:widowControl w:val="0"/>
        <w:tabs>
          <w:tab w:val="clear" w:pos="567"/>
        </w:tabs>
        <w:rPr>
          <w:color w:val="000000"/>
          <w:szCs w:val="22"/>
          <w:lang w:val="fr-FR"/>
        </w:rPr>
      </w:pPr>
    </w:p>
    <w:p w14:paraId="4456CD10"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Effets pharmacodynamiques</w:t>
      </w:r>
    </w:p>
    <w:p w14:paraId="5105B41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L’imatinib est un inhibiteur de protéine tyrosine kinase qui inhibe puissamment la tyrosine kinase Bcr-Abl au niveau cellulaire</w:t>
      </w:r>
      <w:r w:rsidRPr="00961E0F">
        <w:rPr>
          <w:i/>
          <w:color w:val="000000"/>
          <w:szCs w:val="22"/>
          <w:lang w:val="fr-FR"/>
        </w:rPr>
        <w:t xml:space="preserve"> in vitro</w:t>
      </w:r>
      <w:r w:rsidRPr="00961E0F">
        <w:rPr>
          <w:color w:val="000000"/>
          <w:szCs w:val="22"/>
          <w:lang w:val="fr-FR"/>
        </w:rPr>
        <w:t xml:space="preserve"> et </w:t>
      </w:r>
      <w:r w:rsidRPr="00961E0F">
        <w:rPr>
          <w:i/>
          <w:color w:val="000000"/>
          <w:szCs w:val="22"/>
          <w:lang w:val="fr-FR"/>
        </w:rPr>
        <w:t>in vivo</w:t>
      </w:r>
      <w:r w:rsidRPr="00961E0F">
        <w:rPr>
          <w:color w:val="000000"/>
          <w:szCs w:val="22"/>
          <w:lang w:val="fr-FR"/>
        </w:rPr>
        <w:t>. Le produit inhibe sélectivement la prolifération et induit une apoptose dans les lignées cellulaires Bcr-Abl positives ainsi que dans les cellules leucémiques fraîches provenant de patients atteints de LMC ou de leucémie aiguë lymphoblastique (LAL) chromosome Philadelphie positives.</w:t>
      </w:r>
    </w:p>
    <w:p w14:paraId="62DA583A" w14:textId="77777777" w:rsidR="00EF4CB3" w:rsidRPr="00961E0F" w:rsidRDefault="00EF4CB3" w:rsidP="00EF4CB3">
      <w:pPr>
        <w:pStyle w:val="EndnoteText"/>
        <w:widowControl w:val="0"/>
        <w:tabs>
          <w:tab w:val="clear" w:pos="567"/>
        </w:tabs>
        <w:rPr>
          <w:color w:val="000000"/>
          <w:szCs w:val="22"/>
          <w:lang w:val="fr-FR"/>
        </w:rPr>
      </w:pPr>
    </w:p>
    <w:p w14:paraId="6D7797A9"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In vivo</w:t>
      </w:r>
      <w:r w:rsidRPr="00961E0F">
        <w:rPr>
          <w:color w:val="000000"/>
          <w:szCs w:val="22"/>
          <w:lang w:val="fr-FR"/>
        </w:rPr>
        <w:t>, le produit présente une activité anti-tumorale lorsqu'il est administré en monothérapie chez l'animal porteur de cellules tumorales Bcr-Abl positives.</w:t>
      </w:r>
    </w:p>
    <w:p w14:paraId="2002327F" w14:textId="77777777" w:rsidR="00EF4CB3" w:rsidRPr="00961E0F" w:rsidRDefault="00EF4CB3" w:rsidP="00EF4CB3">
      <w:pPr>
        <w:pStyle w:val="EndnoteText"/>
        <w:widowControl w:val="0"/>
        <w:tabs>
          <w:tab w:val="clear" w:pos="567"/>
        </w:tabs>
        <w:rPr>
          <w:color w:val="000000"/>
          <w:szCs w:val="22"/>
          <w:lang w:val="fr-FR"/>
        </w:rPr>
      </w:pPr>
    </w:p>
    <w:p w14:paraId="0F57EE9B"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L’imatinib est également un inhibiteur des tyrosine kinases du récepteur du PDGF (platelet-derived growth factor), PDGF-R et du SCF (stem cell factor) c-Kit et il inhibe les processus cellulaires médiés par le PDGF et le SCF. </w:t>
      </w:r>
      <w:r w:rsidRPr="00961E0F">
        <w:rPr>
          <w:i/>
          <w:color w:val="000000"/>
          <w:szCs w:val="22"/>
          <w:lang w:val="fr-FR"/>
        </w:rPr>
        <w:t>In vitro</w:t>
      </w:r>
      <w:r w:rsidRPr="00961E0F">
        <w:rPr>
          <w:color w:val="000000"/>
          <w:szCs w:val="22"/>
          <w:lang w:val="fr-FR"/>
        </w:rPr>
        <w:t xml:space="preserve">, l'imatinib inhibe la prolifération et induit une apoptose des cellules de tumeur stromale gastro-intestinale (GIST), qui expriment une mutation activatrice du </w:t>
      </w:r>
      <w:r w:rsidRPr="00961E0F">
        <w:rPr>
          <w:i/>
          <w:color w:val="000000"/>
          <w:szCs w:val="22"/>
          <w:lang w:val="fr-FR"/>
        </w:rPr>
        <w:t>kit</w:t>
      </w:r>
      <w:r w:rsidRPr="00961E0F">
        <w:rPr>
          <w:color w:val="000000"/>
          <w:szCs w:val="22"/>
          <w:lang w:val="fr-FR"/>
        </w:rPr>
        <w:t xml:space="preserve">. L’activation constitutive du récepteur du PDGF ou des tyrosine kinases Abl, résultant de la fusion à différentes protéines partenaires ou de la production constitutive de PDGF, sont impliquées dans la pathogénèse des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des SHE/LCE et du DFSP. L’imatinib inhibe la signalisation et la prolifération des cellules sensibles à l’activité dérégulée des kinases Abl ou PDGFR.</w:t>
      </w:r>
    </w:p>
    <w:p w14:paraId="3B697A30" w14:textId="77777777" w:rsidR="00EF4CB3" w:rsidRPr="00961E0F" w:rsidRDefault="00EF4CB3" w:rsidP="00EF4CB3">
      <w:pPr>
        <w:pStyle w:val="EndnoteText"/>
        <w:widowControl w:val="0"/>
        <w:tabs>
          <w:tab w:val="clear" w:pos="567"/>
        </w:tabs>
        <w:rPr>
          <w:color w:val="000000"/>
          <w:szCs w:val="22"/>
          <w:lang w:val="fr-FR"/>
        </w:rPr>
      </w:pPr>
    </w:p>
    <w:p w14:paraId="58816106" w14:textId="77777777" w:rsidR="00EF4CB3" w:rsidRPr="00961E0F" w:rsidRDefault="00EF4CB3" w:rsidP="004B2956">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la leucémie myéloïde chronique</w:t>
      </w:r>
    </w:p>
    <w:p w14:paraId="7673F7F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L’efficacité de Glivec est basée sur les taux de réponses cytogénétiques et hématologiques globales et la survie sans progression. A l’exception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en phase chronique nouvellement diagnostiquée, il n’existe pas actuellement d’étude contrôlée démontrant un bénéfice clinique tel qu’une amélioration des symptômes liés à la maladie ou une prolongation de la durée de vie.</w:t>
      </w:r>
    </w:p>
    <w:p w14:paraId="59FDE327" w14:textId="77777777" w:rsidR="00EF4CB3" w:rsidRPr="00961E0F" w:rsidRDefault="00EF4CB3" w:rsidP="00EF4CB3">
      <w:pPr>
        <w:pStyle w:val="EndnoteText"/>
        <w:widowControl w:val="0"/>
        <w:tabs>
          <w:tab w:val="clear" w:pos="567"/>
        </w:tabs>
        <w:rPr>
          <w:color w:val="000000"/>
          <w:szCs w:val="22"/>
          <w:lang w:val="fr-FR"/>
        </w:rPr>
      </w:pPr>
    </w:p>
    <w:p w14:paraId="7C003032"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Trois grandes études ouvertes internationales de phase II, non contrôlées, ont été menées chez des patients atteints de LMC chromosome Philadelphie positive (Ph+) en phase avancée, crise blastique ou phase accélérée, ainsi que chez des patients atteints d'autres leucémies Ph+ ou de LMC en phase chronique en échec d’un traitement antérieur par interféron alpha (IFN). Une vaste étude randomisée ouverte, multicentrique, internationale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a été menée chez des patients présentant une LMC Ph+ nouvellement diagnostiquée. De plus, des enfants ont été traités dans deux études de phase I et une étude de phase II.</w:t>
      </w:r>
    </w:p>
    <w:p w14:paraId="2E45F6FC" w14:textId="77777777" w:rsidR="00EF4CB3" w:rsidRPr="00961E0F" w:rsidRDefault="00EF4CB3" w:rsidP="00EF4CB3">
      <w:pPr>
        <w:pStyle w:val="EndnoteText"/>
        <w:widowControl w:val="0"/>
        <w:tabs>
          <w:tab w:val="clear" w:pos="567"/>
        </w:tabs>
        <w:rPr>
          <w:color w:val="000000"/>
          <w:szCs w:val="22"/>
          <w:lang w:val="fr-FR"/>
        </w:rPr>
      </w:pPr>
    </w:p>
    <w:p w14:paraId="4D20EF19"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Dans toutes les études cliniques, 38–40% des patients avaient </w:t>
      </w:r>
      <w:r w:rsidRPr="00961E0F">
        <w:rPr>
          <w:color w:val="000000"/>
          <w:szCs w:val="22"/>
          <w:lang w:val="fr-FR"/>
        </w:rPr>
        <w:sym w:font="Symbol" w:char="F0B3"/>
      </w:r>
      <w:r w:rsidRPr="00961E0F">
        <w:rPr>
          <w:color w:val="000000"/>
          <w:szCs w:val="22"/>
          <w:lang w:val="fr-FR"/>
        </w:rPr>
        <w:t xml:space="preserve"> 60 ans et 10–12% des patients avaient </w:t>
      </w:r>
      <w:r w:rsidRPr="00961E0F">
        <w:rPr>
          <w:color w:val="000000"/>
          <w:szCs w:val="22"/>
          <w:lang w:val="fr-FR"/>
        </w:rPr>
        <w:sym w:font="Symbol" w:char="F0B3"/>
      </w:r>
      <w:r w:rsidRPr="00961E0F">
        <w:rPr>
          <w:color w:val="000000"/>
          <w:szCs w:val="22"/>
          <w:lang w:val="fr-FR"/>
        </w:rPr>
        <w:t> 70 ans.</w:t>
      </w:r>
    </w:p>
    <w:p w14:paraId="03816BDA" w14:textId="77777777" w:rsidR="00EF4CB3" w:rsidRPr="00961E0F" w:rsidRDefault="00EF4CB3" w:rsidP="00EF4CB3">
      <w:pPr>
        <w:pStyle w:val="EndnoteText"/>
        <w:widowControl w:val="0"/>
        <w:tabs>
          <w:tab w:val="clear" w:pos="567"/>
        </w:tabs>
        <w:rPr>
          <w:color w:val="000000"/>
          <w:szCs w:val="22"/>
          <w:lang w:val="fr-FR"/>
        </w:rPr>
      </w:pPr>
    </w:p>
    <w:p w14:paraId="17132E8A" w14:textId="77777777" w:rsidR="00EF4CB3" w:rsidRPr="00961E0F" w:rsidRDefault="00EF4CB3" w:rsidP="00EF4CB3">
      <w:pPr>
        <w:pStyle w:val="EndnoteText"/>
        <w:widowControl w:val="0"/>
        <w:rPr>
          <w:color w:val="000000"/>
          <w:szCs w:val="22"/>
          <w:lang w:val="fr-FR"/>
        </w:rPr>
      </w:pPr>
      <w:r w:rsidRPr="00961E0F">
        <w:rPr>
          <w:i/>
          <w:color w:val="000000"/>
          <w:szCs w:val="22"/>
          <w:lang w:val="fr-FR"/>
        </w:rPr>
        <w:lastRenderedPageBreak/>
        <w:t>Phase chronique nouvellement diagnostiquée :</w:t>
      </w:r>
      <w:r w:rsidRPr="00961E0F">
        <w:rPr>
          <w:color w:val="000000"/>
          <w:szCs w:val="22"/>
          <w:lang w:val="fr-FR"/>
        </w:rPr>
        <w:t xml:space="preserve"> Cette étude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chez des patients adultes, a comparé l'administration de Glivec en monothérapie à une association d'interféron-alpha (IFN) et de cytarabine (Ara-C). Les patients présentant une absence de réponse [absence de réponse hématologique complète (RHC) à 6 mois, augmentation des leucocytes, absence de réponse cytogénétique majeure (RCyM) à 24 mois], une perte de la réponse (perte de </w:t>
      </w:r>
      <w:smartTag w:uri="urn:schemas-microsoft-com:office:smarttags" w:element="PersonName">
        <w:smartTagPr>
          <w:attr w:name="ProductID" w:val="la RHC"/>
        </w:smartTagPr>
        <w:r w:rsidRPr="00961E0F">
          <w:rPr>
            <w:color w:val="000000"/>
            <w:szCs w:val="22"/>
            <w:lang w:val="fr-FR"/>
          </w:rPr>
          <w:t>la RHC</w:t>
        </w:r>
      </w:smartTag>
      <w:r w:rsidRPr="00961E0F">
        <w:rPr>
          <w:color w:val="000000"/>
          <w:szCs w:val="22"/>
          <w:lang w:val="fr-FR"/>
        </w:rPr>
        <w:t xml:space="preserve"> ou de </w:t>
      </w:r>
      <w:smartTag w:uri="urn:schemas-microsoft-com:office:smarttags" w:element="PersonName">
        <w:smartTagPr>
          <w:attr w:name="ProductID" w:val="la RCyM"/>
        </w:smartTagPr>
        <w:r w:rsidRPr="00961E0F">
          <w:rPr>
            <w:color w:val="000000"/>
            <w:szCs w:val="22"/>
            <w:lang w:val="fr-FR"/>
          </w:rPr>
          <w:t>la RCyM</w:t>
        </w:r>
      </w:smartTag>
      <w:r w:rsidRPr="00961E0F">
        <w:rPr>
          <w:color w:val="000000"/>
          <w:szCs w:val="22"/>
          <w:lang w:val="fr-FR"/>
        </w:rPr>
        <w:t>) ou une intolérance sévère au traitement ont été autorisés à permuter dans l'autre groupe de traitement. Dans le groupe recevant Glivec, les patients ont été traités par 400 mg/jour. Dans le groupe recevant IFN, les patients ont reçu une dose cible d'IFN de 5 </w:t>
      </w:r>
      <w:smartTag w:uri="urn:schemas-microsoft-com:office:smarttags" w:element="stockticker">
        <w:r w:rsidRPr="00961E0F">
          <w:rPr>
            <w:color w:val="000000"/>
            <w:szCs w:val="22"/>
            <w:lang w:val="fr-FR"/>
          </w:rPr>
          <w:t>MUI</w:t>
        </w:r>
      </w:smartTag>
      <w:r w:rsidRPr="00961E0F">
        <w:rPr>
          <w:color w:val="000000"/>
          <w:szCs w:val="22"/>
          <w:lang w:val="fr-FR"/>
        </w:rPr>
        <w:t>/m</w:t>
      </w:r>
      <w:r w:rsidRPr="00961E0F">
        <w:rPr>
          <w:color w:val="000000"/>
          <w:szCs w:val="22"/>
          <w:vertAlign w:val="superscript"/>
          <w:lang w:val="fr-FR"/>
        </w:rPr>
        <w:t>2</w:t>
      </w:r>
      <w:r w:rsidRPr="00961E0F">
        <w:rPr>
          <w:color w:val="000000"/>
          <w:szCs w:val="22"/>
          <w:lang w:val="fr-FR"/>
        </w:rPr>
        <w:t>/jour par voie sous-cutanée, en association à une dose sous-cutanée d'Ara-C de 20 mg/m</w:t>
      </w:r>
      <w:r w:rsidRPr="00961E0F">
        <w:rPr>
          <w:color w:val="000000"/>
          <w:szCs w:val="22"/>
          <w:vertAlign w:val="superscript"/>
          <w:lang w:val="fr-FR"/>
        </w:rPr>
        <w:t>2</w:t>
      </w:r>
      <w:r w:rsidRPr="00961E0F">
        <w:rPr>
          <w:color w:val="000000"/>
          <w:szCs w:val="22"/>
          <w:lang w:val="fr-FR"/>
        </w:rPr>
        <w:t>/jour pendant 10 jours/mois.</w:t>
      </w:r>
    </w:p>
    <w:p w14:paraId="55ED1B47" w14:textId="77777777" w:rsidR="00EF4CB3" w:rsidRPr="00961E0F" w:rsidRDefault="00EF4CB3" w:rsidP="00EF4CB3">
      <w:pPr>
        <w:pStyle w:val="EndnoteText"/>
        <w:widowControl w:val="0"/>
        <w:tabs>
          <w:tab w:val="clear" w:pos="567"/>
        </w:tabs>
        <w:rPr>
          <w:color w:val="000000"/>
          <w:szCs w:val="22"/>
          <w:lang w:val="fr-FR"/>
        </w:rPr>
      </w:pPr>
    </w:p>
    <w:p w14:paraId="043C6703" w14:textId="77777777" w:rsidR="00EF4CB3" w:rsidRPr="00961E0F" w:rsidRDefault="00EF4CB3" w:rsidP="00EF4CB3">
      <w:pPr>
        <w:pStyle w:val="EndnoteText"/>
        <w:widowControl w:val="0"/>
        <w:rPr>
          <w:color w:val="000000"/>
          <w:szCs w:val="22"/>
          <w:lang w:val="fr-FR"/>
        </w:rPr>
      </w:pPr>
      <w:r w:rsidRPr="00961E0F">
        <w:rPr>
          <w:color w:val="000000"/>
          <w:szCs w:val="22"/>
          <w:lang w:val="fr-FR"/>
        </w:rPr>
        <w:t>Au total, 1 106 patients ont été randomisés, soit 553 patients par groupe de traitement. Les caractéristiques initiales étaient bien équilibrées dans les deux groupes de traitement. L'âge médian était de 51 ans (extrêmes : 18–70 ans) dont 21,9% des patients âgés de 60 ans ou plus. Les groupes étaient composés de 59% d'hommes et 41% de femmes, de 89,9% de blancs et 4,7% de noirs. Sept ans après l’inclusion du dernier patient, la durée médiane de traitement en première ligne était respectivement de 82 et de 8 mois dans les bras traités par Glivec et par l’IFN. La durée médiane de traitement en seconde ligne par Glivec était de 64 mois. Au total, chez les patients recevant Glivec en première ligne, la dose moyenne quotidienne dispensée était de 406 </w:t>
      </w:r>
      <w:r w:rsidRPr="00961E0F">
        <w:rPr>
          <w:color w:val="000000"/>
          <w:szCs w:val="22"/>
          <w:lang w:val="fr-FR"/>
        </w:rPr>
        <w:sym w:font="Symbol" w:char="F0B1"/>
      </w:r>
      <w:r w:rsidRPr="00961E0F">
        <w:rPr>
          <w:color w:val="000000"/>
          <w:szCs w:val="22"/>
          <w:lang w:val="fr-FR"/>
        </w:rPr>
        <w:t xml:space="preserve"> 76 mg. Dans cette étude, le paramètre d'évaluation principal de l'efficacité est la survie sans progression de la maladie. La progression était définie par l’un des événements suivants : évolution vers une phase accélérée ou une crise blastique, décès, perte de </w:t>
      </w:r>
      <w:smartTag w:uri="urn:schemas-microsoft-com:office:smarttags" w:element="PersonName">
        <w:smartTagPr>
          <w:attr w:name="ProductID" w:val="la RHC"/>
        </w:smartTagPr>
        <w:r w:rsidRPr="00961E0F">
          <w:rPr>
            <w:color w:val="000000"/>
            <w:szCs w:val="22"/>
            <w:lang w:val="fr-FR"/>
          </w:rPr>
          <w:t>la RHC</w:t>
        </w:r>
      </w:smartTag>
      <w:r w:rsidRPr="00961E0F">
        <w:rPr>
          <w:color w:val="000000"/>
          <w:szCs w:val="22"/>
          <w:lang w:val="fr-FR"/>
        </w:rPr>
        <w:t xml:space="preserve"> ou de </w:t>
      </w:r>
      <w:smartTag w:uri="urn:schemas-microsoft-com:office:smarttags" w:element="PersonName">
        <w:smartTagPr>
          <w:attr w:name="ProductID" w:val="la RCyM"/>
        </w:smartTagPr>
        <w:r w:rsidRPr="00961E0F">
          <w:rPr>
            <w:color w:val="000000"/>
            <w:szCs w:val="22"/>
            <w:lang w:val="fr-FR"/>
          </w:rPr>
          <w:t>la RCyM</w:t>
        </w:r>
      </w:smartTag>
      <w:r w:rsidRPr="00961E0F">
        <w:rPr>
          <w:color w:val="000000"/>
          <w:szCs w:val="22"/>
          <w:lang w:val="fr-FR"/>
        </w:rPr>
        <w:t>, ou, chez les patients n'obtenant pas une RHC, augmentation des leucocytes malgré une prise en charge thérapeutique adaptée. La réponse cytogénétique majeure, la réponse hématologique, la réponse moléculaire (évaluation de la maladie résiduelle), le délai avant apparition d'une phase accélérée ou d'une crise blastique et la survie sont les principaux critères d'évaluation secondaires. Le Tableau </w:t>
      </w:r>
      <w:r w:rsidR="00A239AE" w:rsidRPr="00961E0F">
        <w:rPr>
          <w:color w:val="000000"/>
          <w:szCs w:val="22"/>
          <w:lang w:val="fr-FR"/>
        </w:rPr>
        <w:t xml:space="preserve">2 </w:t>
      </w:r>
      <w:r w:rsidRPr="00961E0F">
        <w:rPr>
          <w:color w:val="000000"/>
          <w:szCs w:val="22"/>
          <w:lang w:val="fr-FR"/>
        </w:rPr>
        <w:t>présente les données relatives aux types de réponses.</w:t>
      </w:r>
    </w:p>
    <w:p w14:paraId="1C488701" w14:textId="77777777" w:rsidR="00EF4CB3" w:rsidRPr="00961E0F" w:rsidRDefault="00EF4CB3" w:rsidP="00EF4CB3">
      <w:pPr>
        <w:pStyle w:val="EndnoteText"/>
        <w:widowControl w:val="0"/>
        <w:rPr>
          <w:color w:val="000000"/>
          <w:szCs w:val="22"/>
          <w:lang w:val="fr-FR"/>
        </w:rPr>
      </w:pPr>
    </w:p>
    <w:p w14:paraId="256FEB96" w14:textId="77777777" w:rsidR="00EF4CB3" w:rsidRPr="00961E0F" w:rsidRDefault="00EF4CB3" w:rsidP="004B2956">
      <w:pPr>
        <w:pStyle w:val="EndnoteText"/>
        <w:keepNext/>
        <w:keepLines/>
        <w:widowControl w:val="0"/>
        <w:tabs>
          <w:tab w:val="clear" w:pos="567"/>
        </w:tabs>
        <w:ind w:left="1134" w:hanging="1134"/>
        <w:rPr>
          <w:b/>
          <w:color w:val="000000"/>
          <w:szCs w:val="22"/>
          <w:lang w:val="fr-FR"/>
        </w:rPr>
      </w:pPr>
      <w:r w:rsidRPr="00961E0F">
        <w:rPr>
          <w:b/>
          <w:color w:val="000000"/>
          <w:szCs w:val="22"/>
          <w:lang w:val="fr-FR"/>
        </w:rPr>
        <w:lastRenderedPageBreak/>
        <w:t>Tableau </w:t>
      </w:r>
      <w:r w:rsidR="00A239AE" w:rsidRPr="00961E0F">
        <w:rPr>
          <w:b/>
          <w:color w:val="000000"/>
          <w:szCs w:val="22"/>
          <w:lang w:val="fr-FR"/>
        </w:rPr>
        <w:t>2</w:t>
      </w:r>
      <w:r w:rsidRPr="00961E0F">
        <w:rPr>
          <w:b/>
          <w:color w:val="000000"/>
          <w:szCs w:val="22"/>
          <w:lang w:val="fr-FR"/>
        </w:rPr>
        <w:tab/>
        <w:t>Réponses observées dans l'étude portant sur les LMC de diagnostic récent (données à 84 mois)</w:t>
      </w:r>
    </w:p>
    <w:p w14:paraId="51AD9223" w14:textId="77777777" w:rsidR="00EF4CB3" w:rsidRPr="00961E0F" w:rsidRDefault="00EF4CB3" w:rsidP="004B2956">
      <w:pPr>
        <w:pStyle w:val="EndnoteText"/>
        <w:keepNext/>
        <w:widowControl w:val="0"/>
        <w:rPr>
          <w:color w:val="000000"/>
          <w:szCs w:val="22"/>
          <w:lang w:val="fr-F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693"/>
      </w:tblGrid>
      <w:tr w:rsidR="00EF4CB3" w:rsidRPr="00961E0F" w14:paraId="471639A1" w14:textId="77777777" w:rsidTr="004B2956">
        <w:trPr>
          <w:cantSplit/>
        </w:trPr>
        <w:tc>
          <w:tcPr>
            <w:tcW w:w="3794" w:type="dxa"/>
            <w:tcBorders>
              <w:top w:val="single" w:sz="4" w:space="0" w:color="auto"/>
              <w:left w:val="single" w:sz="4" w:space="0" w:color="auto"/>
              <w:bottom w:val="nil"/>
            </w:tcBorders>
          </w:tcPr>
          <w:p w14:paraId="0ACC2ED8"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Borders>
              <w:top w:val="single" w:sz="4" w:space="0" w:color="auto"/>
              <w:bottom w:val="nil"/>
            </w:tcBorders>
          </w:tcPr>
          <w:p w14:paraId="562DDE0C" w14:textId="77777777" w:rsidR="00EF4CB3" w:rsidRPr="00961E0F" w:rsidRDefault="00EF4CB3" w:rsidP="004B2956">
            <w:pPr>
              <w:pStyle w:val="TableCarCarCarCarCarCarCarCarCar"/>
              <w:keepLines w:val="0"/>
              <w:widowControl w:val="0"/>
              <w:spacing w:before="0" w:after="0"/>
              <w:jc w:val="center"/>
              <w:rPr>
                <w:rFonts w:ascii="Times New Roman" w:hAnsi="Times New Roman"/>
                <w:b/>
                <w:color w:val="000000"/>
                <w:szCs w:val="22"/>
                <w:lang w:val="en-GB"/>
              </w:rPr>
            </w:pPr>
            <w:r w:rsidRPr="00961E0F">
              <w:rPr>
                <w:rFonts w:ascii="Times New Roman" w:hAnsi="Times New Roman"/>
                <w:b/>
                <w:color w:val="000000"/>
                <w:szCs w:val="22"/>
                <w:lang w:val="en-GB"/>
              </w:rPr>
              <w:t>Glivec</w:t>
            </w:r>
          </w:p>
        </w:tc>
        <w:tc>
          <w:tcPr>
            <w:tcW w:w="2693" w:type="dxa"/>
            <w:tcBorders>
              <w:top w:val="single" w:sz="4" w:space="0" w:color="auto"/>
              <w:bottom w:val="nil"/>
              <w:right w:val="single" w:sz="4" w:space="0" w:color="auto"/>
            </w:tcBorders>
          </w:tcPr>
          <w:p w14:paraId="38AC5A6F" w14:textId="77777777" w:rsidR="00EF4CB3" w:rsidRPr="00961E0F" w:rsidRDefault="00EF4CB3" w:rsidP="004B2956">
            <w:pPr>
              <w:pStyle w:val="TableCarCarCarCarCarCarCarCarCar"/>
              <w:keepLines w:val="0"/>
              <w:widowControl w:val="0"/>
              <w:spacing w:before="0" w:after="0"/>
              <w:jc w:val="center"/>
              <w:rPr>
                <w:rFonts w:ascii="Times New Roman" w:hAnsi="Times New Roman"/>
                <w:b/>
                <w:color w:val="000000"/>
                <w:szCs w:val="22"/>
                <w:lang w:val="en-GB"/>
              </w:rPr>
            </w:pPr>
            <w:r w:rsidRPr="00961E0F">
              <w:rPr>
                <w:rFonts w:ascii="Times New Roman" w:hAnsi="Times New Roman"/>
                <w:b/>
                <w:color w:val="000000"/>
                <w:szCs w:val="22"/>
                <w:lang w:val="en-GB"/>
              </w:rPr>
              <w:t>IFN+Ara-C</w:t>
            </w:r>
          </w:p>
        </w:tc>
      </w:tr>
      <w:tr w:rsidR="00EF4CB3" w:rsidRPr="00961E0F" w14:paraId="56639C71" w14:textId="77777777" w:rsidTr="004B2956">
        <w:trPr>
          <w:cantSplit/>
        </w:trPr>
        <w:tc>
          <w:tcPr>
            <w:tcW w:w="3794" w:type="dxa"/>
            <w:tcBorders>
              <w:top w:val="nil"/>
              <w:left w:val="single" w:sz="4" w:space="0" w:color="auto"/>
              <w:bottom w:val="single" w:sz="4" w:space="0" w:color="auto"/>
            </w:tcBorders>
          </w:tcPr>
          <w:p w14:paraId="3AAD9F25" w14:textId="77777777" w:rsidR="00EF4CB3" w:rsidRPr="00961E0F" w:rsidRDefault="00EF4CB3" w:rsidP="004B2956">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(Meilleurs taux de réponse)</w:t>
            </w:r>
          </w:p>
        </w:tc>
        <w:tc>
          <w:tcPr>
            <w:tcW w:w="2693" w:type="dxa"/>
            <w:tcBorders>
              <w:top w:val="nil"/>
              <w:bottom w:val="single" w:sz="4" w:space="0" w:color="auto"/>
            </w:tcBorders>
          </w:tcPr>
          <w:p w14:paraId="31BF1720"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n=553</w:t>
            </w:r>
          </w:p>
        </w:tc>
        <w:tc>
          <w:tcPr>
            <w:tcW w:w="2693" w:type="dxa"/>
            <w:tcBorders>
              <w:top w:val="nil"/>
              <w:bottom w:val="single" w:sz="4" w:space="0" w:color="auto"/>
              <w:right w:val="single" w:sz="4" w:space="0" w:color="auto"/>
            </w:tcBorders>
          </w:tcPr>
          <w:p w14:paraId="0AE6E173"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n=553</w:t>
            </w:r>
          </w:p>
        </w:tc>
      </w:tr>
      <w:tr w:rsidR="00EF4CB3" w:rsidRPr="00961E0F" w14:paraId="0C1093E9" w14:textId="77777777" w:rsidTr="004B2956">
        <w:trPr>
          <w:cantSplit/>
        </w:trPr>
        <w:tc>
          <w:tcPr>
            <w:tcW w:w="3794" w:type="dxa"/>
            <w:tcBorders>
              <w:top w:val="nil"/>
              <w:left w:val="single" w:sz="4" w:space="0" w:color="auto"/>
            </w:tcBorders>
          </w:tcPr>
          <w:p w14:paraId="46758693" w14:textId="77777777" w:rsidR="00EF4CB3" w:rsidRPr="00961E0F" w:rsidRDefault="00EF4CB3" w:rsidP="004B2956">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Réponse hématologique</w:t>
            </w:r>
          </w:p>
        </w:tc>
        <w:tc>
          <w:tcPr>
            <w:tcW w:w="2693" w:type="dxa"/>
            <w:tcBorders>
              <w:top w:val="nil"/>
            </w:tcBorders>
          </w:tcPr>
          <w:p w14:paraId="25B881FB" w14:textId="77777777" w:rsidR="00EF4CB3" w:rsidRPr="00961E0F" w:rsidRDefault="00EF4CB3" w:rsidP="004B2956">
            <w:pPr>
              <w:pStyle w:val="TableCarCarCarCarCarCarCarCarCar"/>
              <w:keepLines w:val="0"/>
              <w:widowControl w:val="0"/>
              <w:spacing w:before="0" w:after="0"/>
              <w:jc w:val="center"/>
              <w:rPr>
                <w:rFonts w:ascii="Times New Roman" w:hAnsi="Times New Roman"/>
                <w:b/>
                <w:color w:val="000000"/>
                <w:szCs w:val="22"/>
                <w:lang w:val="fr-FR"/>
              </w:rPr>
            </w:pPr>
          </w:p>
        </w:tc>
        <w:tc>
          <w:tcPr>
            <w:tcW w:w="2693" w:type="dxa"/>
            <w:tcBorders>
              <w:top w:val="nil"/>
              <w:right w:val="single" w:sz="4" w:space="0" w:color="auto"/>
            </w:tcBorders>
          </w:tcPr>
          <w:p w14:paraId="325F4616" w14:textId="77777777" w:rsidR="00EF4CB3" w:rsidRPr="00961E0F" w:rsidRDefault="00EF4CB3" w:rsidP="004B2956">
            <w:pPr>
              <w:pStyle w:val="TableCarCarCarCarCarCarCarCarCar"/>
              <w:keepLines w:val="0"/>
              <w:widowControl w:val="0"/>
              <w:spacing w:before="0" w:after="0"/>
              <w:jc w:val="center"/>
              <w:rPr>
                <w:rFonts w:ascii="Times New Roman" w:hAnsi="Times New Roman"/>
                <w:b/>
                <w:color w:val="000000"/>
                <w:szCs w:val="22"/>
                <w:lang w:val="fr-FR"/>
              </w:rPr>
            </w:pPr>
          </w:p>
        </w:tc>
      </w:tr>
      <w:tr w:rsidR="00EF4CB3" w:rsidRPr="00961E0F" w14:paraId="091E49C8" w14:textId="77777777" w:rsidTr="004B2956">
        <w:trPr>
          <w:cantSplit/>
        </w:trPr>
        <w:tc>
          <w:tcPr>
            <w:tcW w:w="3794" w:type="dxa"/>
            <w:tcBorders>
              <w:top w:val="nil"/>
              <w:left w:val="single" w:sz="4" w:space="0" w:color="auto"/>
            </w:tcBorders>
          </w:tcPr>
          <w:p w14:paraId="730703EB"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Taux de RHC n (%)</w:t>
            </w:r>
          </w:p>
        </w:tc>
        <w:tc>
          <w:tcPr>
            <w:tcW w:w="2693" w:type="dxa"/>
            <w:tcBorders>
              <w:top w:val="nil"/>
            </w:tcBorders>
          </w:tcPr>
          <w:p w14:paraId="6F2E4A00"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534 (96,6%)*</w:t>
            </w:r>
          </w:p>
        </w:tc>
        <w:tc>
          <w:tcPr>
            <w:tcW w:w="2693" w:type="dxa"/>
            <w:tcBorders>
              <w:top w:val="nil"/>
              <w:right w:val="single" w:sz="4" w:space="0" w:color="auto"/>
            </w:tcBorders>
          </w:tcPr>
          <w:p w14:paraId="5DD9D71D"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313 (56,6%)*</w:t>
            </w:r>
          </w:p>
        </w:tc>
      </w:tr>
      <w:tr w:rsidR="00EF4CB3" w:rsidRPr="00961E0F" w14:paraId="610AB85C" w14:textId="77777777" w:rsidTr="004B2956">
        <w:trPr>
          <w:cantSplit/>
        </w:trPr>
        <w:tc>
          <w:tcPr>
            <w:tcW w:w="3794" w:type="dxa"/>
            <w:tcBorders>
              <w:left w:val="single" w:sz="4" w:space="0" w:color="auto"/>
            </w:tcBorders>
          </w:tcPr>
          <w:p w14:paraId="6A0133C1"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[95% IC]</w:t>
            </w:r>
          </w:p>
        </w:tc>
        <w:tc>
          <w:tcPr>
            <w:tcW w:w="2693" w:type="dxa"/>
          </w:tcPr>
          <w:p w14:paraId="4B2B527F"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[94,7%, 97,9%]</w:t>
            </w:r>
          </w:p>
        </w:tc>
        <w:tc>
          <w:tcPr>
            <w:tcW w:w="2693" w:type="dxa"/>
            <w:tcBorders>
              <w:right w:val="single" w:sz="4" w:space="0" w:color="auto"/>
            </w:tcBorders>
          </w:tcPr>
          <w:p w14:paraId="5808B4BE"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[52,4%, 60,8%]</w:t>
            </w:r>
          </w:p>
        </w:tc>
      </w:tr>
      <w:tr w:rsidR="00EF4CB3" w:rsidRPr="00961E0F" w14:paraId="305A3760" w14:textId="77777777" w:rsidTr="004B2956">
        <w:trPr>
          <w:cantSplit/>
        </w:trPr>
        <w:tc>
          <w:tcPr>
            <w:tcW w:w="3794" w:type="dxa"/>
            <w:tcBorders>
              <w:left w:val="single" w:sz="4" w:space="0" w:color="auto"/>
            </w:tcBorders>
          </w:tcPr>
          <w:p w14:paraId="734F8B5E"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Pr>
          <w:p w14:paraId="4DA28F35"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Borders>
              <w:right w:val="single" w:sz="4" w:space="0" w:color="auto"/>
            </w:tcBorders>
          </w:tcPr>
          <w:p w14:paraId="705CBA0B"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r>
      <w:tr w:rsidR="00EF4CB3" w:rsidRPr="00961E0F" w14:paraId="058F7448" w14:textId="77777777" w:rsidTr="004B2956">
        <w:trPr>
          <w:cantSplit/>
        </w:trPr>
        <w:tc>
          <w:tcPr>
            <w:tcW w:w="3794" w:type="dxa"/>
            <w:tcBorders>
              <w:left w:val="single" w:sz="4" w:space="0" w:color="auto"/>
            </w:tcBorders>
          </w:tcPr>
          <w:p w14:paraId="100B2FA0" w14:textId="77777777" w:rsidR="00EF4CB3" w:rsidRPr="00961E0F" w:rsidRDefault="00EF4CB3" w:rsidP="004B2956">
            <w:pPr>
              <w:pStyle w:val="TableCarCarCarCarCarCarCarCarCar"/>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Réponse cytogénétique</w:t>
            </w:r>
          </w:p>
        </w:tc>
        <w:tc>
          <w:tcPr>
            <w:tcW w:w="2693" w:type="dxa"/>
          </w:tcPr>
          <w:p w14:paraId="182EC71F" w14:textId="77777777" w:rsidR="00EF4CB3" w:rsidRPr="00961E0F" w:rsidRDefault="00EF4CB3" w:rsidP="004B2956">
            <w:pPr>
              <w:pStyle w:val="TableCarCarCarCarCarCarCarCarCar"/>
              <w:keepLines w:val="0"/>
              <w:widowControl w:val="0"/>
              <w:spacing w:before="0" w:after="0"/>
              <w:rPr>
                <w:rFonts w:ascii="Times New Roman" w:hAnsi="Times New Roman"/>
                <w:b/>
                <w:color w:val="000000"/>
                <w:szCs w:val="22"/>
                <w:lang w:val="fr-FR"/>
              </w:rPr>
            </w:pPr>
          </w:p>
        </w:tc>
        <w:tc>
          <w:tcPr>
            <w:tcW w:w="2693" w:type="dxa"/>
            <w:tcBorders>
              <w:right w:val="single" w:sz="4" w:space="0" w:color="auto"/>
            </w:tcBorders>
          </w:tcPr>
          <w:p w14:paraId="5599BA5D" w14:textId="77777777" w:rsidR="00EF4CB3" w:rsidRPr="00961E0F" w:rsidRDefault="00EF4CB3" w:rsidP="004B2956">
            <w:pPr>
              <w:pStyle w:val="TableCarCarCarCarCarCarCarCarCar"/>
              <w:keepLines w:val="0"/>
              <w:widowControl w:val="0"/>
              <w:spacing w:before="0" w:after="0"/>
              <w:rPr>
                <w:rFonts w:ascii="Times New Roman" w:hAnsi="Times New Roman"/>
                <w:b/>
                <w:color w:val="000000"/>
                <w:szCs w:val="22"/>
                <w:lang w:val="fr-FR"/>
              </w:rPr>
            </w:pPr>
          </w:p>
        </w:tc>
      </w:tr>
      <w:tr w:rsidR="00EF4CB3" w:rsidRPr="00961E0F" w14:paraId="20F60477" w14:textId="77777777" w:rsidTr="004B2956">
        <w:trPr>
          <w:cantSplit/>
        </w:trPr>
        <w:tc>
          <w:tcPr>
            <w:tcW w:w="3794" w:type="dxa"/>
            <w:tcBorders>
              <w:left w:val="single" w:sz="4" w:space="0" w:color="auto"/>
            </w:tcBorders>
          </w:tcPr>
          <w:p w14:paraId="6B6C903F"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n (%)</w:t>
            </w:r>
          </w:p>
        </w:tc>
        <w:tc>
          <w:tcPr>
            <w:tcW w:w="2693" w:type="dxa"/>
          </w:tcPr>
          <w:p w14:paraId="3EE6B387"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490 (88,6%)*</w:t>
            </w:r>
          </w:p>
        </w:tc>
        <w:tc>
          <w:tcPr>
            <w:tcW w:w="2693" w:type="dxa"/>
            <w:tcBorders>
              <w:right w:val="single" w:sz="4" w:space="0" w:color="auto"/>
            </w:tcBorders>
          </w:tcPr>
          <w:p w14:paraId="33821896"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129 (23,3%)*</w:t>
            </w:r>
          </w:p>
        </w:tc>
      </w:tr>
      <w:tr w:rsidR="00EF4CB3" w:rsidRPr="00961E0F" w14:paraId="7D523D6B" w14:textId="77777777" w:rsidTr="004B2956">
        <w:trPr>
          <w:cantSplit/>
        </w:trPr>
        <w:tc>
          <w:tcPr>
            <w:tcW w:w="3794" w:type="dxa"/>
            <w:tcBorders>
              <w:left w:val="single" w:sz="4" w:space="0" w:color="auto"/>
            </w:tcBorders>
          </w:tcPr>
          <w:p w14:paraId="19161822"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[95% IC]</w:t>
            </w:r>
          </w:p>
        </w:tc>
        <w:tc>
          <w:tcPr>
            <w:tcW w:w="2693" w:type="dxa"/>
          </w:tcPr>
          <w:p w14:paraId="7FA88E17"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[85,7%, 91,1%]</w:t>
            </w:r>
          </w:p>
        </w:tc>
        <w:tc>
          <w:tcPr>
            <w:tcW w:w="2693" w:type="dxa"/>
            <w:tcBorders>
              <w:right w:val="single" w:sz="4" w:space="0" w:color="auto"/>
            </w:tcBorders>
          </w:tcPr>
          <w:p w14:paraId="005FFBF9"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[19,9%, 27,1%]</w:t>
            </w:r>
          </w:p>
        </w:tc>
      </w:tr>
      <w:tr w:rsidR="00EF4CB3" w:rsidRPr="00961E0F" w14:paraId="15133F7D" w14:textId="77777777" w:rsidTr="004B2956">
        <w:trPr>
          <w:cantSplit/>
        </w:trPr>
        <w:tc>
          <w:tcPr>
            <w:tcW w:w="3794" w:type="dxa"/>
            <w:tcBorders>
              <w:left w:val="single" w:sz="4" w:space="0" w:color="auto"/>
            </w:tcBorders>
          </w:tcPr>
          <w:p w14:paraId="570B3A64"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RCy complète n (%)</w:t>
            </w:r>
          </w:p>
        </w:tc>
        <w:tc>
          <w:tcPr>
            <w:tcW w:w="2693" w:type="dxa"/>
          </w:tcPr>
          <w:p w14:paraId="64CBF49A"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456 (82,5%)*</w:t>
            </w:r>
          </w:p>
        </w:tc>
        <w:tc>
          <w:tcPr>
            <w:tcW w:w="2693" w:type="dxa"/>
            <w:tcBorders>
              <w:right w:val="single" w:sz="4" w:space="0" w:color="auto"/>
            </w:tcBorders>
          </w:tcPr>
          <w:p w14:paraId="7F73B5D2"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64 (11,6%)*</w:t>
            </w:r>
          </w:p>
        </w:tc>
      </w:tr>
      <w:tr w:rsidR="00EF4CB3" w:rsidRPr="00961E0F" w14:paraId="65778E49" w14:textId="77777777" w:rsidTr="004B2956">
        <w:trPr>
          <w:cantSplit/>
        </w:trPr>
        <w:tc>
          <w:tcPr>
            <w:tcW w:w="3794" w:type="dxa"/>
            <w:tcBorders>
              <w:left w:val="single" w:sz="4" w:space="0" w:color="auto"/>
            </w:tcBorders>
          </w:tcPr>
          <w:p w14:paraId="1E775E2D"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ab/>
              <w:t>RCy partielle n (%)</w:t>
            </w:r>
          </w:p>
        </w:tc>
        <w:tc>
          <w:tcPr>
            <w:tcW w:w="2693" w:type="dxa"/>
          </w:tcPr>
          <w:p w14:paraId="6464ADED"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34 (6,1%)</w:t>
            </w:r>
          </w:p>
        </w:tc>
        <w:tc>
          <w:tcPr>
            <w:tcW w:w="2693" w:type="dxa"/>
            <w:tcBorders>
              <w:right w:val="single" w:sz="4" w:space="0" w:color="auto"/>
            </w:tcBorders>
          </w:tcPr>
          <w:p w14:paraId="0571452D"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65 (11,8%)</w:t>
            </w:r>
          </w:p>
        </w:tc>
      </w:tr>
      <w:tr w:rsidR="00EF4CB3" w:rsidRPr="00961E0F" w14:paraId="0E89B96B" w14:textId="77777777" w:rsidTr="004B2956">
        <w:trPr>
          <w:cantSplit/>
        </w:trPr>
        <w:tc>
          <w:tcPr>
            <w:tcW w:w="3794" w:type="dxa"/>
            <w:tcBorders>
              <w:left w:val="single" w:sz="4" w:space="0" w:color="auto"/>
              <w:bottom w:val="nil"/>
            </w:tcBorders>
          </w:tcPr>
          <w:p w14:paraId="369A768A"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tcBorders>
          </w:tcPr>
          <w:p w14:paraId="5EC254D0"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right w:val="single" w:sz="4" w:space="0" w:color="auto"/>
            </w:tcBorders>
          </w:tcPr>
          <w:p w14:paraId="603C90BE"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r>
      <w:tr w:rsidR="00EF4CB3" w:rsidRPr="00961E0F" w14:paraId="2C766A31" w14:textId="77777777" w:rsidTr="004B2956">
        <w:trPr>
          <w:cantSplit/>
        </w:trPr>
        <w:tc>
          <w:tcPr>
            <w:tcW w:w="3794" w:type="dxa"/>
            <w:tcBorders>
              <w:left w:val="single" w:sz="4" w:space="0" w:color="auto"/>
              <w:bottom w:val="nil"/>
            </w:tcBorders>
          </w:tcPr>
          <w:p w14:paraId="549B0307"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Réponse moléculaire</w:t>
            </w:r>
            <w:r w:rsidRPr="00961E0F">
              <w:rPr>
                <w:rFonts w:ascii="Times New Roman" w:hAnsi="Times New Roman"/>
                <w:color w:val="000000"/>
                <w:szCs w:val="22"/>
                <w:lang w:val="fr-FR"/>
              </w:rPr>
              <w:t>**</w:t>
            </w:r>
          </w:p>
        </w:tc>
        <w:tc>
          <w:tcPr>
            <w:tcW w:w="2693" w:type="dxa"/>
            <w:tcBorders>
              <w:bottom w:val="nil"/>
            </w:tcBorders>
          </w:tcPr>
          <w:p w14:paraId="59D0167B"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c>
          <w:tcPr>
            <w:tcW w:w="2693" w:type="dxa"/>
            <w:tcBorders>
              <w:bottom w:val="nil"/>
              <w:right w:val="single" w:sz="4" w:space="0" w:color="auto"/>
            </w:tcBorders>
          </w:tcPr>
          <w:p w14:paraId="1EFB5EF4"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p>
        </w:tc>
      </w:tr>
      <w:tr w:rsidR="00EF4CB3" w:rsidRPr="00961E0F" w14:paraId="3B13DA8F" w14:textId="77777777" w:rsidTr="004B2956">
        <w:trPr>
          <w:cantSplit/>
        </w:trPr>
        <w:tc>
          <w:tcPr>
            <w:tcW w:w="3794" w:type="dxa"/>
            <w:tcBorders>
              <w:left w:val="single" w:sz="4" w:space="0" w:color="auto"/>
              <w:bottom w:val="nil"/>
            </w:tcBorders>
          </w:tcPr>
          <w:p w14:paraId="55D4B271"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12 mois (%)</w:t>
            </w:r>
          </w:p>
        </w:tc>
        <w:tc>
          <w:tcPr>
            <w:tcW w:w="2693" w:type="dxa"/>
            <w:tcBorders>
              <w:bottom w:val="nil"/>
            </w:tcBorders>
          </w:tcPr>
          <w:p w14:paraId="5BCE6E51"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153/305=50,2%</w:t>
            </w:r>
          </w:p>
        </w:tc>
        <w:tc>
          <w:tcPr>
            <w:tcW w:w="2693" w:type="dxa"/>
            <w:tcBorders>
              <w:bottom w:val="nil"/>
              <w:right w:val="single" w:sz="4" w:space="0" w:color="auto"/>
            </w:tcBorders>
          </w:tcPr>
          <w:p w14:paraId="196B0E64"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8/83=9,6%</w:t>
            </w:r>
          </w:p>
        </w:tc>
      </w:tr>
      <w:tr w:rsidR="00EF4CB3" w:rsidRPr="00961E0F" w14:paraId="6CD7B716" w14:textId="77777777" w:rsidTr="004B2956">
        <w:trPr>
          <w:cantSplit/>
        </w:trPr>
        <w:tc>
          <w:tcPr>
            <w:tcW w:w="3794" w:type="dxa"/>
            <w:tcBorders>
              <w:left w:val="single" w:sz="4" w:space="0" w:color="auto"/>
              <w:bottom w:val="nil"/>
            </w:tcBorders>
          </w:tcPr>
          <w:p w14:paraId="03B47DB0"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24 mois (%)</w:t>
            </w:r>
          </w:p>
        </w:tc>
        <w:tc>
          <w:tcPr>
            <w:tcW w:w="2693" w:type="dxa"/>
            <w:tcBorders>
              <w:bottom w:val="nil"/>
            </w:tcBorders>
          </w:tcPr>
          <w:p w14:paraId="3E468555"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73/104=70,2%</w:t>
            </w:r>
          </w:p>
        </w:tc>
        <w:tc>
          <w:tcPr>
            <w:tcW w:w="2693" w:type="dxa"/>
            <w:tcBorders>
              <w:bottom w:val="nil"/>
              <w:right w:val="single" w:sz="4" w:space="0" w:color="auto"/>
            </w:tcBorders>
          </w:tcPr>
          <w:p w14:paraId="3275D0CB" w14:textId="77777777" w:rsidR="00EF4CB3" w:rsidRPr="00961E0F" w:rsidRDefault="00EF4CB3" w:rsidP="004B2956">
            <w:pPr>
              <w:keepNext/>
              <w:jc w:val="center"/>
              <w:rPr>
                <w:rFonts w:ascii="Times New Roman" w:hAnsi="Times New Roman"/>
                <w:color w:val="000000"/>
                <w:szCs w:val="22"/>
              </w:rPr>
            </w:pPr>
            <w:r w:rsidRPr="00961E0F">
              <w:rPr>
                <w:rFonts w:ascii="Times New Roman" w:hAnsi="Times New Roman"/>
                <w:color w:val="000000"/>
                <w:szCs w:val="22"/>
              </w:rPr>
              <w:t>3/12=25%</w:t>
            </w:r>
          </w:p>
        </w:tc>
      </w:tr>
      <w:tr w:rsidR="00EF4CB3" w:rsidRPr="00961E0F" w14:paraId="45C90ADE" w14:textId="77777777" w:rsidTr="004B2956">
        <w:trPr>
          <w:cantSplit/>
        </w:trPr>
        <w:tc>
          <w:tcPr>
            <w:tcW w:w="3794" w:type="dxa"/>
            <w:tcBorders>
              <w:left w:val="single" w:sz="4" w:space="0" w:color="auto"/>
              <w:bottom w:val="nil"/>
            </w:tcBorders>
          </w:tcPr>
          <w:p w14:paraId="2A97C1CD" w14:textId="77777777" w:rsidR="00EF4CB3" w:rsidRPr="00961E0F" w:rsidRDefault="00EF4CB3" w:rsidP="004B2956">
            <w:pPr>
              <w:pStyle w:val="TableCarCarCarCarCarCarCarCarCar"/>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Réponse majeure à 84 mois (%)</w:t>
            </w:r>
          </w:p>
        </w:tc>
        <w:tc>
          <w:tcPr>
            <w:tcW w:w="2693" w:type="dxa"/>
            <w:tcBorders>
              <w:bottom w:val="nil"/>
            </w:tcBorders>
          </w:tcPr>
          <w:p w14:paraId="1AF2A43A"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lang w:val="fr-FR"/>
              </w:rPr>
              <w:t>102/116=87,9%</w:t>
            </w:r>
          </w:p>
        </w:tc>
        <w:tc>
          <w:tcPr>
            <w:tcW w:w="2693" w:type="dxa"/>
            <w:tcBorders>
              <w:bottom w:val="nil"/>
              <w:right w:val="single" w:sz="4" w:space="0" w:color="auto"/>
            </w:tcBorders>
          </w:tcPr>
          <w:p w14:paraId="6992F4DF" w14:textId="77777777" w:rsidR="00EF4CB3" w:rsidRPr="00961E0F" w:rsidRDefault="00EF4CB3" w:rsidP="004B2956">
            <w:pPr>
              <w:pStyle w:val="TableCarCarCarCarCarCarCarCarCar"/>
              <w:keepLines w:val="0"/>
              <w:widowControl w:val="0"/>
              <w:spacing w:before="0" w:after="0"/>
              <w:jc w:val="center"/>
              <w:rPr>
                <w:rFonts w:ascii="Times New Roman" w:hAnsi="Times New Roman"/>
                <w:color w:val="000000"/>
                <w:szCs w:val="22"/>
                <w:lang w:val="fr-FR"/>
              </w:rPr>
            </w:pPr>
            <w:r w:rsidRPr="00961E0F">
              <w:rPr>
                <w:rFonts w:ascii="Times New Roman" w:hAnsi="Times New Roman"/>
                <w:color w:val="000000"/>
                <w:szCs w:val="22"/>
              </w:rPr>
              <w:t>3/4=75</w:t>
            </w:r>
            <w:r w:rsidRPr="00961E0F">
              <w:rPr>
                <w:rFonts w:ascii="Times New Roman" w:hAnsi="Times New Roman"/>
                <w:color w:val="000000"/>
                <w:szCs w:val="22"/>
                <w:lang w:val="fr-FR"/>
              </w:rPr>
              <w:t>%</w:t>
            </w:r>
          </w:p>
        </w:tc>
      </w:tr>
      <w:tr w:rsidR="00EF4CB3" w:rsidRPr="00961E0F" w14:paraId="468434D0" w14:textId="77777777" w:rsidTr="004B2956">
        <w:trPr>
          <w:cantSplit/>
        </w:trPr>
        <w:tc>
          <w:tcPr>
            <w:tcW w:w="9180" w:type="dxa"/>
            <w:gridSpan w:val="3"/>
            <w:tcBorders>
              <w:top w:val="single" w:sz="4" w:space="0" w:color="auto"/>
              <w:left w:val="single" w:sz="4" w:space="0" w:color="auto"/>
              <w:bottom w:val="single" w:sz="4" w:space="0" w:color="auto"/>
              <w:right w:val="single" w:sz="4" w:space="0" w:color="auto"/>
            </w:tcBorders>
          </w:tcPr>
          <w:p w14:paraId="4CB2CA27" w14:textId="77777777" w:rsidR="00EF4CB3" w:rsidRPr="00961E0F" w:rsidRDefault="00EF4CB3" w:rsidP="00F84278">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 p&lt;0,001, Fischer’s exact test</w:t>
            </w:r>
          </w:p>
          <w:p w14:paraId="02021C67" w14:textId="77777777" w:rsidR="00EF4CB3" w:rsidRPr="00961E0F" w:rsidRDefault="00EF4CB3" w:rsidP="00F84278">
            <w:pPr>
              <w:pStyle w:val="TableCarCarCarCarCarCarCarCarCar"/>
              <w:keepNext w:val="0"/>
              <w:keepLines w:val="0"/>
              <w:widowControl w:val="0"/>
              <w:spacing w:before="0" w:after="0"/>
              <w:rPr>
                <w:rFonts w:ascii="Times New Roman" w:hAnsi="Times New Roman"/>
                <w:b/>
                <w:color w:val="000000"/>
                <w:szCs w:val="22"/>
                <w:lang w:val="fr-FR"/>
              </w:rPr>
            </w:pPr>
            <w:r w:rsidRPr="00961E0F">
              <w:rPr>
                <w:rFonts w:ascii="Times New Roman" w:hAnsi="Times New Roman"/>
                <w:color w:val="000000"/>
                <w:szCs w:val="22"/>
                <w:lang w:val="fr-FR"/>
              </w:rPr>
              <w:t>** les pourcentages de réponses moléculaires sont basés sur les prélèvements disponibles</w:t>
            </w:r>
          </w:p>
          <w:p w14:paraId="260853EA" w14:textId="77777777" w:rsidR="00EF4CB3" w:rsidRPr="00961E0F" w:rsidRDefault="00EF4CB3" w:rsidP="00F84278">
            <w:pPr>
              <w:pStyle w:val="TableCarCarCarCarCarCarCarCarCar"/>
              <w:keepNext w:val="0"/>
              <w:keepLines w:val="0"/>
              <w:widowControl w:val="0"/>
              <w:spacing w:before="0" w:after="0"/>
              <w:rPr>
                <w:rFonts w:ascii="Times New Roman" w:hAnsi="Times New Roman"/>
                <w:b/>
                <w:color w:val="000000"/>
                <w:szCs w:val="22"/>
                <w:lang w:val="fr-FR"/>
              </w:rPr>
            </w:pPr>
            <w:r w:rsidRPr="00961E0F">
              <w:rPr>
                <w:rFonts w:ascii="Times New Roman" w:hAnsi="Times New Roman"/>
                <w:b/>
                <w:color w:val="000000"/>
                <w:szCs w:val="22"/>
                <w:lang w:val="fr-FR"/>
              </w:rPr>
              <w:t xml:space="preserve">Critères de réponse hématologique (toutes les réponses devaient être confirmées après </w:t>
            </w:r>
            <w:r w:rsidRPr="00961E0F">
              <w:rPr>
                <w:rFonts w:ascii="Times New Roman" w:hAnsi="Times New Roman"/>
                <w:b/>
                <w:color w:val="000000"/>
                <w:szCs w:val="22"/>
                <w:lang w:val="fr-FR"/>
              </w:rPr>
              <w:sym w:font="Symbol" w:char="F0B3"/>
            </w:r>
            <w:r w:rsidRPr="00961E0F">
              <w:rPr>
                <w:rFonts w:ascii="Times New Roman" w:hAnsi="Times New Roman"/>
                <w:b/>
                <w:color w:val="000000"/>
                <w:szCs w:val="22"/>
                <w:lang w:val="fr-FR"/>
              </w:rPr>
              <w:t> 4 semaines) :</w:t>
            </w:r>
          </w:p>
          <w:p w14:paraId="28881034" w14:textId="77777777" w:rsidR="00EF4CB3" w:rsidRPr="00961E0F" w:rsidRDefault="00EF4CB3" w:rsidP="00F84278">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color w:val="000000"/>
                <w:szCs w:val="22"/>
                <w:lang w:val="fr-FR"/>
              </w:rPr>
              <w:t>Leucocytes&lt;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plaquettes &lt; 450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myélocytes+métamyélocytes &lt; 5% dans le sang, aucun blaste ni promyélocyte dans le sang, basophiles &lt; 20%, aucun envahissement extramédullaire.</w:t>
            </w:r>
          </w:p>
          <w:p w14:paraId="06E25D5B" w14:textId="77777777" w:rsidR="00EF4CB3" w:rsidRPr="00961E0F" w:rsidRDefault="00EF4CB3" w:rsidP="00F84278">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 xml:space="preserve">Critères de réponse cytogénétique : </w:t>
            </w:r>
            <w:r w:rsidRPr="00961E0F">
              <w:rPr>
                <w:rFonts w:ascii="Times New Roman" w:hAnsi="Times New Roman"/>
                <w:color w:val="000000"/>
                <w:szCs w:val="22"/>
                <w:lang w:val="fr-FR"/>
              </w:rPr>
              <w:t>complète (0% de métaphases Ph+ ), partielle (1–35%), mineure (36–65%) ou minime (66–95%). Une réponse majeure (0–35%) associe les réponses complètes ou partielles.</w:t>
            </w:r>
          </w:p>
          <w:p w14:paraId="352423F5" w14:textId="77777777" w:rsidR="00EF4CB3" w:rsidRPr="00961E0F" w:rsidRDefault="00EF4CB3" w:rsidP="00F84278">
            <w:pPr>
              <w:pStyle w:val="TableCarCarCarCarCarCarCarCarCar"/>
              <w:keepNext w:val="0"/>
              <w:keepLines w:val="0"/>
              <w:widowControl w:val="0"/>
              <w:spacing w:before="0" w:after="0"/>
              <w:rPr>
                <w:rFonts w:ascii="Times New Roman" w:hAnsi="Times New Roman"/>
                <w:color w:val="000000"/>
                <w:szCs w:val="22"/>
                <w:lang w:val="fr-FR"/>
              </w:rPr>
            </w:pPr>
            <w:r w:rsidRPr="00961E0F">
              <w:rPr>
                <w:rFonts w:ascii="Times New Roman" w:hAnsi="Times New Roman"/>
                <w:b/>
                <w:color w:val="000000"/>
                <w:szCs w:val="22"/>
                <w:lang w:val="fr-FR"/>
              </w:rPr>
              <w:t xml:space="preserve">Critères de réponse moléculaire majeure : </w:t>
            </w:r>
            <w:r w:rsidRPr="00961E0F">
              <w:rPr>
                <w:rFonts w:ascii="Times New Roman" w:hAnsi="Times New Roman"/>
                <w:color w:val="000000"/>
                <w:szCs w:val="22"/>
                <w:lang w:val="fr-FR"/>
              </w:rPr>
              <w:t xml:space="preserve">dans le sang périphérique, réduction d’au moins 3 log du taux de transcrit </w:t>
            </w:r>
            <w:smartTag w:uri="urn:schemas-microsoft-com:office:smarttags" w:element="stockticker">
              <w:r w:rsidRPr="00961E0F">
                <w:rPr>
                  <w:rFonts w:ascii="Times New Roman" w:hAnsi="Times New Roman"/>
                  <w:color w:val="000000"/>
                  <w:szCs w:val="22"/>
                  <w:lang w:val="fr-FR"/>
                </w:rPr>
                <w:t>BCR</w:t>
              </w:r>
            </w:smartTag>
            <w:r w:rsidRPr="00961E0F">
              <w:rPr>
                <w:rFonts w:ascii="Times New Roman" w:hAnsi="Times New Roman"/>
                <w:color w:val="000000"/>
                <w:szCs w:val="22"/>
                <w:lang w:val="fr-FR"/>
              </w:rPr>
              <w:t>-</w:t>
            </w:r>
            <w:smartTag w:uri="urn:schemas-microsoft-com:office:smarttags" w:element="stockticker">
              <w:r w:rsidRPr="00961E0F">
                <w:rPr>
                  <w:rFonts w:ascii="Times New Roman" w:hAnsi="Times New Roman"/>
                  <w:color w:val="000000"/>
                  <w:szCs w:val="22"/>
                  <w:lang w:val="fr-FR"/>
                </w:rPr>
                <w:t>ABL</w:t>
              </w:r>
            </w:smartTag>
            <w:r w:rsidRPr="00961E0F">
              <w:rPr>
                <w:rFonts w:ascii="Times New Roman" w:hAnsi="Times New Roman"/>
                <w:color w:val="000000"/>
                <w:szCs w:val="22"/>
                <w:lang w:val="fr-FR"/>
              </w:rPr>
              <w:t xml:space="preserve"> (mesuré par un test RT-</w:t>
            </w:r>
            <w:smartTag w:uri="urn:schemas-microsoft-com:office:smarttags" w:element="stockticker">
              <w:r w:rsidRPr="00961E0F">
                <w:rPr>
                  <w:rFonts w:ascii="Times New Roman" w:hAnsi="Times New Roman"/>
                  <w:color w:val="000000"/>
                  <w:szCs w:val="22"/>
                  <w:lang w:val="fr-FR"/>
                </w:rPr>
                <w:t>PCR</w:t>
              </w:r>
            </w:smartTag>
            <w:r w:rsidRPr="00961E0F">
              <w:rPr>
                <w:rFonts w:ascii="Times New Roman" w:hAnsi="Times New Roman"/>
                <w:color w:val="000000"/>
                <w:szCs w:val="22"/>
                <w:lang w:val="fr-FR"/>
              </w:rPr>
              <w:t xml:space="preserve"> quantitatif en temps réel) par rapport à une valeur de base standardisée.</w:t>
            </w:r>
          </w:p>
        </w:tc>
      </w:tr>
    </w:tbl>
    <w:p w14:paraId="58EADBFD" w14:textId="77777777" w:rsidR="00EF4CB3" w:rsidRPr="00961E0F" w:rsidRDefault="00EF4CB3" w:rsidP="00EF4CB3">
      <w:pPr>
        <w:pStyle w:val="EndnoteText"/>
        <w:widowControl w:val="0"/>
        <w:rPr>
          <w:color w:val="000000"/>
          <w:szCs w:val="22"/>
          <w:lang w:val="fr-FR"/>
        </w:rPr>
      </w:pPr>
    </w:p>
    <w:p w14:paraId="45065D3D" w14:textId="77777777" w:rsidR="00EF4CB3" w:rsidRPr="00961E0F" w:rsidRDefault="00EF4CB3" w:rsidP="00EF4CB3">
      <w:pPr>
        <w:pStyle w:val="EndnoteText"/>
        <w:widowControl w:val="0"/>
        <w:rPr>
          <w:color w:val="000000"/>
          <w:szCs w:val="22"/>
          <w:lang w:val="fr-FR"/>
        </w:rPr>
      </w:pPr>
      <w:r w:rsidRPr="00961E0F">
        <w:rPr>
          <w:color w:val="000000"/>
          <w:szCs w:val="22"/>
          <w:lang w:val="fr-FR"/>
        </w:rPr>
        <w:t>Les taux de réponse hématologique complète, de réponse cytogénétique majeure et de réponse cytogénétique complète au traitement en première ligne ont été estimés selon la méthode de Kaplan-Meier, avec laquelle les non-réponses sont censurées à la date du dernier examen. En utilisant cette approche, les taux estimés de réponse cumulée au traitement par Glivec en première ligne se sont améliorés de 12 mois à 84 mois respectivement comme suit : RHC de 96,4% à 98,4% et RCyC de 69,5% à 87,2%.</w:t>
      </w:r>
    </w:p>
    <w:p w14:paraId="2033CF52" w14:textId="77777777" w:rsidR="00EF4CB3" w:rsidRPr="00961E0F" w:rsidRDefault="00EF4CB3" w:rsidP="00EF4CB3">
      <w:pPr>
        <w:pStyle w:val="EndnoteText"/>
        <w:widowControl w:val="0"/>
        <w:rPr>
          <w:color w:val="000000"/>
          <w:szCs w:val="22"/>
          <w:lang w:val="fr-FR"/>
        </w:rPr>
      </w:pPr>
    </w:p>
    <w:p w14:paraId="7EA52E50" w14:textId="77777777" w:rsidR="00EF4CB3" w:rsidRPr="00961E0F" w:rsidRDefault="00EF4CB3" w:rsidP="00EF4CB3">
      <w:pPr>
        <w:pStyle w:val="EndnoteText"/>
        <w:widowControl w:val="0"/>
        <w:rPr>
          <w:color w:val="000000"/>
          <w:szCs w:val="22"/>
          <w:lang w:val="fr-FR"/>
        </w:rPr>
      </w:pPr>
      <w:r w:rsidRPr="00961E0F">
        <w:rPr>
          <w:color w:val="000000"/>
          <w:szCs w:val="22"/>
          <w:lang w:val="fr-FR"/>
        </w:rPr>
        <w:t xml:space="preserve">Dans les 7 ans de suivi, 93 (16,8%) progressions ont été observées dans le bras traité par Glivec : 37 (6,7%) étaient des progressions vers une phase accélérée ou une crise blastique, 31 (5,6%) étaient une perte de la réponse cytogénétique majeure, 15 (2,7%) étaient une perte de la réponse hématologique complète ou une augmentation du taux de leucocytes et 10 (1,8%) étaient des décès non liés à </w:t>
      </w:r>
      <w:smartTag w:uri="urn:schemas-microsoft-com:office:smarttags" w:element="PersonName">
        <w:smartTagPr>
          <w:attr w:name="ProductID" w:val="la LMC. Par"/>
        </w:smartTagPr>
        <w:r w:rsidRPr="00961E0F">
          <w:rPr>
            <w:color w:val="000000"/>
            <w:szCs w:val="22"/>
            <w:lang w:val="fr-FR"/>
          </w:rPr>
          <w:t>la LMC. Par</w:t>
        </w:r>
      </w:smartTag>
      <w:r w:rsidRPr="00961E0F">
        <w:rPr>
          <w:color w:val="000000"/>
          <w:szCs w:val="22"/>
          <w:lang w:val="fr-FR"/>
        </w:rPr>
        <w:t xml:space="preserve"> opposition, dans le bras traité par l’IFN+Ara-C 165 (29,8%) événements ont été observés dont 130 sont apparus au cours du traitement en première ligne par IFN+Ara-C.</w:t>
      </w:r>
    </w:p>
    <w:p w14:paraId="21EEB5BD" w14:textId="77777777" w:rsidR="00EF4CB3" w:rsidRPr="00961E0F" w:rsidRDefault="00EF4CB3" w:rsidP="00EF4CB3">
      <w:pPr>
        <w:pStyle w:val="EndnoteText"/>
        <w:widowControl w:val="0"/>
        <w:rPr>
          <w:color w:val="000000"/>
          <w:szCs w:val="22"/>
          <w:lang w:val="fr-FR"/>
        </w:rPr>
      </w:pPr>
    </w:p>
    <w:p w14:paraId="5DBEE51B" w14:textId="77777777" w:rsidR="00EF4CB3" w:rsidRPr="00961E0F" w:rsidRDefault="00EF4CB3" w:rsidP="00EF4CB3">
      <w:pPr>
        <w:pStyle w:val="EndnoteText"/>
        <w:widowControl w:val="0"/>
        <w:rPr>
          <w:color w:val="000000"/>
          <w:szCs w:val="22"/>
          <w:lang w:val="fr-FR"/>
        </w:rPr>
      </w:pPr>
      <w:r w:rsidRPr="00961E0F">
        <w:rPr>
          <w:color w:val="000000"/>
          <w:szCs w:val="22"/>
          <w:lang w:val="fr-FR"/>
        </w:rPr>
        <w:t>Le taux estimé de patients sans progression vers une phase accélérée ou une crise blastique à 84 mois est significativement plus élevé dans le bras avec Glivec par rapport au bras IFN (92,5% versus 85,1%, p&lt;0,001). Le taux annuel de progression vers une phase accélérée ou une crise blastique a diminué avec la durée de traitement, il était de moins de 1% par an dans la quatrième et cinquième année de traitement. Le taux estimé de survie sans progression à 84 mois était de 81,2% avec Glivec, contre 60,6% dans le groupe témoin (p&lt;0,001). Les taux annuels de progression, quel que soit le type de progression, par année de traitement par Glivec ont aussi diminué avec le temps.</w:t>
      </w:r>
    </w:p>
    <w:p w14:paraId="7F6827A7" w14:textId="77777777" w:rsidR="00EF4CB3" w:rsidRPr="00961E0F" w:rsidRDefault="00EF4CB3" w:rsidP="00EF4CB3">
      <w:pPr>
        <w:pStyle w:val="EndnoteText"/>
        <w:widowControl w:val="0"/>
        <w:rPr>
          <w:color w:val="000000"/>
          <w:szCs w:val="22"/>
          <w:lang w:val="fr-FR"/>
        </w:rPr>
      </w:pPr>
    </w:p>
    <w:p w14:paraId="59C6329E" w14:textId="77777777" w:rsidR="00EF4CB3" w:rsidRPr="00961E0F" w:rsidRDefault="00EF4CB3" w:rsidP="00EF4CB3">
      <w:pPr>
        <w:pStyle w:val="EndnoteText"/>
        <w:widowControl w:val="0"/>
        <w:rPr>
          <w:color w:val="000000"/>
          <w:szCs w:val="22"/>
          <w:lang w:val="fr-FR"/>
        </w:rPr>
      </w:pPr>
      <w:r w:rsidRPr="00961E0F">
        <w:rPr>
          <w:color w:val="000000"/>
          <w:szCs w:val="22"/>
          <w:lang w:val="fr-FR"/>
        </w:rPr>
        <w:t xml:space="preserve">Il y a eu au total 71 (12,8%) et 85 (15,4%) décès rapportés respectivement dans les groupes Glivec et IFN+Ara-C. A 84 mois, le taux de survie globale estimé est, de 86,4% (83, 90) et 83,3% (80, 87) dans les groupes randomisés traités par Glivec ou IFN+Ara-C (p=0,073, test log rank). Ce critère « délai </w:t>
      </w:r>
      <w:r w:rsidRPr="00961E0F">
        <w:rPr>
          <w:color w:val="000000"/>
          <w:szCs w:val="22"/>
          <w:lang w:val="fr-FR"/>
        </w:rPr>
        <w:lastRenderedPageBreak/>
        <w:t xml:space="preserve">jusqu’à l’événement » est fortement influencé par le taux élevé de cross-over du bras IFN+Ara-C vers le bras Glivec. L’effet du traitement par Glivec sur la survie des LMC en phase chronique nouvellement diagnostiquées a fait l’objet d’une évaluation supplémentaire avec une analyse rétrospective des données de Glivec rapportées ci-dessus avec celles issues d’une autre étude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étudiant IFN+Ara-C (n=325) selon un schéma thérapeutique identique. Dans cette analyse rétrospective, la supériorité de Glivec par rapport à l’IFN+Ara-C sur la survie globale a été démontrée (p&lt;0,001) ; à l’issue des 42 mois de suivi, 47 (8,5%) patients traités par Glivec et 63 (19,4%) patients traités par l’IFN+Ara-C sont décédés.</w:t>
      </w:r>
    </w:p>
    <w:p w14:paraId="2390C878" w14:textId="77777777" w:rsidR="00EF4CB3" w:rsidRPr="00961E0F" w:rsidRDefault="00EF4CB3" w:rsidP="00EF4CB3">
      <w:pPr>
        <w:pStyle w:val="EndnoteText"/>
        <w:widowControl w:val="0"/>
        <w:rPr>
          <w:color w:val="000000"/>
          <w:szCs w:val="22"/>
          <w:lang w:val="fr-FR"/>
        </w:rPr>
      </w:pPr>
    </w:p>
    <w:p w14:paraId="04675ABF" w14:textId="77777777" w:rsidR="00EF4CB3" w:rsidRPr="00961E0F" w:rsidRDefault="00EF4CB3" w:rsidP="00EF4CB3">
      <w:pPr>
        <w:pStyle w:val="EndnoteText"/>
        <w:widowControl w:val="0"/>
        <w:rPr>
          <w:color w:val="000000"/>
          <w:szCs w:val="22"/>
          <w:lang w:val="fr-FR"/>
        </w:rPr>
      </w:pPr>
      <w:r w:rsidRPr="00961E0F">
        <w:rPr>
          <w:color w:val="000000"/>
          <w:szCs w:val="22"/>
          <w:lang w:val="fr-FR"/>
        </w:rPr>
        <w:t xml:space="preserve">Le degré de réponse cytogénétique et de réponse moléculaire a montré un effet net sur le devenir à long terme des patients traités par Glivec. Alors que 96% (93%) des patients présentant une RCy complète (RCy partielle) à 12 mois n’avaient pas progressé vers une phase accélérée/crise blastique, uniquement 81% de patients ne présentant pas de RCy majeure à 12 mois, n’ont pas progressé vers le stade avancé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xml:space="preserve"> à 84 mois (p&lt;0,001 globale, p=0,25 entre RCy complète et RCy partielle). Chez les patients présentant une réduction d’au moins 3 log du taux de transcrit Bcr-Abl à 12 mois la probabilité de maintenir l’absence de progression vers la phase accélérée/crise blastique était de 99% à 84 mois. Des résultats similaires ont été mis en évidence avec une analyse landmark à 18 mois.</w:t>
      </w:r>
    </w:p>
    <w:p w14:paraId="0C10F8E1" w14:textId="77777777" w:rsidR="00EF4CB3" w:rsidRPr="00961E0F" w:rsidRDefault="00EF4CB3" w:rsidP="00EF4CB3">
      <w:pPr>
        <w:pStyle w:val="EndnoteText"/>
        <w:widowControl w:val="0"/>
        <w:rPr>
          <w:color w:val="000000"/>
          <w:szCs w:val="22"/>
          <w:lang w:val="fr-FR"/>
        </w:rPr>
      </w:pPr>
    </w:p>
    <w:p w14:paraId="022878A7" w14:textId="77777777" w:rsidR="00EF4CB3" w:rsidRPr="00961E0F" w:rsidRDefault="00EF4CB3" w:rsidP="00EF4CB3">
      <w:pPr>
        <w:pStyle w:val="EndnoteText"/>
        <w:widowControl w:val="0"/>
        <w:rPr>
          <w:color w:val="000000"/>
          <w:szCs w:val="22"/>
          <w:lang w:val="fr-FR"/>
        </w:rPr>
      </w:pPr>
      <w:r w:rsidRPr="00961E0F">
        <w:rPr>
          <w:color w:val="000000"/>
          <w:szCs w:val="22"/>
          <w:lang w:val="fr-FR"/>
        </w:rPr>
        <w:t>Dans cette étude, des augmentations de dose de 400 mg à 600 mg par jour, puis de 600 mg à 800 mg par jour ont été autorisées. Après 42 mois de suivi, une perte confirmée (dans les 4 semaines) de la réponse cytogénétique a été observée chez 11 patients. Parmi ces 11 patients, 4 patients ont eu une augmentation de dose jusqu’à 800 mg par jour et 2 d’entre eux ont obtenu de nouveau une réponse cytogénétique (1 partielle et 1 complète, cette dernière associée à une réponse moléculaire), tandis que parmi les 7 patients qui n’ont pas eu d’augmentation de doses, un seul patient a présenté de nouveau une réponse cytogénétique complète. Le pourcentage de certains effets indésirables observés était plus élevé chez les 40 patients dont la dose a été augmentée jusqu’à 800 mg par rapport aux patients observés avant toute augmentation de la dose (n=551). Les effets indésirables les plus fréquents ont été des hémorragies gastrointestinales, des conjonctivites et une augmentation des transaminases ou de la bilirubine. D’autres effets indésirables ont été rapportés à des fréquences plus faibles ou équivalentes.</w:t>
      </w:r>
    </w:p>
    <w:p w14:paraId="65A958E3" w14:textId="77777777" w:rsidR="00EF4CB3" w:rsidRPr="00961E0F" w:rsidRDefault="00EF4CB3" w:rsidP="00EF4CB3">
      <w:pPr>
        <w:pStyle w:val="EndnoteText"/>
        <w:widowControl w:val="0"/>
        <w:tabs>
          <w:tab w:val="clear" w:pos="567"/>
        </w:tabs>
        <w:rPr>
          <w:color w:val="000000"/>
          <w:szCs w:val="22"/>
          <w:lang w:val="fr-FR"/>
        </w:rPr>
      </w:pPr>
    </w:p>
    <w:p w14:paraId="2CC3DB7A"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 xml:space="preserve">Phase chronique, échec de l'interféron : </w:t>
      </w:r>
      <w:r w:rsidRPr="00961E0F">
        <w:rPr>
          <w:color w:val="000000"/>
          <w:szCs w:val="22"/>
          <w:lang w:val="fr-FR"/>
        </w:rPr>
        <w:t xml:space="preserve">532 patients adultes ont été traités avec une dose initiale de 400 mg. Les patients ont été répartis en trois catégories principales : échec hématologique (29%), échec cytogénétique (35%) ou intolérance à l'interféron (36%). Les patients avaient précédemment reçu un traitement par l’IFN à des doses </w:t>
      </w:r>
      <w:r w:rsidRPr="00961E0F">
        <w:rPr>
          <w:color w:val="000000"/>
          <w:szCs w:val="22"/>
          <w:lang w:val="fr-FR"/>
        </w:rPr>
        <w:sym w:font="Symbol" w:char="F0B3"/>
      </w:r>
      <w:r w:rsidRPr="00961E0F">
        <w:rPr>
          <w:color w:val="000000"/>
          <w:szCs w:val="22"/>
          <w:lang w:val="fr-FR"/>
        </w:rPr>
        <w:t> 25 x 10</w:t>
      </w:r>
      <w:r w:rsidRPr="00961E0F">
        <w:rPr>
          <w:color w:val="000000"/>
          <w:szCs w:val="22"/>
          <w:vertAlign w:val="superscript"/>
          <w:lang w:val="fr-FR"/>
        </w:rPr>
        <w:t>6</w:t>
      </w:r>
      <w:r w:rsidRPr="00961E0F">
        <w:rPr>
          <w:color w:val="000000"/>
          <w:szCs w:val="22"/>
          <w:lang w:val="fr-FR"/>
        </w:rPr>
        <w:t xml:space="preserve"> UI/semaine pendant une durée médiane de 14 mois et étaient tous en phase chronique tardive, avec un diagnostic établi depuis une durée médiane de 32 mois. Le critère principal d'efficacité de l'étude était le taux de réponse cytogénétique majeure (réponses complètes plus réponses partielles : 0 à 35% de métaphases Ph+ dans la moelle osseuse).</w:t>
      </w:r>
    </w:p>
    <w:p w14:paraId="70C7AE16" w14:textId="77777777" w:rsidR="00EF4CB3" w:rsidRPr="00961E0F" w:rsidRDefault="00EF4CB3" w:rsidP="00EF4CB3">
      <w:pPr>
        <w:pStyle w:val="EndnoteText"/>
        <w:widowControl w:val="0"/>
        <w:tabs>
          <w:tab w:val="clear" w:pos="567"/>
        </w:tabs>
        <w:rPr>
          <w:color w:val="000000"/>
          <w:szCs w:val="22"/>
          <w:lang w:val="fr-FR"/>
        </w:rPr>
      </w:pPr>
    </w:p>
    <w:p w14:paraId="376E68D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Dans cette étude, 65% des patients ont obtenu une réponse cytogénétique majeure, la réponse étant complète chez 53% (confirmée 43%) des patients (Tableau </w:t>
      </w:r>
      <w:r w:rsidR="00A239AE" w:rsidRPr="00961E0F">
        <w:rPr>
          <w:color w:val="000000"/>
          <w:szCs w:val="22"/>
          <w:lang w:val="fr-FR"/>
        </w:rPr>
        <w:t>3</w:t>
      </w:r>
      <w:r w:rsidRPr="00961E0F">
        <w:rPr>
          <w:color w:val="000000"/>
          <w:szCs w:val="22"/>
          <w:lang w:val="fr-FR"/>
        </w:rPr>
        <w:t>). Une réponse complète hématologique a été observée chez 95% des patients.</w:t>
      </w:r>
    </w:p>
    <w:p w14:paraId="21B9F5A0" w14:textId="77777777" w:rsidR="00EF4CB3" w:rsidRPr="00961E0F" w:rsidRDefault="00EF4CB3" w:rsidP="00EF4CB3">
      <w:pPr>
        <w:pStyle w:val="EndnoteText"/>
        <w:widowControl w:val="0"/>
        <w:tabs>
          <w:tab w:val="clear" w:pos="567"/>
        </w:tabs>
        <w:rPr>
          <w:color w:val="000000"/>
          <w:szCs w:val="22"/>
          <w:lang w:val="fr-FR"/>
        </w:rPr>
      </w:pPr>
    </w:p>
    <w:p w14:paraId="7610C0F5"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Phase accélérée </w:t>
      </w:r>
      <w:r w:rsidRPr="00961E0F">
        <w:rPr>
          <w:color w:val="000000"/>
          <w:szCs w:val="22"/>
          <w:lang w:val="fr-FR"/>
        </w:rPr>
        <w:t>: L'étude a inclus 235 patients adultes en phase accélérée. Les 77 premiers patients ont commencé le traitement à 400 mg. Par la suite, le protocole a été amendé pour autoriser une posologie plus élevée et les 158 patients suivants ont commencé le traitement à 600 mg.</w:t>
      </w:r>
    </w:p>
    <w:p w14:paraId="7BC75BEE" w14:textId="77777777" w:rsidR="00EF4CB3" w:rsidRPr="00961E0F" w:rsidRDefault="00EF4CB3" w:rsidP="00EF4CB3">
      <w:pPr>
        <w:pStyle w:val="EndnoteText"/>
        <w:widowControl w:val="0"/>
        <w:tabs>
          <w:tab w:val="clear" w:pos="567"/>
        </w:tabs>
        <w:rPr>
          <w:color w:val="000000"/>
          <w:szCs w:val="22"/>
          <w:lang w:val="fr-FR"/>
        </w:rPr>
      </w:pPr>
    </w:p>
    <w:p w14:paraId="2A1EAD14"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 critère principal d'efficacité était le taux de réponse hématologique, défini comme une réponse complète hématologique, ou bien une disparition des signes de leucémie (c’est à dire : disparition des blastes de la moelle osseuse et du sang, mais sans la récupération hématologique périphérique totale observée dans le cas de réponse complète), ou encore un retour en phase chronique de </w:t>
      </w:r>
      <w:smartTag w:uri="urn:schemas-microsoft-com:office:smarttags" w:element="PersonName">
        <w:smartTagPr>
          <w:attr w:name="ProductID" w:val="la LMC. Une"/>
        </w:smartTagPr>
        <w:r w:rsidRPr="00961E0F">
          <w:rPr>
            <w:color w:val="000000"/>
            <w:szCs w:val="22"/>
            <w:lang w:val="fr-FR"/>
          </w:rPr>
          <w:t>la LMC. Une</w:t>
        </w:r>
      </w:smartTag>
      <w:r w:rsidRPr="00961E0F">
        <w:rPr>
          <w:color w:val="000000"/>
          <w:szCs w:val="22"/>
          <w:lang w:val="fr-FR"/>
        </w:rPr>
        <w:t xml:space="preserve"> réponse hématologique confirmée a été obtenue chez 71,5% des patients (Tableau </w:t>
      </w:r>
      <w:r w:rsidR="00A239AE" w:rsidRPr="00961E0F">
        <w:rPr>
          <w:color w:val="000000"/>
          <w:szCs w:val="22"/>
          <w:lang w:val="fr-FR"/>
        </w:rPr>
        <w:t>3</w:t>
      </w:r>
      <w:r w:rsidRPr="00961E0F">
        <w:rPr>
          <w:color w:val="000000"/>
          <w:szCs w:val="22"/>
          <w:lang w:val="fr-FR"/>
        </w:rPr>
        <w:t>). Fait important, 27,7% des patients ont également présenté une réponse cytogénétique majeure, qui a été complète chez 20,4% des patients (confirmée 16%). Pour les patients ayant reçu une dose de 600 mg, les estimations actuelles de la médiane de survie sans progression et de la survie globale ont été de 22,9 mois et 42,5 mois respectivement.</w:t>
      </w:r>
    </w:p>
    <w:p w14:paraId="75E2963A" w14:textId="77777777" w:rsidR="00EF4CB3" w:rsidRPr="00961E0F" w:rsidRDefault="00EF4CB3" w:rsidP="00EF4CB3">
      <w:pPr>
        <w:pStyle w:val="EndnoteText"/>
        <w:widowControl w:val="0"/>
        <w:tabs>
          <w:tab w:val="clear" w:pos="567"/>
        </w:tabs>
        <w:rPr>
          <w:color w:val="000000"/>
          <w:szCs w:val="22"/>
          <w:lang w:val="fr-FR"/>
        </w:rPr>
      </w:pPr>
    </w:p>
    <w:p w14:paraId="10AA3798"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Crise blastique myéloïde :</w:t>
      </w:r>
      <w:r w:rsidRPr="00961E0F">
        <w:rPr>
          <w:color w:val="000000"/>
          <w:szCs w:val="22"/>
          <w:lang w:val="fr-FR"/>
        </w:rPr>
        <w:t xml:space="preserve"> 260 patients en crise blastique myéloïde ont été inclus. 95 patients (37%) </w:t>
      </w:r>
      <w:r w:rsidRPr="00961E0F">
        <w:rPr>
          <w:color w:val="000000"/>
          <w:szCs w:val="22"/>
          <w:lang w:val="fr-FR"/>
        </w:rPr>
        <w:lastRenderedPageBreak/>
        <w:t>avaient reçu une chimiothérapie (« patients prétraités ») comme traitement antérieur d’une phase accélérée ou d’une crise blastique alors que 165 (63%) n'en avaient pas reçu (« patients non prétraités »). Les 37 premiers patients ont débuté le traitement à 400 mg. Le protocole a ensuite été amendé pour permettre une posologie plus élevée, et les 223 patients suivants ont reçu une dose initiale de 600 mg.</w:t>
      </w:r>
    </w:p>
    <w:p w14:paraId="6D2373E5" w14:textId="77777777" w:rsidR="00EF4CB3" w:rsidRPr="00961E0F" w:rsidRDefault="00EF4CB3" w:rsidP="00EF4CB3">
      <w:pPr>
        <w:pStyle w:val="EndnoteText"/>
        <w:widowControl w:val="0"/>
        <w:tabs>
          <w:tab w:val="clear" w:pos="567"/>
        </w:tabs>
        <w:rPr>
          <w:color w:val="000000"/>
          <w:szCs w:val="22"/>
          <w:lang w:val="fr-FR"/>
        </w:rPr>
      </w:pPr>
    </w:p>
    <w:p w14:paraId="04220272"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 critère principal d'efficacité était le taux de réponse hématologique, défini comme soit une réponse complète hématologique, soit une disparition des signes de leucémie, soit un retour en phase chronique de </w:t>
      </w:r>
      <w:smartTag w:uri="urn:schemas-microsoft-com:office:smarttags" w:element="PersonName">
        <w:smartTagPr>
          <w:attr w:name="ProductID" w:val="la LMC"/>
        </w:smartTagPr>
        <w:r w:rsidRPr="00961E0F">
          <w:rPr>
            <w:color w:val="000000"/>
            <w:szCs w:val="22"/>
            <w:lang w:val="fr-FR"/>
          </w:rPr>
          <w:t>la LMC</w:t>
        </w:r>
      </w:smartTag>
      <w:r w:rsidRPr="00961E0F">
        <w:rPr>
          <w:color w:val="000000"/>
          <w:szCs w:val="22"/>
          <w:lang w:val="fr-FR"/>
        </w:rPr>
        <w:t>, selon les mêmes critères que ceux de l’étude menée chez des patients en phase accélérée. Dans cette étude, 31% des patients ont obtenu une réponse hématologique (36% chez les patients non prétraités et 22% chez les patients prétraités). Le taux de réponse a également été supérieur chez les patients traités par 600 mg (33%) par rapport aux patients traités par 400 mg (16%, p=0,0220). L'estimation actuelle de la médiane de survie des patients non prétraités est de 7,7 mois, contre 4,7 mois chez les patients prétraités.</w:t>
      </w:r>
    </w:p>
    <w:p w14:paraId="27C47268" w14:textId="77777777" w:rsidR="00EF4CB3" w:rsidRPr="00961E0F" w:rsidRDefault="00EF4CB3" w:rsidP="00EF4CB3">
      <w:pPr>
        <w:pStyle w:val="EndnoteText"/>
        <w:widowControl w:val="0"/>
        <w:tabs>
          <w:tab w:val="clear" w:pos="567"/>
        </w:tabs>
        <w:rPr>
          <w:color w:val="000000"/>
          <w:szCs w:val="22"/>
          <w:lang w:val="fr-FR"/>
        </w:rPr>
      </w:pPr>
    </w:p>
    <w:p w14:paraId="3665D2F4"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Crise blastique lymphoïde</w:t>
      </w:r>
      <w:r w:rsidRPr="00961E0F">
        <w:rPr>
          <w:color w:val="000000"/>
          <w:szCs w:val="22"/>
          <w:lang w:val="fr-FR"/>
        </w:rPr>
        <w:t> : un nombre limité de patients ont été inclus dans les études de phase I (n=10). Le taux de réponse hématologique était de 70% sur une durée de 2 à 3 mois.</w:t>
      </w:r>
    </w:p>
    <w:p w14:paraId="7B5AA5F1" w14:textId="77777777" w:rsidR="00EF4CB3" w:rsidRPr="00961E0F" w:rsidRDefault="00EF4CB3" w:rsidP="00EF4CB3">
      <w:pPr>
        <w:pStyle w:val="EndnoteText"/>
        <w:widowControl w:val="0"/>
        <w:tabs>
          <w:tab w:val="clear" w:pos="567"/>
        </w:tabs>
        <w:rPr>
          <w:color w:val="000000"/>
          <w:szCs w:val="22"/>
          <w:lang w:val="fr-FR"/>
        </w:rPr>
      </w:pPr>
    </w:p>
    <w:p w14:paraId="5F9CFD71" w14:textId="77777777" w:rsidR="00EF4CB3" w:rsidRPr="00961E0F" w:rsidRDefault="00EF4CB3" w:rsidP="004B2956">
      <w:pPr>
        <w:pStyle w:val="EndnoteText"/>
        <w:keepNext/>
        <w:widowControl w:val="0"/>
        <w:tabs>
          <w:tab w:val="clear" w:pos="567"/>
        </w:tabs>
        <w:ind w:left="1134" w:hanging="1134"/>
        <w:rPr>
          <w:b/>
          <w:color w:val="000000"/>
          <w:szCs w:val="22"/>
          <w:lang w:val="fr-FR"/>
        </w:rPr>
      </w:pPr>
      <w:r w:rsidRPr="00961E0F">
        <w:rPr>
          <w:b/>
          <w:color w:val="000000"/>
          <w:szCs w:val="22"/>
          <w:lang w:val="fr-FR"/>
        </w:rPr>
        <w:t>Tableau </w:t>
      </w:r>
      <w:r w:rsidR="00A239AE" w:rsidRPr="00961E0F">
        <w:rPr>
          <w:b/>
          <w:color w:val="000000"/>
          <w:szCs w:val="22"/>
          <w:lang w:val="fr-FR"/>
        </w:rPr>
        <w:t>3</w:t>
      </w:r>
      <w:r w:rsidRPr="00961E0F">
        <w:rPr>
          <w:b/>
          <w:color w:val="000000"/>
          <w:szCs w:val="22"/>
          <w:lang w:val="fr-FR"/>
        </w:rPr>
        <w:tab/>
        <w:t>Réponses dans les études LMC chez l’adulte</w:t>
      </w:r>
    </w:p>
    <w:p w14:paraId="24B3D1A9" w14:textId="77777777" w:rsidR="00EF4CB3" w:rsidRPr="00961E0F" w:rsidRDefault="00EF4CB3" w:rsidP="004B2956">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EF4CB3" w:rsidRPr="00961E0F" w14:paraId="297BDCB8" w14:textId="77777777" w:rsidTr="004B2956">
        <w:trPr>
          <w:cantSplit/>
          <w:trHeight w:val="1086"/>
        </w:trPr>
        <w:tc>
          <w:tcPr>
            <w:tcW w:w="3227" w:type="dxa"/>
            <w:tcBorders>
              <w:bottom w:val="nil"/>
            </w:tcBorders>
          </w:tcPr>
          <w:p w14:paraId="217F12AB" w14:textId="77777777" w:rsidR="00EF4CB3" w:rsidRPr="00961E0F" w:rsidRDefault="00EF4CB3" w:rsidP="004B2956">
            <w:pPr>
              <w:pStyle w:val="EndnoteText"/>
              <w:keepNext/>
              <w:widowControl w:val="0"/>
              <w:tabs>
                <w:tab w:val="clear" w:pos="567"/>
              </w:tabs>
              <w:rPr>
                <w:color w:val="000000"/>
                <w:szCs w:val="22"/>
                <w:lang w:val="fr-FR"/>
              </w:rPr>
            </w:pPr>
          </w:p>
        </w:tc>
        <w:tc>
          <w:tcPr>
            <w:tcW w:w="1898" w:type="dxa"/>
            <w:tcBorders>
              <w:bottom w:val="nil"/>
            </w:tcBorders>
          </w:tcPr>
          <w:p w14:paraId="22FBEE88"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Etude 0110</w:t>
            </w:r>
          </w:p>
          <w:p w14:paraId="35FAAB07"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Données à 37 mois</w:t>
            </w:r>
          </w:p>
          <w:p w14:paraId="6C7FFA4A"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Phase chronique, échec IFN</w:t>
            </w:r>
          </w:p>
          <w:p w14:paraId="04B1E56B"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(n=532)</w:t>
            </w:r>
          </w:p>
        </w:tc>
        <w:tc>
          <w:tcPr>
            <w:tcW w:w="1985" w:type="dxa"/>
            <w:tcBorders>
              <w:bottom w:val="nil"/>
            </w:tcBorders>
          </w:tcPr>
          <w:p w14:paraId="37BAE927"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Etude 0109</w:t>
            </w:r>
          </w:p>
          <w:p w14:paraId="188F4840"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Données à 40,5 mois</w:t>
            </w:r>
          </w:p>
          <w:p w14:paraId="4BD372E0"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Phase accélérée</w:t>
            </w:r>
          </w:p>
          <w:p w14:paraId="09EADAFD"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(n=235)</w:t>
            </w:r>
          </w:p>
        </w:tc>
        <w:tc>
          <w:tcPr>
            <w:tcW w:w="1929" w:type="dxa"/>
            <w:tcBorders>
              <w:bottom w:val="nil"/>
            </w:tcBorders>
          </w:tcPr>
          <w:p w14:paraId="11DFC6B3"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Etude 0102</w:t>
            </w:r>
          </w:p>
          <w:p w14:paraId="50D669A3"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Données à 38 mois</w:t>
            </w:r>
          </w:p>
          <w:p w14:paraId="4C9F7D49"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Crise blastique myéloïde</w:t>
            </w:r>
          </w:p>
          <w:p w14:paraId="1D964904"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(n=260)</w:t>
            </w:r>
          </w:p>
        </w:tc>
      </w:tr>
      <w:tr w:rsidR="00EF4CB3" w:rsidRPr="00961E0F" w14:paraId="6BB16272" w14:textId="77777777" w:rsidTr="004B2956">
        <w:trPr>
          <w:cantSplit/>
        </w:trPr>
        <w:tc>
          <w:tcPr>
            <w:tcW w:w="3227" w:type="dxa"/>
            <w:tcBorders>
              <w:bottom w:val="nil"/>
            </w:tcBorders>
          </w:tcPr>
          <w:p w14:paraId="0FCF5683" w14:textId="77777777" w:rsidR="00EF4CB3" w:rsidRPr="00961E0F" w:rsidRDefault="00EF4CB3" w:rsidP="004B2956">
            <w:pPr>
              <w:pStyle w:val="EndnoteText"/>
              <w:keepNext/>
              <w:widowControl w:val="0"/>
              <w:tabs>
                <w:tab w:val="clear" w:pos="567"/>
              </w:tabs>
              <w:rPr>
                <w:color w:val="000000"/>
                <w:szCs w:val="22"/>
                <w:lang w:val="fr-FR"/>
              </w:rPr>
            </w:pPr>
          </w:p>
        </w:tc>
        <w:tc>
          <w:tcPr>
            <w:tcW w:w="5812" w:type="dxa"/>
            <w:gridSpan w:val="3"/>
            <w:tcBorders>
              <w:bottom w:val="nil"/>
            </w:tcBorders>
          </w:tcPr>
          <w:p w14:paraId="2036A700"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 des patients (IC 95%)</w:t>
            </w:r>
          </w:p>
        </w:tc>
      </w:tr>
      <w:tr w:rsidR="00EF4CB3" w:rsidRPr="00961E0F" w14:paraId="03562E33" w14:textId="77777777" w:rsidTr="004B2956">
        <w:trPr>
          <w:cantSplit/>
        </w:trPr>
        <w:tc>
          <w:tcPr>
            <w:tcW w:w="3227" w:type="dxa"/>
            <w:tcBorders>
              <w:bottom w:val="nil"/>
            </w:tcBorders>
          </w:tcPr>
          <w:p w14:paraId="0F1A9924" w14:textId="77777777" w:rsidR="00EF4CB3" w:rsidRPr="00961E0F" w:rsidRDefault="00EF4CB3" w:rsidP="004B2956">
            <w:pPr>
              <w:pStyle w:val="EndnoteText"/>
              <w:keepNext/>
              <w:widowControl w:val="0"/>
              <w:tabs>
                <w:tab w:val="clear" w:pos="567"/>
              </w:tabs>
              <w:rPr>
                <w:color w:val="000000"/>
                <w:szCs w:val="22"/>
                <w:lang w:val="fr-FR"/>
              </w:rPr>
            </w:pPr>
            <w:r w:rsidRPr="00961E0F">
              <w:rPr>
                <w:color w:val="000000"/>
                <w:szCs w:val="22"/>
                <w:lang w:val="fr-FR"/>
              </w:rPr>
              <w:t>Réponse hématologique</w:t>
            </w:r>
            <w:r w:rsidRPr="00961E0F">
              <w:rPr>
                <w:color w:val="000000"/>
                <w:szCs w:val="22"/>
                <w:vertAlign w:val="superscript"/>
                <w:lang w:val="fr-FR"/>
              </w:rPr>
              <w:t>1</w:t>
            </w:r>
          </w:p>
        </w:tc>
        <w:tc>
          <w:tcPr>
            <w:tcW w:w="1898" w:type="dxa"/>
            <w:tcBorders>
              <w:bottom w:val="nil"/>
            </w:tcBorders>
          </w:tcPr>
          <w:p w14:paraId="0A71B8F2"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95% (92,3–96,3)</w:t>
            </w:r>
          </w:p>
        </w:tc>
        <w:tc>
          <w:tcPr>
            <w:tcW w:w="1985" w:type="dxa"/>
            <w:tcBorders>
              <w:bottom w:val="nil"/>
            </w:tcBorders>
          </w:tcPr>
          <w:p w14:paraId="47D0DE9A"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71% (65,3–77,2)</w:t>
            </w:r>
          </w:p>
        </w:tc>
        <w:tc>
          <w:tcPr>
            <w:tcW w:w="1929" w:type="dxa"/>
            <w:tcBorders>
              <w:bottom w:val="nil"/>
            </w:tcBorders>
          </w:tcPr>
          <w:p w14:paraId="32F886BF"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31%(25,2–36,8)</w:t>
            </w:r>
          </w:p>
        </w:tc>
      </w:tr>
      <w:tr w:rsidR="00EF4CB3" w:rsidRPr="00961E0F" w14:paraId="697F2BFF" w14:textId="77777777" w:rsidTr="004B2956">
        <w:trPr>
          <w:cantSplit/>
        </w:trPr>
        <w:tc>
          <w:tcPr>
            <w:tcW w:w="3227" w:type="dxa"/>
            <w:tcBorders>
              <w:top w:val="nil"/>
              <w:bottom w:val="nil"/>
            </w:tcBorders>
          </w:tcPr>
          <w:p w14:paraId="1C3701B8"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Réponse complète hématologique (RCH)</w:t>
            </w:r>
          </w:p>
        </w:tc>
        <w:tc>
          <w:tcPr>
            <w:tcW w:w="1898" w:type="dxa"/>
            <w:tcBorders>
              <w:top w:val="nil"/>
              <w:bottom w:val="nil"/>
            </w:tcBorders>
          </w:tcPr>
          <w:p w14:paraId="0549A340"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95%</w:t>
            </w:r>
          </w:p>
        </w:tc>
        <w:tc>
          <w:tcPr>
            <w:tcW w:w="1985" w:type="dxa"/>
            <w:tcBorders>
              <w:top w:val="nil"/>
              <w:bottom w:val="nil"/>
            </w:tcBorders>
          </w:tcPr>
          <w:p w14:paraId="75087296"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42%</w:t>
            </w:r>
          </w:p>
        </w:tc>
        <w:tc>
          <w:tcPr>
            <w:tcW w:w="1929" w:type="dxa"/>
            <w:tcBorders>
              <w:top w:val="nil"/>
              <w:bottom w:val="nil"/>
            </w:tcBorders>
          </w:tcPr>
          <w:p w14:paraId="6020E85D"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8%</w:t>
            </w:r>
          </w:p>
        </w:tc>
      </w:tr>
      <w:tr w:rsidR="00EF4CB3" w:rsidRPr="00961E0F" w14:paraId="004CC533" w14:textId="77777777" w:rsidTr="004B2956">
        <w:trPr>
          <w:cantSplit/>
        </w:trPr>
        <w:tc>
          <w:tcPr>
            <w:tcW w:w="3227" w:type="dxa"/>
            <w:tcBorders>
              <w:top w:val="nil"/>
              <w:bottom w:val="nil"/>
            </w:tcBorders>
          </w:tcPr>
          <w:p w14:paraId="4EC7CB46"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Absence de signe de leucémie (</w:t>
            </w:r>
            <w:smartTag w:uri="urn:schemas-microsoft-com:office:smarttags" w:element="stockticker">
              <w:r w:rsidRPr="00961E0F">
                <w:rPr>
                  <w:color w:val="000000"/>
                  <w:szCs w:val="22"/>
                  <w:lang w:val="fr-FR"/>
                </w:rPr>
                <w:t>ASL</w:t>
              </w:r>
            </w:smartTag>
            <w:r w:rsidRPr="00961E0F">
              <w:rPr>
                <w:color w:val="000000"/>
                <w:szCs w:val="22"/>
                <w:lang w:val="fr-FR"/>
              </w:rPr>
              <w:t>)</w:t>
            </w:r>
          </w:p>
        </w:tc>
        <w:tc>
          <w:tcPr>
            <w:tcW w:w="1898" w:type="dxa"/>
            <w:tcBorders>
              <w:top w:val="nil"/>
              <w:bottom w:val="nil"/>
            </w:tcBorders>
          </w:tcPr>
          <w:p w14:paraId="61CE1D03"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Sans objet</w:t>
            </w:r>
          </w:p>
        </w:tc>
        <w:tc>
          <w:tcPr>
            <w:tcW w:w="1985" w:type="dxa"/>
            <w:tcBorders>
              <w:top w:val="nil"/>
              <w:bottom w:val="nil"/>
            </w:tcBorders>
          </w:tcPr>
          <w:p w14:paraId="3B3BDB19"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12%</w:t>
            </w:r>
          </w:p>
        </w:tc>
        <w:tc>
          <w:tcPr>
            <w:tcW w:w="1929" w:type="dxa"/>
            <w:tcBorders>
              <w:top w:val="nil"/>
              <w:bottom w:val="nil"/>
            </w:tcBorders>
          </w:tcPr>
          <w:p w14:paraId="02513437"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5%</w:t>
            </w:r>
          </w:p>
        </w:tc>
      </w:tr>
      <w:tr w:rsidR="00EF4CB3" w:rsidRPr="00961E0F" w14:paraId="6B176B94" w14:textId="77777777" w:rsidTr="004B2956">
        <w:trPr>
          <w:cantSplit/>
          <w:trHeight w:val="618"/>
        </w:trPr>
        <w:tc>
          <w:tcPr>
            <w:tcW w:w="3227" w:type="dxa"/>
            <w:tcBorders>
              <w:top w:val="nil"/>
              <w:bottom w:val="nil"/>
            </w:tcBorders>
          </w:tcPr>
          <w:p w14:paraId="1C35F73F"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Retour à la phase chronique (RPC)</w:t>
            </w:r>
          </w:p>
        </w:tc>
        <w:tc>
          <w:tcPr>
            <w:tcW w:w="1898" w:type="dxa"/>
            <w:tcBorders>
              <w:top w:val="nil"/>
              <w:bottom w:val="nil"/>
            </w:tcBorders>
          </w:tcPr>
          <w:p w14:paraId="5D5ADB76"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Sans objet</w:t>
            </w:r>
          </w:p>
        </w:tc>
        <w:tc>
          <w:tcPr>
            <w:tcW w:w="1985" w:type="dxa"/>
            <w:tcBorders>
              <w:top w:val="nil"/>
              <w:bottom w:val="nil"/>
            </w:tcBorders>
          </w:tcPr>
          <w:p w14:paraId="01A21490"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17%</w:t>
            </w:r>
          </w:p>
        </w:tc>
        <w:tc>
          <w:tcPr>
            <w:tcW w:w="1929" w:type="dxa"/>
            <w:tcBorders>
              <w:top w:val="nil"/>
              <w:bottom w:val="nil"/>
            </w:tcBorders>
          </w:tcPr>
          <w:p w14:paraId="41FB91DC"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18%</w:t>
            </w:r>
          </w:p>
        </w:tc>
      </w:tr>
      <w:tr w:rsidR="00EF4CB3" w:rsidRPr="00961E0F" w14:paraId="702E0D08" w14:textId="77777777" w:rsidTr="004B2956">
        <w:trPr>
          <w:cantSplit/>
        </w:trPr>
        <w:tc>
          <w:tcPr>
            <w:tcW w:w="3227" w:type="dxa"/>
            <w:tcBorders>
              <w:bottom w:val="nil"/>
            </w:tcBorders>
          </w:tcPr>
          <w:p w14:paraId="7C86FD14" w14:textId="77777777" w:rsidR="00EF4CB3" w:rsidRPr="00961E0F" w:rsidRDefault="00EF4CB3" w:rsidP="004B2956">
            <w:pPr>
              <w:pStyle w:val="EndnoteText"/>
              <w:keepNext/>
              <w:widowControl w:val="0"/>
              <w:tabs>
                <w:tab w:val="clear" w:pos="567"/>
              </w:tabs>
              <w:rPr>
                <w:color w:val="000000"/>
                <w:szCs w:val="22"/>
                <w:lang w:val="fr-FR"/>
              </w:rPr>
            </w:pPr>
            <w:r w:rsidRPr="00961E0F">
              <w:rPr>
                <w:color w:val="000000"/>
                <w:szCs w:val="22"/>
                <w:lang w:val="fr-FR"/>
              </w:rPr>
              <w:t>Réponse cytogénétique majeure</w:t>
            </w:r>
            <w:r w:rsidRPr="00961E0F">
              <w:rPr>
                <w:color w:val="000000"/>
                <w:szCs w:val="22"/>
                <w:vertAlign w:val="superscript"/>
                <w:lang w:val="fr-FR"/>
              </w:rPr>
              <w:t>2</w:t>
            </w:r>
          </w:p>
        </w:tc>
        <w:tc>
          <w:tcPr>
            <w:tcW w:w="1898" w:type="dxa"/>
            <w:tcBorders>
              <w:bottom w:val="nil"/>
            </w:tcBorders>
          </w:tcPr>
          <w:p w14:paraId="61A7F342"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65% (61,2–69,5)</w:t>
            </w:r>
          </w:p>
        </w:tc>
        <w:tc>
          <w:tcPr>
            <w:tcW w:w="1985" w:type="dxa"/>
            <w:tcBorders>
              <w:bottom w:val="nil"/>
            </w:tcBorders>
          </w:tcPr>
          <w:p w14:paraId="032C02B9"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28%(22,0–33,9)</w:t>
            </w:r>
          </w:p>
        </w:tc>
        <w:tc>
          <w:tcPr>
            <w:tcW w:w="1929" w:type="dxa"/>
            <w:tcBorders>
              <w:bottom w:val="nil"/>
            </w:tcBorders>
          </w:tcPr>
          <w:p w14:paraId="4A711B38"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15%(11,2–20,4)</w:t>
            </w:r>
          </w:p>
        </w:tc>
      </w:tr>
      <w:tr w:rsidR="00EF4CB3" w:rsidRPr="00961E0F" w14:paraId="5400BE30" w14:textId="77777777" w:rsidTr="004B2956">
        <w:trPr>
          <w:cantSplit/>
        </w:trPr>
        <w:tc>
          <w:tcPr>
            <w:tcW w:w="3227" w:type="dxa"/>
            <w:tcBorders>
              <w:top w:val="nil"/>
              <w:bottom w:val="nil"/>
            </w:tcBorders>
          </w:tcPr>
          <w:p w14:paraId="31B6ED02"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Complète</w:t>
            </w:r>
          </w:p>
        </w:tc>
        <w:tc>
          <w:tcPr>
            <w:tcW w:w="1898" w:type="dxa"/>
            <w:tcBorders>
              <w:top w:val="nil"/>
              <w:bottom w:val="nil"/>
            </w:tcBorders>
          </w:tcPr>
          <w:p w14:paraId="51AF3E5E"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53%</w:t>
            </w:r>
          </w:p>
        </w:tc>
        <w:tc>
          <w:tcPr>
            <w:tcW w:w="1985" w:type="dxa"/>
            <w:tcBorders>
              <w:top w:val="nil"/>
              <w:bottom w:val="nil"/>
            </w:tcBorders>
          </w:tcPr>
          <w:p w14:paraId="4AF8716B"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20%</w:t>
            </w:r>
          </w:p>
        </w:tc>
        <w:tc>
          <w:tcPr>
            <w:tcW w:w="1929" w:type="dxa"/>
            <w:tcBorders>
              <w:top w:val="nil"/>
              <w:bottom w:val="nil"/>
            </w:tcBorders>
          </w:tcPr>
          <w:p w14:paraId="3823E479"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7%</w:t>
            </w:r>
          </w:p>
        </w:tc>
      </w:tr>
      <w:tr w:rsidR="00EF4CB3" w:rsidRPr="00961E0F" w14:paraId="4D7EB9DA" w14:textId="77777777" w:rsidTr="004B2956">
        <w:trPr>
          <w:cantSplit/>
        </w:trPr>
        <w:tc>
          <w:tcPr>
            <w:tcW w:w="3227" w:type="dxa"/>
            <w:tcBorders>
              <w:top w:val="nil"/>
              <w:bottom w:val="nil"/>
            </w:tcBorders>
          </w:tcPr>
          <w:p w14:paraId="3B8D152C"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(Confirmée</w:t>
            </w:r>
            <w:r w:rsidRPr="00961E0F">
              <w:rPr>
                <w:color w:val="000000"/>
                <w:szCs w:val="22"/>
                <w:vertAlign w:val="superscript"/>
                <w:lang w:val="fr-FR"/>
              </w:rPr>
              <w:t>3</w:t>
            </w:r>
            <w:r w:rsidRPr="00961E0F">
              <w:rPr>
                <w:color w:val="000000"/>
                <w:szCs w:val="22"/>
                <w:lang w:val="fr-FR"/>
              </w:rPr>
              <w:t>)( [IC 95%]</w:t>
            </w:r>
          </w:p>
        </w:tc>
        <w:tc>
          <w:tcPr>
            <w:tcW w:w="1898" w:type="dxa"/>
            <w:tcBorders>
              <w:top w:val="nil"/>
              <w:bottom w:val="nil"/>
            </w:tcBorders>
          </w:tcPr>
          <w:p w14:paraId="2E721BBE"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(43%) [38,6–47,2]</w:t>
            </w:r>
          </w:p>
        </w:tc>
        <w:tc>
          <w:tcPr>
            <w:tcW w:w="1985" w:type="dxa"/>
            <w:tcBorders>
              <w:top w:val="nil"/>
              <w:bottom w:val="nil"/>
            </w:tcBorders>
          </w:tcPr>
          <w:p w14:paraId="6A9F0AEF"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(16%) [11,3–21,0]</w:t>
            </w:r>
          </w:p>
        </w:tc>
        <w:tc>
          <w:tcPr>
            <w:tcW w:w="1929" w:type="dxa"/>
            <w:tcBorders>
              <w:top w:val="nil"/>
              <w:bottom w:val="nil"/>
            </w:tcBorders>
          </w:tcPr>
          <w:p w14:paraId="72735487"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(2%) [0,6–4,4]</w:t>
            </w:r>
          </w:p>
        </w:tc>
      </w:tr>
      <w:tr w:rsidR="00EF4CB3" w:rsidRPr="00961E0F" w14:paraId="55D54C6F" w14:textId="77777777" w:rsidTr="004B2956">
        <w:trPr>
          <w:cantSplit/>
        </w:trPr>
        <w:tc>
          <w:tcPr>
            <w:tcW w:w="3227" w:type="dxa"/>
            <w:tcBorders>
              <w:top w:val="nil"/>
              <w:bottom w:val="nil"/>
            </w:tcBorders>
          </w:tcPr>
          <w:p w14:paraId="11ACAEF3" w14:textId="77777777" w:rsidR="00EF4CB3" w:rsidRPr="00961E0F" w:rsidRDefault="00EF4CB3" w:rsidP="004B2956">
            <w:pPr>
              <w:pStyle w:val="EndnoteText"/>
              <w:keepNext/>
              <w:widowControl w:val="0"/>
              <w:tabs>
                <w:tab w:val="clear" w:pos="567"/>
              </w:tabs>
              <w:ind w:left="284"/>
              <w:rPr>
                <w:color w:val="000000"/>
                <w:szCs w:val="22"/>
                <w:lang w:val="fr-FR"/>
              </w:rPr>
            </w:pPr>
            <w:r w:rsidRPr="00961E0F">
              <w:rPr>
                <w:color w:val="000000"/>
                <w:szCs w:val="22"/>
                <w:lang w:val="fr-FR"/>
              </w:rPr>
              <w:t>Partielle</w:t>
            </w:r>
          </w:p>
        </w:tc>
        <w:tc>
          <w:tcPr>
            <w:tcW w:w="1898" w:type="dxa"/>
            <w:tcBorders>
              <w:top w:val="nil"/>
              <w:bottom w:val="nil"/>
            </w:tcBorders>
          </w:tcPr>
          <w:p w14:paraId="28C05015"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12%</w:t>
            </w:r>
          </w:p>
        </w:tc>
        <w:tc>
          <w:tcPr>
            <w:tcW w:w="1985" w:type="dxa"/>
            <w:tcBorders>
              <w:top w:val="nil"/>
              <w:bottom w:val="nil"/>
            </w:tcBorders>
          </w:tcPr>
          <w:p w14:paraId="74CD0B1F"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7%</w:t>
            </w:r>
          </w:p>
        </w:tc>
        <w:tc>
          <w:tcPr>
            <w:tcW w:w="1929" w:type="dxa"/>
            <w:tcBorders>
              <w:top w:val="nil"/>
              <w:bottom w:val="nil"/>
            </w:tcBorders>
          </w:tcPr>
          <w:p w14:paraId="793087C3" w14:textId="77777777" w:rsidR="00EF4CB3" w:rsidRPr="00961E0F" w:rsidRDefault="00EF4CB3" w:rsidP="004B2956">
            <w:pPr>
              <w:pStyle w:val="EndnoteText"/>
              <w:keepNext/>
              <w:widowControl w:val="0"/>
              <w:tabs>
                <w:tab w:val="clear" w:pos="567"/>
              </w:tabs>
              <w:jc w:val="center"/>
              <w:rPr>
                <w:color w:val="000000"/>
                <w:szCs w:val="22"/>
                <w:lang w:val="fr-FR"/>
              </w:rPr>
            </w:pPr>
            <w:r w:rsidRPr="00961E0F">
              <w:rPr>
                <w:color w:val="000000"/>
                <w:szCs w:val="22"/>
                <w:lang w:val="fr-FR"/>
              </w:rPr>
              <w:t>8%</w:t>
            </w:r>
          </w:p>
        </w:tc>
      </w:tr>
      <w:tr w:rsidR="00EF4CB3" w:rsidRPr="00961E0F" w14:paraId="615C419A" w14:textId="77777777" w:rsidTr="004B2956">
        <w:trPr>
          <w:cantSplit/>
        </w:trPr>
        <w:tc>
          <w:tcPr>
            <w:tcW w:w="9039" w:type="dxa"/>
            <w:gridSpan w:val="4"/>
            <w:tcBorders>
              <w:top w:val="single" w:sz="4" w:space="0" w:color="auto"/>
            </w:tcBorders>
          </w:tcPr>
          <w:p w14:paraId="72E21D41" w14:textId="77777777" w:rsidR="00EF4CB3" w:rsidRPr="00961E0F" w:rsidRDefault="00EF4CB3" w:rsidP="00F84278">
            <w:pPr>
              <w:pStyle w:val="TableCarCarCarCarCarCarCarCarCar"/>
              <w:keepNext w:val="0"/>
              <w:keepLines w:val="0"/>
              <w:widowControl w:val="0"/>
              <w:tabs>
                <w:tab w:val="clear" w:pos="284"/>
              </w:tabs>
              <w:spacing w:before="0"/>
              <w:rPr>
                <w:rFonts w:ascii="Times New Roman" w:hAnsi="Times New Roman"/>
                <w:b/>
                <w:color w:val="000000"/>
                <w:szCs w:val="22"/>
                <w:lang w:val="fr-FR"/>
              </w:rPr>
            </w:pPr>
            <w:r w:rsidRPr="00961E0F">
              <w:rPr>
                <w:rFonts w:ascii="Times New Roman" w:hAnsi="Times New Roman"/>
                <w:color w:val="000000"/>
                <w:szCs w:val="22"/>
                <w:vertAlign w:val="superscript"/>
                <w:lang w:val="fr-FR"/>
              </w:rPr>
              <w:t>1</w:t>
            </w:r>
            <w:r w:rsidRPr="00961E0F">
              <w:rPr>
                <w:rFonts w:ascii="Times New Roman" w:hAnsi="Times New Roman"/>
                <w:b/>
                <w:color w:val="000000"/>
                <w:szCs w:val="22"/>
                <w:lang w:val="fr-FR"/>
              </w:rPr>
              <w:t>Critères de réponse hématologique (toutes les réponses étaient à confirmer après ≥ 4 semaines) :</w:t>
            </w:r>
          </w:p>
          <w:p w14:paraId="67894C22" w14:textId="77777777" w:rsidR="00EF4CB3" w:rsidRPr="00961E0F" w:rsidRDefault="00EF4CB3" w:rsidP="00F84278">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r w:rsidRPr="00961E0F">
              <w:rPr>
                <w:rFonts w:ascii="Times New Roman" w:hAnsi="Times New Roman"/>
                <w:color w:val="000000"/>
                <w:szCs w:val="22"/>
                <w:lang w:val="fr-FR"/>
              </w:rPr>
              <w:t>RCH</w:t>
            </w:r>
            <w:r w:rsidRPr="00961E0F">
              <w:rPr>
                <w:rFonts w:ascii="Times New Roman" w:hAnsi="Times New Roman"/>
                <w:color w:val="000000"/>
                <w:szCs w:val="22"/>
                <w:lang w:val="fr-FR"/>
              </w:rPr>
              <w:tab/>
              <w:t>Etude 0110 [GB &lt; 10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plaquettes &lt; 450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myélocytes+métamyélocytes &lt; 5% dans le sang, absence de cellules blastiques et de promyélocytes dans le sang, basophiles &lt; 20%, absence d'atteinte extramédullaire] ; dans les études 0102 et 0109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1,5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100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absence de cellules blastiques dans le sang, présence de blastes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&lt; 5%, absence d'atteinte extramédullaire]</w:t>
            </w:r>
          </w:p>
          <w:p w14:paraId="193AA891" w14:textId="77777777" w:rsidR="00EF4CB3" w:rsidRPr="00961E0F" w:rsidRDefault="00EF4CB3" w:rsidP="00F84278">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ASL</w:t>
              </w:r>
            </w:smartTag>
            <w:r w:rsidRPr="00961E0F">
              <w:rPr>
                <w:rFonts w:ascii="Times New Roman" w:hAnsi="Times New Roman"/>
                <w:color w:val="000000"/>
                <w:szCs w:val="22"/>
                <w:lang w:val="fr-FR"/>
              </w:rPr>
              <w:tab/>
              <w:t xml:space="preserve">Mêmes critères que pour RCH mais PN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1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 xml:space="preserve">/l et plaquettes </w:t>
            </w:r>
            <w:r w:rsidRPr="00961E0F">
              <w:rPr>
                <w:rFonts w:ascii="Times New Roman" w:hAnsi="Times New Roman"/>
                <w:color w:val="000000"/>
                <w:szCs w:val="22"/>
                <w:lang w:val="fr-FR"/>
              </w:rPr>
              <w:sym w:font="Symbol" w:char="F0B3"/>
            </w:r>
            <w:r w:rsidRPr="00961E0F">
              <w:rPr>
                <w:rFonts w:ascii="Times New Roman" w:hAnsi="Times New Roman"/>
                <w:color w:val="000000"/>
                <w:szCs w:val="22"/>
                <w:lang w:val="fr-FR"/>
              </w:rPr>
              <w:t> 20 x 10</w:t>
            </w:r>
            <w:r w:rsidRPr="00961E0F">
              <w:rPr>
                <w:rFonts w:ascii="Times New Roman" w:hAnsi="Times New Roman"/>
                <w:color w:val="000000"/>
                <w:szCs w:val="22"/>
                <w:vertAlign w:val="superscript"/>
                <w:lang w:val="fr-FR"/>
              </w:rPr>
              <w:t>9</w:t>
            </w:r>
            <w:r w:rsidRPr="00961E0F">
              <w:rPr>
                <w:rFonts w:ascii="Times New Roman" w:hAnsi="Times New Roman"/>
                <w:color w:val="000000"/>
                <w:szCs w:val="22"/>
                <w:lang w:val="fr-FR"/>
              </w:rPr>
              <w:t>/l (uniquement pour les études 0102 et 0109)</w:t>
            </w:r>
          </w:p>
          <w:p w14:paraId="7A6191F2" w14:textId="77777777" w:rsidR="00EF4CB3" w:rsidRPr="00961E0F" w:rsidRDefault="00EF4CB3" w:rsidP="00F84278">
            <w:pPr>
              <w:pStyle w:val="TableCarCarCarCarCarCarCarCarCar"/>
              <w:keepNext w:val="0"/>
              <w:keepLines w:val="0"/>
              <w:widowControl w:val="0"/>
              <w:tabs>
                <w:tab w:val="clear" w:pos="284"/>
              </w:tabs>
              <w:spacing w:before="0"/>
              <w:ind w:left="709" w:hanging="709"/>
              <w:rPr>
                <w:rFonts w:ascii="Times New Roman" w:hAnsi="Times New Roman"/>
                <w:color w:val="000000"/>
                <w:szCs w:val="22"/>
                <w:lang w:val="fr-FR"/>
              </w:rPr>
            </w:pPr>
            <w:r w:rsidRPr="00961E0F">
              <w:rPr>
                <w:rFonts w:ascii="Times New Roman" w:hAnsi="Times New Roman"/>
                <w:color w:val="000000"/>
                <w:szCs w:val="22"/>
                <w:lang w:val="fr-FR"/>
              </w:rPr>
              <w:t>RPC</w:t>
            </w:r>
            <w:r w:rsidRPr="00961E0F">
              <w:rPr>
                <w:rFonts w:ascii="Times New Roman" w:hAnsi="Times New Roman"/>
                <w:color w:val="000000"/>
                <w:szCs w:val="22"/>
                <w:lang w:val="fr-FR"/>
              </w:rPr>
              <w:tab/>
              <w:t xml:space="preserve">&lt; 15% de blastes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et le SP, &lt; 30% blastes+promyélocytes dans </w:t>
            </w:r>
            <w:smartTag w:uri="urn:schemas-microsoft-com:office:smarttags" w:element="PersonName">
              <w:smartTagPr>
                <w:attr w:name="ProductID" w:val="la MO"/>
              </w:smartTagPr>
              <w:r w:rsidRPr="00961E0F">
                <w:rPr>
                  <w:rFonts w:ascii="Times New Roman" w:hAnsi="Times New Roman"/>
                  <w:color w:val="000000"/>
                  <w:szCs w:val="22"/>
                  <w:lang w:val="fr-FR"/>
                </w:rPr>
                <w:t>la MO</w:t>
              </w:r>
            </w:smartTag>
            <w:r w:rsidRPr="00961E0F">
              <w:rPr>
                <w:rFonts w:ascii="Times New Roman" w:hAnsi="Times New Roman"/>
                <w:color w:val="000000"/>
                <w:szCs w:val="22"/>
                <w:lang w:val="fr-FR"/>
              </w:rPr>
              <w:t xml:space="preserve"> et le SP, &lt; 20% basophiles dans le SP, absence d'atteinte extramédullaire en dehors de la rate et du foie (uniquement pour les études 0102 et 0109).</w:t>
            </w:r>
          </w:p>
          <w:p w14:paraId="0C28F7DD" w14:textId="77777777" w:rsidR="00EF4CB3" w:rsidRPr="00961E0F" w:rsidRDefault="00EF4CB3" w:rsidP="00F84278">
            <w:pPr>
              <w:pStyle w:val="TableCarCarCarCarCarCarCarCarCar"/>
              <w:keepNext w:val="0"/>
              <w:keepLines w:val="0"/>
              <w:widowControl w:val="0"/>
              <w:tabs>
                <w:tab w:val="clear" w:pos="284"/>
              </w:tabs>
              <w:spacing w:before="0"/>
              <w:ind w:left="567" w:hanging="567"/>
              <w:rPr>
                <w:rFonts w:ascii="Times New Roman" w:hAnsi="Times New Roman"/>
                <w:color w:val="000000"/>
                <w:szCs w:val="22"/>
                <w:lang w:val="fr-FR"/>
              </w:rPr>
            </w:pPr>
            <w:r w:rsidRPr="00961E0F">
              <w:rPr>
                <w:rFonts w:ascii="Times New Roman" w:hAnsi="Times New Roman"/>
                <w:color w:val="000000"/>
                <w:szCs w:val="22"/>
                <w:lang w:val="fr-FR"/>
              </w:rPr>
              <w:t>MO = moelle osseuse, SP = sang périphérique</w:t>
            </w:r>
          </w:p>
          <w:p w14:paraId="1AB99202" w14:textId="77777777" w:rsidR="00EF4CB3" w:rsidRPr="00961E0F" w:rsidRDefault="00EF4CB3" w:rsidP="00F84278">
            <w:pPr>
              <w:pStyle w:val="TableCarCarCarCarCarCarCarCarCar"/>
              <w:keepNext w:val="0"/>
              <w:keepLines w:val="0"/>
              <w:widowControl w:val="0"/>
              <w:tabs>
                <w:tab w:val="clear" w:pos="284"/>
              </w:tabs>
              <w:spacing w:before="0"/>
              <w:rPr>
                <w:rFonts w:ascii="Times New Roman" w:hAnsi="Times New Roman"/>
                <w:color w:val="000000"/>
                <w:szCs w:val="22"/>
                <w:lang w:val="fr-FR"/>
              </w:rPr>
            </w:pPr>
            <w:r w:rsidRPr="00961E0F">
              <w:rPr>
                <w:rFonts w:ascii="Times New Roman" w:hAnsi="Times New Roman"/>
                <w:color w:val="000000"/>
                <w:szCs w:val="22"/>
                <w:vertAlign w:val="superscript"/>
                <w:lang w:val="fr-FR"/>
              </w:rPr>
              <w:t>2</w:t>
            </w:r>
            <w:r w:rsidRPr="00961E0F">
              <w:rPr>
                <w:rFonts w:ascii="Times New Roman" w:hAnsi="Times New Roman"/>
                <w:b/>
                <w:color w:val="000000"/>
                <w:szCs w:val="22"/>
                <w:lang w:val="fr-FR"/>
              </w:rPr>
              <w:t>Critères de réponse cytogénétique :</w:t>
            </w:r>
          </w:p>
          <w:p w14:paraId="5C231D75"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Une réponse majeure englobe les réponses complètes et partielles : Complète (0% métaphases Ph+), partielle (1–35%),.</w:t>
            </w:r>
          </w:p>
          <w:p w14:paraId="4A2DFD53"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vertAlign w:val="superscript"/>
                <w:lang w:val="fr-FR"/>
              </w:rPr>
              <w:t>3</w:t>
            </w:r>
            <w:r w:rsidRPr="00961E0F">
              <w:rPr>
                <w:color w:val="000000"/>
                <w:szCs w:val="22"/>
                <w:lang w:val="fr-FR"/>
              </w:rPr>
              <w:t>Réponse complète cytogénétique confirmée par une seconde évaluation cytogénétique de la moelle osseuse réalisée au moins un mois après l’étude initiale de moelle osseuse.</w:t>
            </w:r>
          </w:p>
        </w:tc>
      </w:tr>
    </w:tbl>
    <w:p w14:paraId="2B4D92BA" w14:textId="77777777" w:rsidR="00EF4CB3" w:rsidRPr="00961E0F" w:rsidRDefault="00EF4CB3" w:rsidP="00EF4CB3">
      <w:pPr>
        <w:pStyle w:val="EndnoteText"/>
        <w:widowControl w:val="0"/>
        <w:tabs>
          <w:tab w:val="clear" w:pos="567"/>
        </w:tabs>
        <w:rPr>
          <w:color w:val="000000"/>
          <w:szCs w:val="22"/>
          <w:lang w:val="fr-FR"/>
        </w:rPr>
      </w:pPr>
    </w:p>
    <w:p w14:paraId="5A02C4FB" w14:textId="77777777" w:rsidR="00EF4CB3" w:rsidRPr="00961E0F" w:rsidRDefault="00EF4CB3" w:rsidP="00EF4CB3">
      <w:pPr>
        <w:pStyle w:val="EndnoteText"/>
        <w:widowControl w:val="0"/>
        <w:rPr>
          <w:color w:val="000000"/>
          <w:szCs w:val="22"/>
          <w:lang w:val="fr-FR"/>
        </w:rPr>
      </w:pPr>
      <w:r w:rsidRPr="00961E0F">
        <w:rPr>
          <w:i/>
          <w:color w:val="000000"/>
          <w:szCs w:val="22"/>
          <w:lang w:val="fr-FR"/>
        </w:rPr>
        <w:lastRenderedPageBreak/>
        <w:t>Patients pédiatriques </w:t>
      </w:r>
      <w:r w:rsidRPr="00961E0F">
        <w:rPr>
          <w:color w:val="000000"/>
          <w:szCs w:val="22"/>
          <w:lang w:val="fr-FR"/>
        </w:rPr>
        <w:t>: Un total de 26 patients pédiatriques âgés de moins de 18 ans, présentant une LMC en phase chronique (n=11) ou une LMC en crise blastique ou une leucémie aiguë Ph+ (n=15), ont été recrutés dans une étude de phase I avec escalade de doses. Il s'agissait d'une population de patients lourdement prétraités, dans la mesure où 46% avaient déjà bénéficié d'une transplantation médullaire et 73% d'une polychimiothérapie. Les doses de Glivec administrées étaient de 260 mg/m</w:t>
      </w:r>
      <w:r w:rsidRPr="00961E0F">
        <w:rPr>
          <w:color w:val="000000"/>
          <w:szCs w:val="22"/>
          <w:vertAlign w:val="superscript"/>
          <w:lang w:val="fr-FR"/>
        </w:rPr>
        <w:t>2</w:t>
      </w:r>
      <w:r w:rsidRPr="00961E0F">
        <w:rPr>
          <w:color w:val="000000"/>
          <w:szCs w:val="22"/>
          <w:lang w:val="fr-FR"/>
        </w:rPr>
        <w:t>/jour (n=5), 340 mg/m</w:t>
      </w:r>
      <w:r w:rsidRPr="00961E0F">
        <w:rPr>
          <w:color w:val="000000"/>
          <w:szCs w:val="22"/>
          <w:vertAlign w:val="superscript"/>
          <w:lang w:val="fr-FR"/>
        </w:rPr>
        <w:t>2</w:t>
      </w:r>
      <w:r w:rsidRPr="00961E0F">
        <w:rPr>
          <w:color w:val="000000"/>
          <w:szCs w:val="22"/>
          <w:lang w:val="fr-FR"/>
        </w:rPr>
        <w:t>/jour (n=9), 440 mg/m</w:t>
      </w:r>
      <w:r w:rsidRPr="00961E0F">
        <w:rPr>
          <w:color w:val="000000"/>
          <w:szCs w:val="22"/>
          <w:vertAlign w:val="superscript"/>
          <w:lang w:val="fr-FR"/>
        </w:rPr>
        <w:t>2</w:t>
      </w:r>
      <w:r w:rsidRPr="00961E0F">
        <w:rPr>
          <w:color w:val="000000"/>
          <w:szCs w:val="22"/>
          <w:lang w:val="fr-FR"/>
        </w:rPr>
        <w:t>/jour (n=7) et 570 mg/m</w:t>
      </w:r>
      <w:r w:rsidRPr="00961E0F">
        <w:rPr>
          <w:color w:val="000000"/>
          <w:szCs w:val="22"/>
          <w:vertAlign w:val="superscript"/>
          <w:lang w:val="fr-FR"/>
        </w:rPr>
        <w:t>2</w:t>
      </w:r>
      <w:r w:rsidRPr="00961E0F">
        <w:rPr>
          <w:color w:val="000000"/>
          <w:szCs w:val="22"/>
          <w:lang w:val="fr-FR"/>
        </w:rPr>
        <w:t>/jour (n=5). Parmi les 9 patients atteints de LMC en phase chronique dont les données cytogénétiques sont disponibles, 4 (44%) ont obtenu une réponse cytogénétique complète et 3 (33%) une réponse cytogénétique partielle, pour un taux de RCyM de 77%.</w:t>
      </w:r>
    </w:p>
    <w:p w14:paraId="374BC21A" w14:textId="77777777" w:rsidR="00EF4CB3" w:rsidRPr="00961E0F" w:rsidRDefault="00EF4CB3" w:rsidP="00EF4CB3">
      <w:pPr>
        <w:pStyle w:val="EndnoteText"/>
        <w:widowControl w:val="0"/>
        <w:rPr>
          <w:color w:val="000000"/>
          <w:szCs w:val="22"/>
          <w:lang w:val="fr-FR"/>
        </w:rPr>
      </w:pPr>
    </w:p>
    <w:p w14:paraId="70622F04" w14:textId="77777777" w:rsidR="00EF4CB3" w:rsidRPr="00961E0F" w:rsidRDefault="00EF4CB3" w:rsidP="00EF4CB3">
      <w:pPr>
        <w:pStyle w:val="EndnoteText"/>
        <w:widowControl w:val="0"/>
        <w:rPr>
          <w:color w:val="000000"/>
          <w:szCs w:val="22"/>
          <w:lang w:val="fr-FR"/>
        </w:rPr>
      </w:pPr>
      <w:r w:rsidRPr="00961E0F">
        <w:rPr>
          <w:color w:val="000000"/>
          <w:szCs w:val="22"/>
          <w:lang w:val="fr-FR"/>
        </w:rPr>
        <w:t>Un total de 51 patients pédiatriques atteints d’une LMC en phase chronique nouvellement diagnostiquée non traitée ont été inclus dans une étude de phase II avec un seul bras, multicentrique en ouvert. Ces enfants étaient traités par Glivec à la dose de 340 mg/m</w:t>
      </w:r>
      <w:r w:rsidRPr="00961E0F">
        <w:rPr>
          <w:color w:val="000000"/>
          <w:szCs w:val="22"/>
          <w:vertAlign w:val="superscript"/>
          <w:lang w:val="fr-FR"/>
        </w:rPr>
        <w:t>2</w:t>
      </w:r>
      <w:r w:rsidRPr="00961E0F">
        <w:rPr>
          <w:color w:val="000000"/>
          <w:szCs w:val="22"/>
          <w:lang w:val="fr-FR"/>
        </w:rPr>
        <w:t>/jour, sans interruption de traitement due à une toxicité dose limitante. Le traitement par Glivec induit une réponse rapide chez les patients pédiatriques atteints de LMC nouvellement diagnostiqués avec une RCH de 78% après 8 semaines de traitement. Le taux élevé de RCH s’accompagne d’une réponse complète cytogénétique de 65% qui est comparable aux résultats observés chez les adultes. De plus, une réponse cytogénétique partielle était observée à un taux de 16% pour un taux de 81% de réponses cytogénétiques majeures. La majorité des patients qui ont atteint une réponse cytogénétique complète ont développé cette réponse entre 3 et 10 mois avec une estimation selon Kaplan-Meier de la durée médiane de réponse à 5,6 mois.</w:t>
      </w:r>
    </w:p>
    <w:p w14:paraId="01B2A8EA" w14:textId="77777777" w:rsidR="00EF4CB3" w:rsidRPr="00961E0F" w:rsidRDefault="00EF4CB3" w:rsidP="00EF4CB3">
      <w:pPr>
        <w:pStyle w:val="EndnoteText"/>
        <w:widowControl w:val="0"/>
        <w:rPr>
          <w:color w:val="000000"/>
          <w:szCs w:val="22"/>
          <w:lang w:val="fr-FR"/>
        </w:rPr>
      </w:pPr>
    </w:p>
    <w:p w14:paraId="3E06C13F" w14:textId="77777777" w:rsidR="00EF4CB3" w:rsidRPr="00961E0F" w:rsidRDefault="00EF4CB3" w:rsidP="00EF4CB3">
      <w:pPr>
        <w:pStyle w:val="EndnoteText"/>
        <w:widowControl w:val="0"/>
        <w:rPr>
          <w:color w:val="000000"/>
          <w:szCs w:val="22"/>
          <w:lang w:val="fr-FR"/>
        </w:rPr>
      </w:pPr>
      <w:r w:rsidRPr="00961E0F">
        <w:rPr>
          <w:color w:val="000000"/>
          <w:szCs w:val="22"/>
          <w:lang w:val="fr-FR"/>
        </w:rPr>
        <w:t>L’Agence européenne des médicaments a accordé une dérogation à l’obligation de soumettre les résultats d’études réalisées avec Glivec dans tous les sous-groupes de la population pédiatrique atteinte de leucémie myéloïde chronique chromosome Philadelphie positive (translocation bcr-abl) (voir rubrique 4.2 pour les informations concernant l’usage pédiatrique).</w:t>
      </w:r>
    </w:p>
    <w:p w14:paraId="2430561F" w14:textId="77777777" w:rsidR="00EF4CB3" w:rsidRPr="00961E0F" w:rsidRDefault="00EF4CB3" w:rsidP="00EF4CB3">
      <w:pPr>
        <w:pStyle w:val="EndnoteText"/>
        <w:widowControl w:val="0"/>
        <w:rPr>
          <w:color w:val="000000"/>
          <w:szCs w:val="22"/>
          <w:lang w:val="fr-FR"/>
        </w:rPr>
      </w:pPr>
    </w:p>
    <w:p w14:paraId="6D64B1A2" w14:textId="77777777" w:rsidR="00EF4CB3" w:rsidRPr="00961E0F" w:rsidRDefault="00EF4CB3" w:rsidP="004B2956">
      <w:pPr>
        <w:pStyle w:val="EndnoteText"/>
        <w:keepNext/>
        <w:widowControl w:val="0"/>
        <w:rPr>
          <w:color w:val="000000"/>
          <w:szCs w:val="22"/>
          <w:u w:val="single"/>
          <w:lang w:val="fr-FR"/>
        </w:rPr>
      </w:pPr>
      <w:r w:rsidRPr="00961E0F">
        <w:rPr>
          <w:color w:val="000000"/>
          <w:szCs w:val="22"/>
          <w:u w:val="single"/>
          <w:lang w:val="fr-FR"/>
        </w:rPr>
        <w:t xml:space="preserve">Etudes cliniques dans </w:t>
      </w:r>
      <w:smartTag w:uri="urn:schemas-microsoft-com:office:smarttags" w:element="PersonName">
        <w:smartTagPr>
          <w:attr w:name="ProductID" w:val="la LAL Ph"/>
        </w:smartTagPr>
        <w:r w:rsidRPr="00961E0F">
          <w:rPr>
            <w:color w:val="000000"/>
            <w:szCs w:val="22"/>
            <w:u w:val="single"/>
            <w:lang w:val="fr-FR"/>
          </w:rPr>
          <w:t>la LAL Ph</w:t>
        </w:r>
      </w:smartTag>
      <w:r w:rsidRPr="00961E0F">
        <w:rPr>
          <w:color w:val="000000"/>
          <w:szCs w:val="22"/>
          <w:u w:val="single"/>
          <w:lang w:val="fr-FR"/>
        </w:rPr>
        <w:t>+</w:t>
      </w:r>
    </w:p>
    <w:p w14:paraId="4AFF93E7" w14:textId="77777777" w:rsidR="00EF4CB3" w:rsidRPr="00961E0F" w:rsidRDefault="00EF4CB3" w:rsidP="00EF4CB3">
      <w:pPr>
        <w:pStyle w:val="EndnoteText"/>
        <w:widowControl w:val="0"/>
        <w:rPr>
          <w:color w:val="000000"/>
          <w:szCs w:val="22"/>
          <w:lang w:val="fr-FR"/>
        </w:rPr>
      </w:pPr>
      <w:r w:rsidRPr="00961E0F">
        <w:rPr>
          <w:i/>
          <w:color w:val="000000"/>
          <w:szCs w:val="22"/>
          <w:lang w:val="fr-FR"/>
        </w:rPr>
        <w:t>LAL Ph+ nouvellement diagnostiquée</w:t>
      </w:r>
      <w:r w:rsidRPr="00961E0F">
        <w:rPr>
          <w:color w:val="000000"/>
          <w:szCs w:val="22"/>
          <w:lang w:val="fr-FR"/>
        </w:rPr>
        <w:t> : dans une étude contrôlée (ADE10) comparant l’imatinib versus chimiothérapie d’induction, chez 55 patients nouvellement diagnostiqués âgés de 55 ans et plus, l’imatinib utilisé seul a induit un taux significativement plus élevé de réponse hématologique complète par rapport à la chimiothérapie (96,3% versus 50% ; p = 0,0001). Lorsque le traitement de rattrapage par l’imatinib a été administré aux patients qui n’avaient pas répondu ou avaient mal répondu à la chimiothérapie, 9 patients (81,8%) sur les 11 ont atteint une réponse hématologique complète. Cet effet clinique était associé à une plus forte réduction des taux de transcrits bcr-abl après deux semaines de traitement (p = 0,02) chez les patients traités par l’imatinib par rapport aux patients traités par chimiothérapie. Tous les patients ont reçu l’imatinib et une chimiothérapie de consolidation (voir Tableau </w:t>
      </w:r>
      <w:r w:rsidR="00A239AE" w:rsidRPr="00961E0F">
        <w:rPr>
          <w:color w:val="000000"/>
          <w:szCs w:val="22"/>
          <w:lang w:val="fr-FR"/>
        </w:rPr>
        <w:t>4</w:t>
      </w:r>
      <w:r w:rsidRPr="00961E0F">
        <w:rPr>
          <w:color w:val="000000"/>
          <w:szCs w:val="22"/>
          <w:lang w:val="fr-FR"/>
        </w:rPr>
        <w:t>) après le traitement d’induction, et les taux de transcrits bcr-abl étaient identiques entre les deux bras après huit semaines de traitement. Comme on pouvait s’y attendre compte tenu du schéma de l’étude, aucune différence n’a été observée en termes de durée de rémission, de survie sans maladie ou de survie globale, même s’il faut noter que les patients en réponse moléculaire complète chez qui persistait une maladie résiduelle minime avait un pronostic plus favorable tant en termes de durée de rémission (p = 0,01) que de survie sans maladie (p = 0,02).</w:t>
      </w:r>
    </w:p>
    <w:p w14:paraId="49D9EF17" w14:textId="77777777" w:rsidR="00EF4CB3" w:rsidRPr="00961E0F" w:rsidRDefault="00EF4CB3" w:rsidP="00EF4CB3">
      <w:pPr>
        <w:pStyle w:val="EndnoteText"/>
        <w:widowControl w:val="0"/>
        <w:rPr>
          <w:color w:val="000000"/>
          <w:szCs w:val="22"/>
          <w:lang w:val="fr-FR"/>
        </w:rPr>
      </w:pPr>
    </w:p>
    <w:p w14:paraId="48B62DF5" w14:textId="77777777" w:rsidR="00EF4CB3" w:rsidRPr="00961E0F" w:rsidRDefault="00EF4CB3" w:rsidP="00EF4CB3">
      <w:pPr>
        <w:pStyle w:val="EndnoteText"/>
        <w:widowControl w:val="0"/>
        <w:rPr>
          <w:color w:val="000000"/>
          <w:szCs w:val="22"/>
          <w:lang w:val="fr-FR"/>
        </w:rPr>
      </w:pPr>
      <w:r w:rsidRPr="00961E0F">
        <w:rPr>
          <w:color w:val="000000"/>
          <w:szCs w:val="22"/>
          <w:lang w:val="fr-FR"/>
        </w:rPr>
        <w:t>Les résultats observés dans quatre études cliniques non contrôlées (AAU02, ADE04, AJP01 et AUS01), dans une population de 211 patients atteints de LAL Ph+ nouvellement diagnostiquée, sont consistants avec les résultats décrits ci-dessus. L’imatinib en association avec la chimiothérapie d’induction (voir Tableau </w:t>
      </w:r>
      <w:r w:rsidR="00A239AE" w:rsidRPr="00961E0F">
        <w:rPr>
          <w:color w:val="000000"/>
          <w:szCs w:val="22"/>
          <w:lang w:val="fr-FR"/>
        </w:rPr>
        <w:t>4</w:t>
      </w:r>
      <w:r w:rsidRPr="00961E0F">
        <w:rPr>
          <w:color w:val="000000"/>
          <w:szCs w:val="22"/>
          <w:lang w:val="fr-FR"/>
        </w:rPr>
        <w:t>) a permis d’obtenir un taux de réponse complète hématologique de 93% (147 sur 158 patients évaluables) et un taux de réponse cytogénique majeure de 90% (19 sur 21 patients évaluables). Le taux de réponse moléculaire complète était de 48% (49 sur 102 patients évaluables). La survie sans maladie et la survie globale ont constamment dépassé un an et elles étaient supérieures aux données historiques des groupes contrôles (survie sans maladie p&lt;0,001 ; survie globale p&lt;0,0001) dans les deux études (AJP01 et AUS01).</w:t>
      </w:r>
    </w:p>
    <w:p w14:paraId="100DD95D" w14:textId="77777777" w:rsidR="00EF4CB3" w:rsidRPr="00961E0F" w:rsidRDefault="00EF4CB3" w:rsidP="00EF4CB3">
      <w:pPr>
        <w:pStyle w:val="EndnoteText"/>
        <w:widowControl w:val="0"/>
        <w:rPr>
          <w:color w:val="000000"/>
          <w:szCs w:val="22"/>
          <w:lang w:val="fr-FR"/>
        </w:rPr>
      </w:pPr>
    </w:p>
    <w:p w14:paraId="7E587197" w14:textId="77777777" w:rsidR="00EF4CB3" w:rsidRPr="00961E0F" w:rsidRDefault="00EF4CB3" w:rsidP="004B2956">
      <w:pPr>
        <w:pStyle w:val="EndnoteText"/>
        <w:keepNext/>
        <w:widowControl w:val="0"/>
        <w:tabs>
          <w:tab w:val="clear" w:pos="567"/>
        </w:tabs>
        <w:ind w:left="1134" w:hanging="1134"/>
        <w:rPr>
          <w:b/>
          <w:bCs/>
          <w:color w:val="000000"/>
          <w:szCs w:val="22"/>
          <w:lang w:val="fr-FR"/>
        </w:rPr>
      </w:pPr>
      <w:r w:rsidRPr="00961E0F">
        <w:rPr>
          <w:b/>
          <w:bCs/>
          <w:color w:val="000000"/>
          <w:szCs w:val="22"/>
          <w:lang w:val="fr-FR"/>
        </w:rPr>
        <w:lastRenderedPageBreak/>
        <w:t>Tableau </w:t>
      </w:r>
      <w:r w:rsidR="00A239AE" w:rsidRPr="00961E0F">
        <w:rPr>
          <w:b/>
          <w:bCs/>
          <w:color w:val="000000"/>
          <w:szCs w:val="22"/>
          <w:lang w:val="fr-FR"/>
        </w:rPr>
        <w:t>4</w:t>
      </w:r>
      <w:r w:rsidRPr="00961E0F">
        <w:rPr>
          <w:b/>
          <w:bCs/>
          <w:color w:val="000000"/>
          <w:szCs w:val="22"/>
          <w:lang w:val="fr-FR"/>
        </w:rPr>
        <w:tab/>
        <w:t>Schéma des chimiothérapies</w:t>
      </w:r>
      <w:r w:rsidRPr="00961E0F">
        <w:rPr>
          <w:b/>
          <w:color w:val="000000"/>
          <w:szCs w:val="22"/>
          <w:lang w:val="fr-FR"/>
        </w:rPr>
        <w:t xml:space="preserve"> utilisées en association avec l’imatinib</w:t>
      </w:r>
    </w:p>
    <w:p w14:paraId="220A9F86" w14:textId="77777777" w:rsidR="00EF4CB3" w:rsidRPr="00961E0F" w:rsidRDefault="00EF4CB3" w:rsidP="004B2956">
      <w:pPr>
        <w:pStyle w:val="EndnoteText"/>
        <w:keepNext/>
        <w:widowControl w:val="0"/>
        <w:rPr>
          <w:color w:val="000000"/>
          <w:szCs w:val="22"/>
          <w:lang w:val="fr-F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EF4CB3" w:rsidRPr="00961E0F" w14:paraId="712CFC72" w14:textId="77777777" w:rsidTr="004B2956">
        <w:trPr>
          <w:cantSplit/>
        </w:trPr>
        <w:tc>
          <w:tcPr>
            <w:tcW w:w="2148" w:type="dxa"/>
            <w:tcBorders>
              <w:top w:val="single" w:sz="4" w:space="0" w:color="auto"/>
              <w:bottom w:val="single" w:sz="4" w:space="0" w:color="auto"/>
            </w:tcBorders>
            <w:shd w:val="clear" w:color="auto" w:fill="auto"/>
          </w:tcPr>
          <w:p w14:paraId="0C96A04A"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b/>
                <w:color w:val="000000"/>
                <w:szCs w:val="22"/>
              </w:rPr>
              <w:t>Etude ADE10</w:t>
            </w:r>
          </w:p>
        </w:tc>
        <w:tc>
          <w:tcPr>
            <w:tcW w:w="6732" w:type="dxa"/>
            <w:gridSpan w:val="4"/>
            <w:tcBorders>
              <w:top w:val="single" w:sz="4" w:space="0" w:color="auto"/>
              <w:bottom w:val="single" w:sz="4" w:space="0" w:color="auto"/>
            </w:tcBorders>
            <w:shd w:val="clear" w:color="auto" w:fill="auto"/>
          </w:tcPr>
          <w:p w14:paraId="098FEABD"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r>
      <w:tr w:rsidR="00EF4CB3" w:rsidRPr="00961E0F" w14:paraId="091DCC27" w14:textId="77777777" w:rsidTr="004B2956">
        <w:trPr>
          <w:cantSplit/>
        </w:trPr>
        <w:tc>
          <w:tcPr>
            <w:tcW w:w="2148" w:type="dxa"/>
            <w:tcBorders>
              <w:top w:val="single" w:sz="4" w:space="0" w:color="auto"/>
              <w:bottom w:val="single" w:sz="4" w:space="0" w:color="auto"/>
            </w:tcBorders>
            <w:shd w:val="clear" w:color="auto" w:fill="auto"/>
          </w:tcPr>
          <w:p w14:paraId="65DD8C8F"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Pré-phase</w:t>
            </w:r>
          </w:p>
        </w:tc>
        <w:tc>
          <w:tcPr>
            <w:tcW w:w="6732" w:type="dxa"/>
            <w:gridSpan w:val="4"/>
            <w:tcBorders>
              <w:top w:val="single" w:sz="4" w:space="0" w:color="auto"/>
              <w:bottom w:val="single" w:sz="4" w:space="0" w:color="auto"/>
            </w:tcBorders>
            <w:shd w:val="clear" w:color="auto" w:fill="auto"/>
          </w:tcPr>
          <w:p w14:paraId="7F66408F"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10C79C66"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3, 4, 5 ;</w:t>
            </w:r>
          </w:p>
          <w:p w14:paraId="54C79EA4" w14:textId="77777777" w:rsidR="00EF4CB3" w:rsidRPr="00961E0F" w:rsidRDefault="00EF4CB3" w:rsidP="004B2956">
            <w:pPr>
              <w:pStyle w:val="TableCarCarCarCarCarCarCarCarCar"/>
              <w:keepLines w:val="0"/>
              <w:widowControl w:val="0"/>
              <w:rPr>
                <w:rFonts w:ascii="Times New Roman" w:hAnsi="Times New Roman"/>
                <w:color w:val="000000"/>
                <w:szCs w:val="22"/>
              </w:rPr>
            </w:pPr>
            <w:smartTag w:uri="urn:schemas-microsoft-com:office:smarttags" w:element="stockticker">
              <w:r w:rsidRPr="00961E0F">
                <w:rPr>
                  <w:rFonts w:ascii="Times New Roman" w:hAnsi="Times New Roman"/>
                  <w:color w:val="000000"/>
                  <w:szCs w:val="22"/>
                </w:rPr>
                <w:t>MTX</w:t>
              </w:r>
            </w:smartTag>
            <w:r w:rsidRPr="00961E0F">
              <w:rPr>
                <w:rFonts w:ascii="Times New Roman" w:hAnsi="Times New Roman"/>
                <w:color w:val="000000"/>
                <w:szCs w:val="22"/>
              </w:rPr>
              <w:t xml:space="preserve"> 12 mg intrathecal, jour 1</w:t>
            </w:r>
          </w:p>
        </w:tc>
      </w:tr>
      <w:tr w:rsidR="00EF4CB3" w:rsidRPr="00961E0F" w14:paraId="353004A5" w14:textId="77777777" w:rsidTr="004B2956">
        <w:trPr>
          <w:cantSplit/>
        </w:trPr>
        <w:tc>
          <w:tcPr>
            <w:tcW w:w="2148" w:type="dxa"/>
            <w:tcBorders>
              <w:top w:val="single" w:sz="4" w:space="0" w:color="auto"/>
              <w:bottom w:val="single" w:sz="4" w:space="0" w:color="auto"/>
            </w:tcBorders>
            <w:shd w:val="clear" w:color="auto" w:fill="auto"/>
          </w:tcPr>
          <w:p w14:paraId="572DAE16"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d’induction (remission)</w:t>
            </w:r>
          </w:p>
        </w:tc>
        <w:tc>
          <w:tcPr>
            <w:tcW w:w="6732" w:type="dxa"/>
            <w:gridSpan w:val="4"/>
            <w:tcBorders>
              <w:top w:val="single" w:sz="4" w:space="0" w:color="auto"/>
              <w:bottom w:val="single" w:sz="4" w:space="0" w:color="auto"/>
            </w:tcBorders>
            <w:shd w:val="clear" w:color="auto" w:fill="auto"/>
          </w:tcPr>
          <w:p w14:paraId="0E7C6B7F"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6 et 7, 13 à 16 ;</w:t>
            </w:r>
          </w:p>
          <w:p w14:paraId="56349105"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VCR 1 mg i.v., jours 7, 14 ;</w:t>
            </w:r>
          </w:p>
          <w:p w14:paraId="39AC5B43"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IDA</w:t>
              </w:r>
            </w:smartTag>
            <w:r w:rsidRPr="00961E0F">
              <w:rPr>
                <w:rFonts w:ascii="Times New Roman" w:hAnsi="Times New Roman"/>
                <w:color w:val="000000"/>
                <w:szCs w:val="22"/>
                <w:lang w:val="fr-FR"/>
              </w:rPr>
              <w:t xml:space="preserve"> 8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(0,5 h), jours 7, 8, 14, 15 ;</w:t>
            </w:r>
          </w:p>
          <w:p w14:paraId="2435E924"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500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i.v.(1 h) jour 1 ;</w:t>
            </w:r>
          </w:p>
          <w:p w14:paraId="433DCEB6"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22 à 25, 29 à 32</w:t>
            </w:r>
          </w:p>
        </w:tc>
      </w:tr>
      <w:tr w:rsidR="00EF4CB3" w:rsidRPr="00961E0F" w14:paraId="1CB6930B" w14:textId="77777777" w:rsidTr="004B2956">
        <w:trPr>
          <w:cantSplit/>
        </w:trPr>
        <w:tc>
          <w:tcPr>
            <w:tcW w:w="2148" w:type="dxa"/>
            <w:tcBorders>
              <w:top w:val="single" w:sz="4" w:space="0" w:color="auto"/>
              <w:bottom w:val="single" w:sz="4" w:space="0" w:color="auto"/>
            </w:tcBorders>
            <w:shd w:val="clear" w:color="auto" w:fill="auto"/>
          </w:tcPr>
          <w:p w14:paraId="0E2EF055"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Traitement de consolidation I, </w:t>
            </w:r>
            <w:smartTag w:uri="urn:schemas-microsoft-com:office:smarttags" w:element="stockticker">
              <w:r w:rsidRPr="00961E0F">
                <w:rPr>
                  <w:rFonts w:ascii="Times New Roman" w:hAnsi="Times New Roman"/>
                  <w:color w:val="000000"/>
                  <w:szCs w:val="22"/>
                  <w:lang w:val="fr-FR"/>
                </w:rPr>
                <w:t>III</w:t>
              </w:r>
            </w:smartTag>
            <w:r w:rsidRPr="00961E0F">
              <w:rPr>
                <w:rFonts w:ascii="Times New Roman" w:hAnsi="Times New Roman"/>
                <w:color w:val="000000"/>
                <w:szCs w:val="22"/>
                <w:lang w:val="fr-FR"/>
              </w:rPr>
              <w:t>, V</w:t>
            </w:r>
          </w:p>
        </w:tc>
        <w:tc>
          <w:tcPr>
            <w:tcW w:w="6732" w:type="dxa"/>
            <w:gridSpan w:val="4"/>
            <w:tcBorders>
              <w:top w:val="single" w:sz="4" w:space="0" w:color="auto"/>
              <w:bottom w:val="single" w:sz="4" w:space="0" w:color="auto"/>
            </w:tcBorders>
            <w:shd w:val="clear" w:color="auto" w:fill="auto"/>
          </w:tcPr>
          <w:p w14:paraId="39C69DCF"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500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jours 1, 15 ;</w:t>
            </w:r>
          </w:p>
          <w:p w14:paraId="13A0D921"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6-MP 25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20</w:t>
            </w:r>
          </w:p>
        </w:tc>
      </w:tr>
      <w:tr w:rsidR="00EF4CB3" w:rsidRPr="00961E0F" w14:paraId="2D081BE2" w14:textId="77777777" w:rsidTr="004B2956">
        <w:trPr>
          <w:cantSplit/>
        </w:trPr>
        <w:tc>
          <w:tcPr>
            <w:tcW w:w="2148" w:type="dxa"/>
            <w:tcBorders>
              <w:top w:val="single" w:sz="4" w:space="0" w:color="auto"/>
              <w:bottom w:val="single" w:sz="4" w:space="0" w:color="auto"/>
            </w:tcBorders>
            <w:shd w:val="clear" w:color="auto" w:fill="auto"/>
          </w:tcPr>
          <w:p w14:paraId="2333CE7C"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de consolidation II, IV</w:t>
            </w:r>
          </w:p>
        </w:tc>
        <w:tc>
          <w:tcPr>
            <w:tcW w:w="6732" w:type="dxa"/>
            <w:gridSpan w:val="4"/>
            <w:tcBorders>
              <w:top w:val="single" w:sz="4" w:space="0" w:color="auto"/>
              <w:bottom w:val="single" w:sz="4" w:space="0" w:color="auto"/>
            </w:tcBorders>
            <w:shd w:val="clear" w:color="auto" w:fill="auto"/>
          </w:tcPr>
          <w:p w14:paraId="15853B73"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pt-BR"/>
              </w:rPr>
            </w:pPr>
            <w:r w:rsidRPr="00961E0F">
              <w:rPr>
                <w:rFonts w:ascii="Times New Roman" w:hAnsi="Times New Roman"/>
                <w:color w:val="000000"/>
                <w:szCs w:val="22"/>
                <w:lang w:val="pt-BR"/>
              </w:rPr>
              <w:t>Ara-C 75 mg/m</w:t>
            </w:r>
            <w:r w:rsidRPr="00961E0F">
              <w:rPr>
                <w:rFonts w:ascii="Times New Roman" w:hAnsi="Times New Roman"/>
                <w:color w:val="000000"/>
                <w:szCs w:val="22"/>
                <w:vertAlign w:val="superscript"/>
                <w:lang w:val="pt-BR"/>
              </w:rPr>
              <w:t>2</w:t>
            </w:r>
            <w:r w:rsidRPr="00961E0F">
              <w:rPr>
                <w:rFonts w:ascii="Times New Roman" w:hAnsi="Times New Roman"/>
                <w:color w:val="000000"/>
                <w:szCs w:val="22"/>
                <w:lang w:val="pt-BR"/>
              </w:rPr>
              <w:t xml:space="preserve"> i.v. (1 h), jours 1 à 5 ;</w:t>
            </w:r>
          </w:p>
          <w:p w14:paraId="33465A6F"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pt-BR"/>
              </w:rPr>
            </w:pPr>
            <w:r w:rsidRPr="00961E0F">
              <w:rPr>
                <w:rFonts w:ascii="Times New Roman" w:hAnsi="Times New Roman"/>
                <w:color w:val="000000"/>
                <w:szCs w:val="22"/>
                <w:lang w:val="pt-BR"/>
              </w:rPr>
              <w:t>VM26 60 mg/m</w:t>
            </w:r>
            <w:r w:rsidRPr="00961E0F">
              <w:rPr>
                <w:rFonts w:ascii="Times New Roman" w:hAnsi="Times New Roman"/>
                <w:color w:val="000000"/>
                <w:szCs w:val="22"/>
                <w:vertAlign w:val="superscript"/>
                <w:lang w:val="pt-BR"/>
              </w:rPr>
              <w:t>2</w:t>
            </w:r>
            <w:r w:rsidRPr="00961E0F">
              <w:rPr>
                <w:rFonts w:ascii="Times New Roman" w:hAnsi="Times New Roman"/>
                <w:color w:val="000000"/>
                <w:szCs w:val="22"/>
                <w:lang w:val="pt-BR"/>
              </w:rPr>
              <w:t xml:space="preserve"> i.v. (1 h), jours 1 à 5</w:t>
            </w:r>
          </w:p>
        </w:tc>
      </w:tr>
      <w:tr w:rsidR="00EF4CB3" w:rsidRPr="00961E0F" w14:paraId="5B2F6487" w14:textId="77777777" w:rsidTr="004B2956">
        <w:trPr>
          <w:cantSplit/>
        </w:trPr>
        <w:tc>
          <w:tcPr>
            <w:tcW w:w="2148" w:type="dxa"/>
            <w:tcBorders>
              <w:top w:val="single" w:sz="4" w:space="0" w:color="auto"/>
              <w:bottom w:val="single" w:sz="4" w:space="0" w:color="auto"/>
            </w:tcBorders>
            <w:shd w:val="clear" w:color="auto" w:fill="auto"/>
          </w:tcPr>
          <w:p w14:paraId="2B22727D" w14:textId="77777777" w:rsidR="00EF4CB3" w:rsidRPr="00961E0F" w:rsidRDefault="00EF4CB3" w:rsidP="004B2956">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t>Etude AAU02</w:t>
            </w:r>
          </w:p>
        </w:tc>
        <w:tc>
          <w:tcPr>
            <w:tcW w:w="2652" w:type="dxa"/>
            <w:tcBorders>
              <w:top w:val="single" w:sz="4" w:space="0" w:color="auto"/>
              <w:bottom w:val="single" w:sz="4" w:space="0" w:color="auto"/>
            </w:tcBorders>
            <w:shd w:val="clear" w:color="auto" w:fill="auto"/>
          </w:tcPr>
          <w:p w14:paraId="638EE087"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080" w:type="dxa"/>
            <w:tcBorders>
              <w:top w:val="single" w:sz="4" w:space="0" w:color="auto"/>
              <w:bottom w:val="single" w:sz="4" w:space="0" w:color="auto"/>
            </w:tcBorders>
          </w:tcPr>
          <w:p w14:paraId="7B4880F1"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27879EF4"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18E9C4CB"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r>
      <w:tr w:rsidR="00EF4CB3" w:rsidRPr="00961E0F" w14:paraId="3DD9B027" w14:textId="77777777" w:rsidTr="004B2956">
        <w:trPr>
          <w:cantSplit/>
        </w:trPr>
        <w:tc>
          <w:tcPr>
            <w:tcW w:w="2148" w:type="dxa"/>
            <w:tcBorders>
              <w:top w:val="single" w:sz="4" w:space="0" w:color="auto"/>
              <w:bottom w:val="single" w:sz="4" w:space="0" w:color="auto"/>
            </w:tcBorders>
            <w:shd w:val="clear" w:color="auto" w:fill="auto"/>
          </w:tcPr>
          <w:p w14:paraId="44308581"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(LAL Ph+</w:t>
            </w:r>
            <w:r w:rsidRPr="00961E0F">
              <w:rPr>
                <w:rFonts w:ascii="Times New Roman" w:hAnsi="Times New Roman"/>
                <w:i/>
                <w:color w:val="000000"/>
                <w:szCs w:val="22"/>
                <w:lang w:val="fr-FR"/>
              </w:rPr>
              <w:t xml:space="preserve"> de novo)</w:t>
            </w:r>
          </w:p>
        </w:tc>
        <w:tc>
          <w:tcPr>
            <w:tcW w:w="6732" w:type="dxa"/>
            <w:gridSpan w:val="4"/>
            <w:tcBorders>
              <w:top w:val="single" w:sz="4" w:space="0" w:color="auto"/>
              <w:bottom w:val="single" w:sz="4" w:space="0" w:color="auto"/>
            </w:tcBorders>
            <w:shd w:val="clear" w:color="auto" w:fill="auto"/>
          </w:tcPr>
          <w:p w14:paraId="147E8660"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Daunorubicine 30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1 à 3, 15 et 16 ;</w:t>
            </w:r>
          </w:p>
          <w:p w14:paraId="54F5C28D"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dose totale 2 mg i.v., jours 1, 8, 15, 22 ;</w:t>
            </w:r>
          </w:p>
          <w:p w14:paraId="73358578"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750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1, 8 ;</w:t>
            </w:r>
          </w:p>
          <w:p w14:paraId="674E3C29"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Prédnisone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7, 15 à 21 ;</w:t>
            </w:r>
          </w:p>
          <w:p w14:paraId="3F66DC91"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IDA 9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28 ;</w:t>
            </w:r>
          </w:p>
          <w:p w14:paraId="68288130"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jours 1, 8, 15, 22 ;</w:t>
            </w:r>
          </w:p>
          <w:p w14:paraId="74F0F875"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40 mg intrathecal, jours 1, 8, 15, 22 ;</w:t>
            </w:r>
          </w:p>
          <w:p w14:paraId="5B78A187"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Methylprédnisolone 40 mg intrathecal, jours 1, 8, 15, 22</w:t>
            </w:r>
          </w:p>
        </w:tc>
      </w:tr>
      <w:tr w:rsidR="00EF4CB3" w:rsidRPr="00961E0F" w14:paraId="1BC325DE" w14:textId="77777777" w:rsidTr="004B2956">
        <w:trPr>
          <w:cantSplit/>
        </w:trPr>
        <w:tc>
          <w:tcPr>
            <w:tcW w:w="2148" w:type="dxa"/>
            <w:tcBorders>
              <w:top w:val="single" w:sz="4" w:space="0" w:color="auto"/>
              <w:bottom w:val="single" w:sz="4" w:space="0" w:color="auto"/>
            </w:tcBorders>
            <w:shd w:val="clear" w:color="auto" w:fill="auto"/>
          </w:tcPr>
          <w:p w14:paraId="6347A886"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Consolidation (LAL Ph+</w:t>
            </w:r>
            <w:r w:rsidRPr="00961E0F">
              <w:rPr>
                <w:rFonts w:ascii="Times New Roman" w:hAnsi="Times New Roman"/>
                <w:i/>
                <w:color w:val="000000"/>
                <w:szCs w:val="22"/>
                <w:lang w:val="fr-FR"/>
              </w:rPr>
              <w:t xml:space="preserve"> de novo)</w:t>
            </w:r>
          </w:p>
        </w:tc>
        <w:tc>
          <w:tcPr>
            <w:tcW w:w="6732" w:type="dxa"/>
            <w:gridSpan w:val="4"/>
            <w:tcBorders>
              <w:top w:val="single" w:sz="4" w:space="0" w:color="auto"/>
              <w:bottom w:val="single" w:sz="4" w:space="0" w:color="auto"/>
            </w:tcBorders>
            <w:shd w:val="clear" w:color="auto" w:fill="auto"/>
          </w:tcPr>
          <w:p w14:paraId="4F190D25"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toutes les 12 h i.v.(en 3 h), jours 1 à 4 ;</w:t>
            </w:r>
          </w:p>
          <w:p w14:paraId="0F1A36EF"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Mitoxantrone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3 à 5 ;</w:t>
            </w:r>
          </w:p>
          <w:p w14:paraId="7BBA3747"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 1 ;</w:t>
            </w:r>
          </w:p>
          <w:p w14:paraId="31E7916F"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Methylprédnisolone 40 mg intrathecal, jour 1</w:t>
            </w:r>
          </w:p>
        </w:tc>
      </w:tr>
      <w:tr w:rsidR="00EF4CB3" w:rsidRPr="00961E0F" w14:paraId="163C6902" w14:textId="77777777" w:rsidTr="004B2956">
        <w:trPr>
          <w:cantSplit/>
        </w:trPr>
        <w:tc>
          <w:tcPr>
            <w:tcW w:w="4800" w:type="dxa"/>
            <w:gridSpan w:val="2"/>
            <w:tcBorders>
              <w:top w:val="single" w:sz="4" w:space="0" w:color="auto"/>
              <w:bottom w:val="single" w:sz="4" w:space="0" w:color="auto"/>
            </w:tcBorders>
            <w:shd w:val="clear" w:color="auto" w:fill="auto"/>
          </w:tcPr>
          <w:p w14:paraId="2890879F" w14:textId="77777777" w:rsidR="00EF4CB3" w:rsidRPr="00961E0F" w:rsidRDefault="00EF4CB3" w:rsidP="004B2956">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t>Etude ADE04</w:t>
            </w:r>
          </w:p>
        </w:tc>
        <w:tc>
          <w:tcPr>
            <w:tcW w:w="1080" w:type="dxa"/>
            <w:tcBorders>
              <w:top w:val="single" w:sz="4" w:space="0" w:color="auto"/>
              <w:bottom w:val="single" w:sz="4" w:space="0" w:color="auto"/>
            </w:tcBorders>
          </w:tcPr>
          <w:p w14:paraId="4BAFADA9"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2DA61080"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56D3CBC0"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r>
      <w:tr w:rsidR="00EF4CB3" w:rsidRPr="00961E0F" w14:paraId="39DEBECB" w14:textId="77777777" w:rsidTr="004B2956">
        <w:trPr>
          <w:cantSplit/>
        </w:trPr>
        <w:tc>
          <w:tcPr>
            <w:tcW w:w="2148" w:type="dxa"/>
            <w:tcBorders>
              <w:top w:val="single" w:sz="4" w:space="0" w:color="auto"/>
              <w:bottom w:val="single" w:sz="4" w:space="0" w:color="auto"/>
            </w:tcBorders>
            <w:shd w:val="clear" w:color="auto" w:fill="auto"/>
          </w:tcPr>
          <w:p w14:paraId="2695268E"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Pré-phase</w:t>
            </w:r>
          </w:p>
        </w:tc>
        <w:tc>
          <w:tcPr>
            <w:tcW w:w="6732" w:type="dxa"/>
            <w:gridSpan w:val="4"/>
            <w:tcBorders>
              <w:top w:val="single" w:sz="4" w:space="0" w:color="auto"/>
              <w:bottom w:val="single" w:sz="4" w:space="0" w:color="auto"/>
            </w:tcBorders>
            <w:shd w:val="clear" w:color="auto" w:fill="auto"/>
          </w:tcPr>
          <w:p w14:paraId="42F4CB3C"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442598BC"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200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3 à 5 ;</w:t>
            </w:r>
          </w:p>
          <w:p w14:paraId="71613943"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MTX 15 mg intrathecal, jour 1</w:t>
            </w:r>
          </w:p>
        </w:tc>
      </w:tr>
      <w:tr w:rsidR="00EF4CB3" w:rsidRPr="00961E0F" w14:paraId="335996FE" w14:textId="77777777" w:rsidTr="004B2956">
        <w:trPr>
          <w:cantSplit/>
        </w:trPr>
        <w:tc>
          <w:tcPr>
            <w:tcW w:w="2148" w:type="dxa"/>
            <w:tcBorders>
              <w:top w:val="single" w:sz="4" w:space="0" w:color="auto"/>
              <w:bottom w:val="single" w:sz="4" w:space="0" w:color="auto"/>
            </w:tcBorders>
            <w:shd w:val="clear" w:color="auto" w:fill="auto"/>
          </w:tcPr>
          <w:p w14:paraId="314A4A8A"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d’induction I</w:t>
            </w:r>
          </w:p>
        </w:tc>
        <w:tc>
          <w:tcPr>
            <w:tcW w:w="6732" w:type="dxa"/>
            <w:gridSpan w:val="4"/>
            <w:tcBorders>
              <w:top w:val="single" w:sz="4" w:space="0" w:color="auto"/>
              <w:bottom w:val="single" w:sz="4" w:space="0" w:color="auto"/>
            </w:tcBorders>
            <w:shd w:val="clear" w:color="auto" w:fill="auto"/>
          </w:tcPr>
          <w:p w14:paraId="0A1A4CFA"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2E07D92E"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VCR 2 mg i.v., jours 6, 13, 20 ;</w:t>
            </w:r>
          </w:p>
          <w:p w14:paraId="7E2382B0"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Daunorubicine 45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6 à 7, 13-14</w:t>
            </w:r>
          </w:p>
        </w:tc>
      </w:tr>
      <w:tr w:rsidR="00EF4CB3" w:rsidRPr="00961E0F" w14:paraId="42D6D594" w14:textId="77777777" w:rsidTr="004B2956">
        <w:trPr>
          <w:cantSplit/>
        </w:trPr>
        <w:tc>
          <w:tcPr>
            <w:tcW w:w="2148" w:type="dxa"/>
            <w:tcBorders>
              <w:top w:val="single" w:sz="4" w:space="0" w:color="auto"/>
              <w:bottom w:val="single" w:sz="4" w:space="0" w:color="auto"/>
            </w:tcBorders>
            <w:shd w:val="clear" w:color="auto" w:fill="auto"/>
          </w:tcPr>
          <w:p w14:paraId="0F026E43"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II</w:t>
            </w:r>
          </w:p>
        </w:tc>
        <w:tc>
          <w:tcPr>
            <w:tcW w:w="6732" w:type="dxa"/>
            <w:gridSpan w:val="4"/>
            <w:tcBorders>
              <w:top w:val="single" w:sz="4" w:space="0" w:color="auto"/>
              <w:bottom w:val="single" w:sz="4" w:space="0" w:color="auto"/>
            </w:tcBorders>
            <w:shd w:val="clear" w:color="auto" w:fill="auto"/>
          </w:tcPr>
          <w:p w14:paraId="6B4CA79A"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26, 46 ;</w:t>
            </w:r>
          </w:p>
          <w:p w14:paraId="76C69FAD"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75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28 à 31, 35 à 38, 42 à 45 ;</w:t>
            </w:r>
          </w:p>
          <w:p w14:paraId="3CE89CDE" w14:textId="77777777" w:rsidR="00EF4CB3" w:rsidRPr="00961E0F" w:rsidRDefault="00EF4CB3" w:rsidP="004B2956">
            <w:pPr>
              <w:pStyle w:val="TableCarCarCarCarCarCarCarCarCar"/>
              <w:keepLines w:val="0"/>
              <w:widowControl w:val="0"/>
              <w:rPr>
                <w:rFonts w:ascii="Times New Roman" w:hAnsi="Times New Roman"/>
                <w:color w:val="000000"/>
                <w:szCs w:val="22"/>
                <w:lang w:val="pl-PL"/>
              </w:rPr>
            </w:pPr>
            <w:r w:rsidRPr="00961E0F">
              <w:rPr>
                <w:rFonts w:ascii="Times New Roman" w:hAnsi="Times New Roman"/>
                <w:color w:val="000000"/>
                <w:szCs w:val="22"/>
                <w:lang w:val="fr-FR"/>
              </w:rPr>
              <w:t>6-MP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26 à 46</w:t>
            </w:r>
          </w:p>
        </w:tc>
      </w:tr>
      <w:tr w:rsidR="00EF4CB3" w:rsidRPr="00961E0F" w14:paraId="469B5547" w14:textId="77777777" w:rsidTr="004B2956">
        <w:trPr>
          <w:cantSplit/>
        </w:trPr>
        <w:tc>
          <w:tcPr>
            <w:tcW w:w="2148" w:type="dxa"/>
            <w:tcBorders>
              <w:top w:val="nil"/>
              <w:bottom w:val="single" w:sz="4" w:space="0" w:color="auto"/>
            </w:tcBorders>
            <w:shd w:val="clear" w:color="auto" w:fill="auto"/>
          </w:tcPr>
          <w:p w14:paraId="46CC5BF1"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rPr>
            </w:pPr>
            <w:r w:rsidRPr="00961E0F">
              <w:rPr>
                <w:rFonts w:ascii="Times New Roman" w:hAnsi="Times New Roman"/>
                <w:color w:val="000000"/>
                <w:szCs w:val="22"/>
              </w:rPr>
              <w:t>Traitement de consolidation</w:t>
            </w:r>
          </w:p>
        </w:tc>
        <w:tc>
          <w:tcPr>
            <w:tcW w:w="6732" w:type="dxa"/>
            <w:gridSpan w:val="4"/>
            <w:tcBorders>
              <w:top w:val="nil"/>
              <w:bottom w:val="single" w:sz="4" w:space="0" w:color="auto"/>
            </w:tcBorders>
            <w:shd w:val="clear" w:color="auto" w:fill="auto"/>
          </w:tcPr>
          <w:p w14:paraId="28F009D7"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DEX 10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 ;</w:t>
            </w:r>
          </w:p>
          <w:p w14:paraId="1BB6360E"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Vindésine 3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 1 ;</w:t>
            </w:r>
          </w:p>
          <w:p w14:paraId="38446C5C"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1,5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1 ;</w:t>
            </w:r>
          </w:p>
          <w:p w14:paraId="33FDE4E2"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Etoposide 250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4 à 5 ;</w:t>
            </w:r>
          </w:p>
          <w:p w14:paraId="2E427550"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Ara-C 2x 2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3 h, toutes les 12 h), jour 5</w:t>
            </w:r>
          </w:p>
        </w:tc>
      </w:tr>
      <w:tr w:rsidR="00EF4CB3" w:rsidRPr="00961E0F" w14:paraId="21DD724A" w14:textId="77777777" w:rsidTr="004B2956">
        <w:trPr>
          <w:cantSplit/>
        </w:trPr>
        <w:tc>
          <w:tcPr>
            <w:tcW w:w="2148" w:type="dxa"/>
            <w:tcBorders>
              <w:top w:val="single" w:sz="4" w:space="0" w:color="auto"/>
              <w:bottom w:val="single" w:sz="4" w:space="0" w:color="auto"/>
            </w:tcBorders>
            <w:shd w:val="clear" w:color="auto" w:fill="auto"/>
          </w:tcPr>
          <w:p w14:paraId="50236F1E" w14:textId="77777777" w:rsidR="00EF4CB3" w:rsidRPr="00961E0F" w:rsidRDefault="00EF4CB3" w:rsidP="004B2956">
            <w:pPr>
              <w:pStyle w:val="TableCarCarCarCarCarCarCarCarCar"/>
              <w:keepLines w:val="0"/>
              <w:widowControl w:val="0"/>
              <w:rPr>
                <w:rFonts w:ascii="Times New Roman" w:hAnsi="Times New Roman"/>
                <w:b/>
                <w:color w:val="000000"/>
                <w:szCs w:val="22"/>
              </w:rPr>
            </w:pPr>
            <w:r w:rsidRPr="00961E0F">
              <w:rPr>
                <w:rFonts w:ascii="Times New Roman" w:hAnsi="Times New Roman"/>
                <w:b/>
                <w:color w:val="000000"/>
                <w:szCs w:val="22"/>
              </w:rPr>
              <w:lastRenderedPageBreak/>
              <w:t>Etude AJP01</w:t>
            </w:r>
          </w:p>
        </w:tc>
        <w:tc>
          <w:tcPr>
            <w:tcW w:w="2652" w:type="dxa"/>
            <w:tcBorders>
              <w:top w:val="single" w:sz="4" w:space="0" w:color="auto"/>
              <w:bottom w:val="single" w:sz="4" w:space="0" w:color="auto"/>
            </w:tcBorders>
            <w:shd w:val="clear" w:color="auto" w:fill="auto"/>
          </w:tcPr>
          <w:p w14:paraId="7A6AA212"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080" w:type="dxa"/>
            <w:tcBorders>
              <w:top w:val="single" w:sz="4" w:space="0" w:color="auto"/>
              <w:bottom w:val="single" w:sz="4" w:space="0" w:color="auto"/>
            </w:tcBorders>
          </w:tcPr>
          <w:p w14:paraId="67D87403"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75E79172"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4FC3B401"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r>
      <w:tr w:rsidR="00EF4CB3" w:rsidRPr="00961E0F" w14:paraId="3E1D2E5D" w14:textId="77777777" w:rsidTr="004B2956">
        <w:trPr>
          <w:cantSplit/>
        </w:trPr>
        <w:tc>
          <w:tcPr>
            <w:tcW w:w="2148" w:type="dxa"/>
            <w:tcBorders>
              <w:top w:val="nil"/>
              <w:bottom w:val="single" w:sz="4" w:space="0" w:color="auto"/>
            </w:tcBorders>
            <w:shd w:val="clear" w:color="auto" w:fill="auto"/>
          </w:tcPr>
          <w:p w14:paraId="47765840" w14:textId="77777777" w:rsidR="00EF4CB3" w:rsidRPr="00961E0F" w:rsidRDefault="004B2956" w:rsidP="004B2956">
            <w:pPr>
              <w:pStyle w:val="TableCarCarCarCarCarCarCarCarCar"/>
              <w:keepLines w:val="0"/>
              <w:widowControl w:val="0"/>
              <w:jc w:val="both"/>
              <w:rPr>
                <w:rFonts w:ascii="Times New Roman" w:hAnsi="Times New Roman"/>
                <w:color w:val="000000"/>
                <w:szCs w:val="22"/>
              </w:rPr>
            </w:pPr>
            <w:r>
              <w:rPr>
                <w:rFonts w:ascii="Times New Roman" w:hAnsi="Times New Roman"/>
                <w:color w:val="000000"/>
                <w:szCs w:val="22"/>
              </w:rPr>
              <w:t>Traitement d’induction</w:t>
            </w:r>
          </w:p>
        </w:tc>
        <w:tc>
          <w:tcPr>
            <w:tcW w:w="6732" w:type="dxa"/>
            <w:gridSpan w:val="4"/>
            <w:tcBorders>
              <w:top w:val="nil"/>
              <w:bottom w:val="single" w:sz="4" w:space="0" w:color="auto"/>
            </w:tcBorders>
            <w:shd w:val="clear" w:color="auto" w:fill="auto"/>
          </w:tcPr>
          <w:p w14:paraId="22246126"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CP 1,2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(3 h), jour 1 ;</w:t>
            </w:r>
          </w:p>
          <w:p w14:paraId="68AFB6BC"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Daunorubicine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(1 h), jours 1 à 3 ;</w:t>
            </w:r>
          </w:p>
          <w:p w14:paraId="38023286"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Vincristine 1,3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jours 1, 8, 15, 21 ;</w:t>
            </w:r>
          </w:p>
          <w:p w14:paraId="47590B8E"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Prédnisolone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/jour oral</w:t>
            </w:r>
          </w:p>
        </w:tc>
      </w:tr>
      <w:tr w:rsidR="00EF4CB3" w:rsidRPr="00961E0F" w14:paraId="095D4B73" w14:textId="77777777" w:rsidTr="004B2956">
        <w:trPr>
          <w:cantSplit/>
        </w:trPr>
        <w:tc>
          <w:tcPr>
            <w:tcW w:w="2148" w:type="dxa"/>
            <w:tcBorders>
              <w:top w:val="single" w:sz="4" w:space="0" w:color="auto"/>
              <w:bottom w:val="single" w:sz="4" w:space="0" w:color="auto"/>
            </w:tcBorders>
            <w:shd w:val="clear" w:color="auto" w:fill="auto"/>
          </w:tcPr>
          <w:p w14:paraId="00886F38" w14:textId="77777777" w:rsidR="00EF4CB3" w:rsidRPr="00961E0F" w:rsidRDefault="00EF4CB3" w:rsidP="004B2956">
            <w:pPr>
              <w:pStyle w:val="TableCarCarCarCarCarCarCarCarCar"/>
              <w:keepLines w:val="0"/>
              <w:widowControl w:val="0"/>
              <w:tabs>
                <w:tab w:val="left" w:pos="0"/>
              </w:tabs>
              <w:rPr>
                <w:rFonts w:ascii="Times New Roman" w:hAnsi="Times New Roman"/>
                <w:color w:val="000000"/>
                <w:szCs w:val="22"/>
              </w:rPr>
            </w:pPr>
            <w:r w:rsidRPr="00961E0F">
              <w:rPr>
                <w:rFonts w:ascii="Times New Roman" w:hAnsi="Times New Roman"/>
                <w:color w:val="000000"/>
                <w:szCs w:val="22"/>
              </w:rPr>
              <w:t>Traitement de consolidation</w:t>
            </w:r>
          </w:p>
        </w:tc>
        <w:tc>
          <w:tcPr>
            <w:tcW w:w="6732" w:type="dxa"/>
            <w:gridSpan w:val="4"/>
            <w:tcBorders>
              <w:top w:val="single" w:sz="4" w:space="0" w:color="auto"/>
              <w:bottom w:val="single" w:sz="4" w:space="0" w:color="auto"/>
            </w:tcBorders>
            <w:shd w:val="clear" w:color="auto" w:fill="auto"/>
          </w:tcPr>
          <w:p w14:paraId="0D1F6B1F"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Régime de chimiothérapie en alternance : chimiothérapie à hautes doses de </w:t>
            </w: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1, et Ara-C 2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(toutes les 12 h), jours 2 et 3, pour 4 cycles</w:t>
            </w:r>
          </w:p>
        </w:tc>
      </w:tr>
      <w:tr w:rsidR="00EF4CB3" w:rsidRPr="00961E0F" w14:paraId="5E79C43B" w14:textId="77777777" w:rsidTr="004B2956">
        <w:trPr>
          <w:cantSplit/>
        </w:trPr>
        <w:tc>
          <w:tcPr>
            <w:tcW w:w="2148" w:type="dxa"/>
            <w:tcBorders>
              <w:top w:val="single" w:sz="4" w:space="0" w:color="auto"/>
              <w:bottom w:val="single" w:sz="4" w:space="0" w:color="auto"/>
            </w:tcBorders>
            <w:shd w:val="clear" w:color="auto" w:fill="auto"/>
          </w:tcPr>
          <w:p w14:paraId="5B2428D2" w14:textId="77777777" w:rsidR="00EF4CB3" w:rsidRPr="00961E0F" w:rsidRDefault="00EF4CB3" w:rsidP="004B2956">
            <w:pPr>
              <w:pStyle w:val="TableCarCarCarCarCarCarCarCarCar"/>
              <w:keepNext w:val="0"/>
              <w:keepLines w:val="0"/>
              <w:widowControl w:val="0"/>
              <w:tabs>
                <w:tab w:val="left" w:pos="0"/>
              </w:tabs>
              <w:rPr>
                <w:rFonts w:ascii="Times New Roman" w:hAnsi="Times New Roman"/>
                <w:color w:val="000000"/>
                <w:szCs w:val="22"/>
              </w:rPr>
            </w:pPr>
            <w:r w:rsidRPr="00961E0F">
              <w:rPr>
                <w:rFonts w:ascii="Times New Roman" w:hAnsi="Times New Roman"/>
                <w:color w:val="000000"/>
                <w:szCs w:val="22"/>
              </w:rPr>
              <w:t>Traitement d’entretien</w:t>
            </w:r>
          </w:p>
        </w:tc>
        <w:tc>
          <w:tcPr>
            <w:tcW w:w="6732" w:type="dxa"/>
            <w:gridSpan w:val="4"/>
            <w:tcBorders>
              <w:top w:val="single" w:sz="4" w:space="0" w:color="auto"/>
              <w:bottom w:val="single" w:sz="4" w:space="0" w:color="auto"/>
            </w:tcBorders>
            <w:shd w:val="clear" w:color="auto" w:fill="auto"/>
          </w:tcPr>
          <w:p w14:paraId="153EDEAA"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1,3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jour 1 ;</w:t>
            </w:r>
          </w:p>
          <w:p w14:paraId="27F0DDCD"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Prédnisolone 60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oral, jours 1 à 5</w:t>
            </w:r>
          </w:p>
        </w:tc>
      </w:tr>
      <w:tr w:rsidR="00EF4CB3" w:rsidRPr="00961E0F" w14:paraId="18BA2621" w14:textId="77777777" w:rsidTr="004B2956">
        <w:trPr>
          <w:cantSplit/>
        </w:trPr>
        <w:tc>
          <w:tcPr>
            <w:tcW w:w="4800" w:type="dxa"/>
            <w:gridSpan w:val="2"/>
            <w:tcBorders>
              <w:top w:val="single" w:sz="4" w:space="0" w:color="auto"/>
              <w:bottom w:val="single" w:sz="4" w:space="0" w:color="auto"/>
            </w:tcBorders>
            <w:shd w:val="clear" w:color="auto" w:fill="auto"/>
          </w:tcPr>
          <w:p w14:paraId="006A0592"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b/>
                <w:color w:val="000000"/>
                <w:szCs w:val="22"/>
              </w:rPr>
              <w:t>Etude AUS01</w:t>
            </w:r>
          </w:p>
        </w:tc>
        <w:tc>
          <w:tcPr>
            <w:tcW w:w="1080" w:type="dxa"/>
            <w:tcBorders>
              <w:top w:val="single" w:sz="4" w:space="0" w:color="auto"/>
              <w:bottom w:val="single" w:sz="4" w:space="0" w:color="auto"/>
            </w:tcBorders>
          </w:tcPr>
          <w:p w14:paraId="7E64685C"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380" w:type="dxa"/>
            <w:tcBorders>
              <w:top w:val="single" w:sz="4" w:space="0" w:color="auto"/>
              <w:bottom w:val="single" w:sz="4" w:space="0" w:color="auto"/>
            </w:tcBorders>
          </w:tcPr>
          <w:p w14:paraId="6D0485B6"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c>
          <w:tcPr>
            <w:tcW w:w="1620" w:type="dxa"/>
            <w:tcBorders>
              <w:top w:val="single" w:sz="4" w:space="0" w:color="auto"/>
              <w:bottom w:val="single" w:sz="4" w:space="0" w:color="auto"/>
            </w:tcBorders>
          </w:tcPr>
          <w:p w14:paraId="618A7BBF" w14:textId="77777777" w:rsidR="00EF4CB3" w:rsidRPr="00961E0F" w:rsidRDefault="00EF4CB3" w:rsidP="004B2956">
            <w:pPr>
              <w:pStyle w:val="TableCarCarCarCarCarCarCarCarCar"/>
              <w:keepLines w:val="0"/>
              <w:widowControl w:val="0"/>
              <w:rPr>
                <w:rFonts w:ascii="Times New Roman" w:hAnsi="Times New Roman"/>
                <w:color w:val="000000"/>
                <w:szCs w:val="22"/>
              </w:rPr>
            </w:pPr>
          </w:p>
        </w:tc>
      </w:tr>
      <w:tr w:rsidR="00EF4CB3" w:rsidRPr="00961E0F" w14:paraId="7E8D1195" w14:textId="77777777" w:rsidTr="004B2956">
        <w:trPr>
          <w:cantSplit/>
        </w:trPr>
        <w:tc>
          <w:tcPr>
            <w:tcW w:w="2148" w:type="dxa"/>
            <w:tcBorders>
              <w:top w:val="single" w:sz="4" w:space="0" w:color="auto"/>
              <w:bottom w:val="single" w:sz="4" w:space="0" w:color="auto"/>
            </w:tcBorders>
            <w:shd w:val="clear" w:color="auto" w:fill="auto"/>
          </w:tcPr>
          <w:p w14:paraId="38558E5D"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Traitement d’induction et de consolidation</w:t>
            </w:r>
          </w:p>
        </w:tc>
        <w:tc>
          <w:tcPr>
            <w:tcW w:w="6732" w:type="dxa"/>
            <w:gridSpan w:val="4"/>
            <w:tcBorders>
              <w:top w:val="single" w:sz="4" w:space="0" w:color="auto"/>
              <w:bottom w:val="single" w:sz="4" w:space="0" w:color="auto"/>
            </w:tcBorders>
            <w:shd w:val="clear" w:color="auto" w:fill="auto"/>
          </w:tcPr>
          <w:p w14:paraId="45435F79"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Protocole Hyper-CVAD : CP 300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3 h, toutes les 12 h), jours 1 à 3 ;</w:t>
            </w:r>
          </w:p>
          <w:p w14:paraId="44B28F0E"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Vincristine 2 mg i.v., jours 4 et 11 ;</w:t>
            </w:r>
          </w:p>
          <w:p w14:paraId="1126EDB8"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Doxorubicine 50 mg/m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4 ;</w:t>
            </w:r>
          </w:p>
          <w:p w14:paraId="1D7A7952"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DEX 40 mg/day jours 1 à 4 et 11 à 14, en alternance avec </w:t>
            </w: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(24 h), jour 1, Ara-C 1 g/m</w:t>
            </w:r>
            <w:r w:rsidRPr="00961E0F">
              <w:rPr>
                <w:rFonts w:ascii="Times New Roman" w:hAnsi="Times New Roman"/>
                <w:color w:val="000000"/>
                <w:szCs w:val="22"/>
                <w:vertAlign w:val="superscript"/>
                <w:lang w:val="fr-FR"/>
              </w:rPr>
              <w:t>2</w:t>
            </w:r>
            <w:r w:rsidRPr="00961E0F">
              <w:rPr>
                <w:rFonts w:ascii="Times New Roman" w:hAnsi="Times New Roman"/>
                <w:color w:val="000000"/>
                <w:szCs w:val="22"/>
                <w:lang w:val="fr-FR"/>
              </w:rPr>
              <w:t xml:space="preserve"> i.v. (en 2 h, toutes les 12 h), jours 2 et 3 (pour un total de 8 cycles)</w:t>
            </w:r>
          </w:p>
        </w:tc>
      </w:tr>
      <w:tr w:rsidR="00EF4CB3" w:rsidRPr="00961E0F" w14:paraId="43FF1C74" w14:textId="77777777" w:rsidTr="004B2956">
        <w:trPr>
          <w:cantSplit/>
        </w:trPr>
        <w:tc>
          <w:tcPr>
            <w:tcW w:w="2148" w:type="dxa"/>
            <w:tcBorders>
              <w:top w:val="single" w:sz="4" w:space="0" w:color="auto"/>
              <w:bottom w:val="single" w:sz="4" w:space="0" w:color="auto"/>
            </w:tcBorders>
            <w:shd w:val="clear" w:color="auto" w:fill="auto"/>
          </w:tcPr>
          <w:p w14:paraId="04E87652" w14:textId="77777777" w:rsidR="00EF4CB3" w:rsidRPr="00961E0F" w:rsidRDefault="00EF4CB3" w:rsidP="004B2956">
            <w:pPr>
              <w:pStyle w:val="TableCarCarCarCarCarCarCarCarCar"/>
              <w:keepLines w:val="0"/>
              <w:widowControl w:val="0"/>
              <w:rPr>
                <w:rFonts w:ascii="Times New Roman" w:hAnsi="Times New Roman"/>
                <w:color w:val="000000"/>
                <w:szCs w:val="22"/>
              </w:rPr>
            </w:pPr>
            <w:r w:rsidRPr="00961E0F">
              <w:rPr>
                <w:rFonts w:ascii="Times New Roman" w:hAnsi="Times New Roman"/>
                <w:color w:val="000000"/>
                <w:szCs w:val="22"/>
              </w:rPr>
              <w:t>Traitement d’entretien</w:t>
            </w:r>
          </w:p>
        </w:tc>
        <w:tc>
          <w:tcPr>
            <w:tcW w:w="6732" w:type="dxa"/>
            <w:gridSpan w:val="4"/>
            <w:tcBorders>
              <w:top w:val="single" w:sz="4" w:space="0" w:color="auto"/>
              <w:bottom w:val="single" w:sz="4" w:space="0" w:color="auto"/>
            </w:tcBorders>
            <w:shd w:val="clear" w:color="auto" w:fill="auto"/>
          </w:tcPr>
          <w:p w14:paraId="650FDE8F"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2 mg i.v. une fois par mois pendant 13 mois ;</w:t>
            </w:r>
          </w:p>
          <w:p w14:paraId="2CDA0BB0"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Prédnisolone 200 mg oral, 5 jours par mois pendant 13 mois</w:t>
            </w:r>
          </w:p>
        </w:tc>
      </w:tr>
      <w:tr w:rsidR="00EF4CB3" w:rsidRPr="00961E0F" w14:paraId="11A3B174" w14:textId="77777777" w:rsidTr="004B2956">
        <w:trPr>
          <w:cantSplit/>
        </w:trPr>
        <w:tc>
          <w:tcPr>
            <w:tcW w:w="8880" w:type="dxa"/>
            <w:gridSpan w:val="5"/>
            <w:tcBorders>
              <w:top w:val="single" w:sz="4" w:space="0" w:color="auto"/>
              <w:bottom w:val="single" w:sz="4" w:space="0" w:color="auto"/>
            </w:tcBorders>
            <w:shd w:val="clear" w:color="auto" w:fill="auto"/>
          </w:tcPr>
          <w:p w14:paraId="2CF36CDA" w14:textId="77777777" w:rsidR="00EF4CB3" w:rsidRPr="00961E0F" w:rsidRDefault="00EF4CB3" w:rsidP="004B2956">
            <w:pPr>
              <w:pStyle w:val="TableCarCarCarCarCarCarCarCarCar"/>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Tous les schémas thérapeutiques comprennent l’administration de corticoïdes en prophylaxie neuroméningée.</w:t>
            </w:r>
          </w:p>
        </w:tc>
      </w:tr>
      <w:tr w:rsidR="00EF4CB3" w:rsidRPr="00961E0F" w14:paraId="2E6BB8AF" w14:textId="77777777" w:rsidTr="004B2956">
        <w:trPr>
          <w:cantSplit/>
        </w:trPr>
        <w:tc>
          <w:tcPr>
            <w:tcW w:w="8880" w:type="dxa"/>
            <w:gridSpan w:val="5"/>
            <w:tcBorders>
              <w:top w:val="single" w:sz="4" w:space="0" w:color="auto"/>
              <w:bottom w:val="single" w:sz="4" w:space="0" w:color="auto"/>
            </w:tcBorders>
            <w:shd w:val="clear" w:color="auto" w:fill="auto"/>
          </w:tcPr>
          <w:p w14:paraId="4FDB62D7" w14:textId="77777777" w:rsidR="00EF4CB3" w:rsidRPr="00961E0F" w:rsidRDefault="00EF4CB3" w:rsidP="004B2956">
            <w:pPr>
              <w:pStyle w:val="TableCarCarCarCarCarCarCarCarCar"/>
              <w:keepNext w:val="0"/>
              <w:keepLines w:val="0"/>
              <w:widowControl w:val="0"/>
              <w:rPr>
                <w:rFonts w:ascii="Times New Roman" w:hAnsi="Times New Roman"/>
                <w:color w:val="000000"/>
                <w:szCs w:val="22"/>
                <w:lang w:val="fr-FR"/>
              </w:rPr>
            </w:pPr>
            <w:r w:rsidRPr="00961E0F">
              <w:rPr>
                <w:rFonts w:ascii="Times New Roman" w:hAnsi="Times New Roman"/>
                <w:color w:val="000000"/>
                <w:szCs w:val="22"/>
                <w:lang w:val="fr-FR"/>
              </w:rPr>
              <w:t xml:space="preserve">Ara-C : cytarabine ; CP : cyclophosphamide ; DEX : dexaméthasone ; </w:t>
            </w:r>
            <w:smartTag w:uri="urn:schemas-microsoft-com:office:smarttags" w:element="stockticker">
              <w:r w:rsidRPr="00961E0F">
                <w:rPr>
                  <w:rFonts w:ascii="Times New Roman" w:hAnsi="Times New Roman"/>
                  <w:color w:val="000000"/>
                  <w:szCs w:val="22"/>
                  <w:lang w:val="fr-FR"/>
                </w:rPr>
                <w:t>MTX</w:t>
              </w:r>
            </w:smartTag>
            <w:r w:rsidRPr="00961E0F">
              <w:rPr>
                <w:rFonts w:ascii="Times New Roman" w:hAnsi="Times New Roman"/>
                <w:color w:val="000000"/>
                <w:szCs w:val="22"/>
                <w:lang w:val="fr-FR"/>
              </w:rPr>
              <w:t xml:space="preserve"> : méthotrexate ; 6-MP : 6-mercaptopurine ; VM26 : téniposide ; </w:t>
            </w:r>
            <w:smartTag w:uri="urn:schemas-microsoft-com:office:smarttags" w:element="stockticker">
              <w:r w:rsidRPr="00961E0F">
                <w:rPr>
                  <w:rFonts w:ascii="Times New Roman" w:hAnsi="Times New Roman"/>
                  <w:color w:val="000000"/>
                  <w:szCs w:val="22"/>
                  <w:lang w:val="fr-FR"/>
                </w:rPr>
                <w:t>VCR</w:t>
              </w:r>
            </w:smartTag>
            <w:r w:rsidRPr="00961E0F">
              <w:rPr>
                <w:rFonts w:ascii="Times New Roman" w:hAnsi="Times New Roman"/>
                <w:color w:val="000000"/>
                <w:szCs w:val="22"/>
                <w:lang w:val="fr-FR"/>
              </w:rPr>
              <w:t xml:space="preserve"> : vincristine ; </w:t>
            </w:r>
            <w:smartTag w:uri="urn:schemas-microsoft-com:office:smarttags" w:element="stockticker">
              <w:r w:rsidRPr="00961E0F">
                <w:rPr>
                  <w:rFonts w:ascii="Times New Roman" w:hAnsi="Times New Roman"/>
                  <w:color w:val="000000"/>
                  <w:szCs w:val="22"/>
                  <w:lang w:val="fr-FR"/>
                </w:rPr>
                <w:t>IDA</w:t>
              </w:r>
            </w:smartTag>
            <w:r w:rsidRPr="00961E0F">
              <w:rPr>
                <w:rFonts w:ascii="Times New Roman" w:hAnsi="Times New Roman"/>
                <w:color w:val="000000"/>
                <w:szCs w:val="22"/>
                <w:lang w:val="fr-FR"/>
              </w:rPr>
              <w:t> : idarubicine ; i.v. : intraveineux</w:t>
            </w:r>
          </w:p>
        </w:tc>
      </w:tr>
    </w:tbl>
    <w:p w14:paraId="7598DE99" w14:textId="77777777" w:rsidR="00EF4CB3" w:rsidRPr="00961E0F" w:rsidRDefault="00EF4CB3" w:rsidP="00EF4CB3">
      <w:pPr>
        <w:pStyle w:val="EndnoteText"/>
        <w:widowControl w:val="0"/>
        <w:rPr>
          <w:color w:val="000000"/>
          <w:szCs w:val="22"/>
          <w:lang w:val="fr-FR"/>
        </w:rPr>
      </w:pPr>
    </w:p>
    <w:p w14:paraId="04A0894C" w14:textId="77777777" w:rsidR="00EF4CB3" w:rsidRPr="00961E0F" w:rsidRDefault="00EF4CB3" w:rsidP="00EF4CB3">
      <w:pPr>
        <w:pStyle w:val="EndnoteText"/>
        <w:widowControl w:val="0"/>
        <w:rPr>
          <w:color w:val="000000"/>
          <w:szCs w:val="22"/>
          <w:lang w:val="fr-FR"/>
        </w:rPr>
      </w:pPr>
      <w:r w:rsidRPr="00961E0F">
        <w:rPr>
          <w:color w:val="000000"/>
          <w:szCs w:val="22"/>
          <w:lang w:val="fr-FR"/>
        </w:rPr>
        <w:t xml:space="preserve">Population pédiatrique : Dans l’étude I2301, de phase III, non randomisée, en ouvert, multicentrique, en cohortes séquentielles, un total de 93 enfants, adolescents et jeunes adultes (âgés de 1 à 22 ans) atteints d’une LAL Ph+ ont été inclus et traités par Glivec (340 mg/m²/jour) en association avec une chimiothérapie d’intensification après une thérapie d’induction. Glivec a été administré par intermitence dans les cohortes 1 à 5, avec une augmentation de la durée et une administration plus précoce de cohorte en cohorte : la cohorte </w:t>
      </w:r>
      <w:smartTag w:uri="urn:schemas-microsoft-com:office:smarttags" w:element="metricconverter">
        <w:smartTagPr>
          <w:attr w:name="ProductID" w:val="1 a"/>
        </w:smartTagPr>
        <w:r w:rsidRPr="00961E0F">
          <w:rPr>
            <w:color w:val="000000"/>
            <w:szCs w:val="22"/>
            <w:lang w:val="fr-FR"/>
          </w:rPr>
          <w:t>1 a</w:t>
        </w:r>
      </w:smartTag>
      <w:r w:rsidRPr="00961E0F">
        <w:rPr>
          <w:color w:val="000000"/>
          <w:szCs w:val="22"/>
          <w:lang w:val="fr-FR"/>
        </w:rPr>
        <w:t xml:space="preserve"> reçu la plus faible intensité et la cohorte </w:t>
      </w:r>
      <w:smartTag w:uri="urn:schemas-microsoft-com:office:smarttags" w:element="metricconverter">
        <w:smartTagPr>
          <w:attr w:name="ProductID" w:val="5 a"/>
        </w:smartTagPr>
        <w:r w:rsidRPr="00961E0F">
          <w:rPr>
            <w:color w:val="000000"/>
            <w:szCs w:val="22"/>
            <w:lang w:val="fr-FR"/>
          </w:rPr>
          <w:t>5 a</w:t>
        </w:r>
      </w:smartTag>
      <w:r w:rsidRPr="00961E0F">
        <w:rPr>
          <w:color w:val="000000"/>
          <w:szCs w:val="22"/>
          <w:lang w:val="fr-FR"/>
        </w:rPr>
        <w:t xml:space="preserve"> reçu la plus forte intensité de Glivec (la plus longue durée en jours avec une administration continue de la dose de Glivec durant les premiers cycles de chimiothérapie). Comparativement aux groupes contrôles historiques (n=120) qui avaient reçu une chimiothérapie standard sans Glivec, l’exposition journalière continue et précoce à Glivec dans le cycle de traitement en association à la chimiothérapie chez les patients de la cohorte 5 (n=50) a augmenté la survie sans événement à 4 ans (69,6% vs. 31,6%, respectivement). La survie globale estimée à 4 ans était de 83,6% chez les patients de la cohorte 5 versus 44,8% chez ceux des groupes contrôles historiques. Vingt patients sur 50 (40%) de la cohorte 5 ont reçu une transplantation de cellules souches hématopoïétiques.</w:t>
      </w:r>
    </w:p>
    <w:p w14:paraId="1DBFE9E0" w14:textId="77777777" w:rsidR="00EF4CB3" w:rsidRPr="00961E0F" w:rsidRDefault="00EF4CB3" w:rsidP="00EF4CB3">
      <w:pPr>
        <w:pStyle w:val="EndnoteText"/>
        <w:widowControl w:val="0"/>
        <w:rPr>
          <w:color w:val="000000"/>
          <w:szCs w:val="22"/>
          <w:lang w:val="fr-FR"/>
        </w:rPr>
      </w:pPr>
    </w:p>
    <w:p w14:paraId="667BF1DE" w14:textId="77777777" w:rsidR="00EF4CB3" w:rsidRPr="00961E0F" w:rsidRDefault="00EF4CB3" w:rsidP="00EF4CB3">
      <w:pPr>
        <w:pStyle w:val="EndnoteText"/>
        <w:keepNext/>
        <w:widowControl w:val="0"/>
        <w:tabs>
          <w:tab w:val="clear" w:pos="567"/>
        </w:tabs>
        <w:ind w:left="1134" w:hanging="1134"/>
        <w:rPr>
          <w:b/>
          <w:color w:val="000000"/>
          <w:lang w:val="fr-FR"/>
        </w:rPr>
      </w:pPr>
      <w:r w:rsidRPr="00961E0F">
        <w:rPr>
          <w:b/>
          <w:color w:val="000000"/>
          <w:lang w:val="fr-FR"/>
        </w:rPr>
        <w:t>Tableau </w:t>
      </w:r>
      <w:r w:rsidR="00A239AE" w:rsidRPr="00961E0F">
        <w:rPr>
          <w:b/>
          <w:color w:val="000000"/>
          <w:lang w:val="fr-FR"/>
        </w:rPr>
        <w:t>5</w:t>
      </w:r>
      <w:r w:rsidRPr="00961E0F">
        <w:rPr>
          <w:b/>
          <w:color w:val="000000"/>
          <w:lang w:val="fr-FR"/>
        </w:rPr>
        <w:tab/>
      </w:r>
      <w:r w:rsidRPr="00961E0F">
        <w:rPr>
          <w:b/>
          <w:bCs/>
          <w:color w:val="000000"/>
          <w:szCs w:val="22"/>
          <w:lang w:val="fr-FR"/>
        </w:rPr>
        <w:t>Schéma des chimiothérapies</w:t>
      </w:r>
      <w:r w:rsidRPr="00961E0F">
        <w:rPr>
          <w:b/>
          <w:color w:val="000000"/>
          <w:szCs w:val="22"/>
          <w:lang w:val="fr-FR"/>
        </w:rPr>
        <w:t xml:space="preserve"> utilisées en association avec l’imatinib</w:t>
      </w:r>
      <w:r w:rsidRPr="00961E0F">
        <w:rPr>
          <w:b/>
          <w:color w:val="000000"/>
          <w:lang w:val="fr-FR"/>
        </w:rPr>
        <w:t xml:space="preserve"> dans l’étude I2301</w:t>
      </w:r>
    </w:p>
    <w:p w14:paraId="3BFAB408" w14:textId="77777777" w:rsidR="00EF4CB3" w:rsidRPr="00961E0F" w:rsidRDefault="00EF4CB3" w:rsidP="000A7F49">
      <w:pPr>
        <w:pStyle w:val="EndnoteText"/>
        <w:keepNext/>
        <w:widowControl w:val="0"/>
        <w:rPr>
          <w:color w:val="00000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6724"/>
      </w:tblGrid>
      <w:tr w:rsidR="00EF4CB3" w:rsidRPr="00961E0F" w14:paraId="4F7719BA" w14:textId="77777777" w:rsidTr="000A7F49">
        <w:trPr>
          <w:cantSplit/>
        </w:trPr>
        <w:tc>
          <w:tcPr>
            <w:tcW w:w="2358" w:type="dxa"/>
            <w:shd w:val="clear" w:color="auto" w:fill="auto"/>
          </w:tcPr>
          <w:p w14:paraId="1BD95D57" w14:textId="77777777" w:rsidR="00EF4CB3" w:rsidRPr="00961E0F" w:rsidRDefault="00EF4CB3" w:rsidP="00F84278">
            <w:pPr>
              <w:pStyle w:val="EndnoteText"/>
              <w:widowControl w:val="0"/>
              <w:rPr>
                <w:color w:val="000000"/>
              </w:rPr>
            </w:pPr>
            <w:r w:rsidRPr="00961E0F">
              <w:rPr>
                <w:color w:val="000000"/>
              </w:rPr>
              <w:t>Bloc de consolidation 1 (3 semaines)</w:t>
            </w:r>
          </w:p>
        </w:tc>
        <w:tc>
          <w:tcPr>
            <w:tcW w:w="6928" w:type="dxa"/>
            <w:shd w:val="clear" w:color="auto" w:fill="auto"/>
          </w:tcPr>
          <w:p w14:paraId="7CDEA28D" w14:textId="77777777" w:rsidR="00EF4CB3" w:rsidRPr="00961E0F" w:rsidRDefault="00EF4CB3" w:rsidP="00F84278">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/jour, IV) : jours 1</w:t>
            </w:r>
            <w:r w:rsidRPr="00961E0F">
              <w:rPr>
                <w:color w:val="000000"/>
                <w:lang w:val="fr-FR"/>
              </w:rPr>
              <w:noBreakHyphen/>
              <w:t>5</w:t>
            </w:r>
          </w:p>
          <w:p w14:paraId="040EF429" w14:textId="77777777" w:rsidR="00EF4CB3" w:rsidRPr="00961E0F" w:rsidRDefault="00EF4CB3" w:rsidP="00F84278">
            <w:pPr>
              <w:pStyle w:val="EndnoteText"/>
              <w:widowControl w:val="0"/>
              <w:rPr>
                <w:color w:val="000000"/>
                <w:lang w:val="fr-FR"/>
              </w:rPr>
            </w:pPr>
            <w:r w:rsidRPr="00961E0F">
              <w:rPr>
                <w:color w:val="000000"/>
                <w:lang w:val="fr-FR"/>
              </w:rPr>
              <w:t>Ifosfamide (1,8 g/m</w:t>
            </w:r>
            <w:r w:rsidRPr="00961E0F">
              <w:rPr>
                <w:color w:val="000000"/>
                <w:vertAlign w:val="superscript"/>
                <w:lang w:val="fr-FR"/>
              </w:rPr>
              <w:t>2</w:t>
            </w:r>
            <w:r w:rsidRPr="00961E0F">
              <w:rPr>
                <w:color w:val="000000"/>
                <w:lang w:val="fr-FR"/>
              </w:rPr>
              <w:t>/jour, IV) : jours 1</w:t>
            </w:r>
            <w:r w:rsidRPr="00961E0F">
              <w:rPr>
                <w:color w:val="000000"/>
                <w:lang w:val="fr-FR"/>
              </w:rPr>
              <w:noBreakHyphen/>
              <w:t>5</w:t>
            </w:r>
          </w:p>
          <w:p w14:paraId="4CB982F7" w14:textId="77777777" w:rsidR="00EF4CB3" w:rsidRPr="00961E0F" w:rsidRDefault="00EF4CB3" w:rsidP="00F84278">
            <w:pPr>
              <w:pStyle w:val="EndnoteText"/>
              <w:widowControl w:val="0"/>
              <w:rPr>
                <w:color w:val="000000"/>
                <w:lang w:val="fr-FR"/>
              </w:rPr>
            </w:pPr>
            <w:r w:rsidRPr="00961E0F">
              <w:rPr>
                <w:color w:val="000000"/>
                <w:lang w:val="fr-FR"/>
              </w:rPr>
              <w:t>MESNA (360 mg/m</w:t>
            </w:r>
            <w:r w:rsidRPr="00961E0F">
              <w:rPr>
                <w:color w:val="000000"/>
                <w:vertAlign w:val="superscript"/>
                <w:lang w:val="fr-FR"/>
              </w:rPr>
              <w:t>2</w:t>
            </w:r>
            <w:r w:rsidRPr="00961E0F">
              <w:rPr>
                <w:color w:val="000000"/>
                <w:lang w:val="fr-FR"/>
              </w:rPr>
              <w:t>/dose en 3 heures, x 8 doses/jour, IV) : jours 1</w:t>
            </w:r>
            <w:r w:rsidRPr="00961E0F">
              <w:rPr>
                <w:color w:val="000000"/>
                <w:lang w:val="fr-FR"/>
              </w:rPr>
              <w:noBreakHyphen/>
              <w:t>5</w:t>
            </w:r>
          </w:p>
          <w:p w14:paraId="03E20ECF"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6</w:t>
            </w:r>
            <w:r w:rsidRPr="00961E0F">
              <w:rPr>
                <w:color w:val="000000"/>
                <w:lang w:val="fr-FR"/>
              </w:rPr>
              <w:noBreakHyphen/>
              <w:t>15 ou jusqu’à un taux de neutrophile absolu &gt; 1500 post nadir</w:t>
            </w:r>
          </w:p>
          <w:p w14:paraId="125EBCD8" w14:textId="77777777" w:rsidR="00EF4CB3" w:rsidRPr="00961E0F" w:rsidRDefault="00EF4CB3" w:rsidP="00F84278">
            <w:pPr>
              <w:pStyle w:val="EndnoteText"/>
              <w:widowControl w:val="0"/>
              <w:rPr>
                <w:color w:val="000000"/>
                <w:lang w:val="fr-FR"/>
              </w:rPr>
            </w:pPr>
            <w:r w:rsidRPr="00961E0F">
              <w:rPr>
                <w:color w:val="000000"/>
                <w:lang w:val="fr-FR"/>
              </w:rPr>
              <w:t>Methotrexate IT (ajusté à l’âge) : jour 1 SEULEMENT</w:t>
            </w:r>
          </w:p>
          <w:p w14:paraId="577F734C"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8 et 15</w:t>
            </w:r>
          </w:p>
        </w:tc>
      </w:tr>
      <w:tr w:rsidR="00EF4CB3" w:rsidRPr="00961E0F" w14:paraId="02F6DE01" w14:textId="77777777" w:rsidTr="000A7F49">
        <w:trPr>
          <w:cantSplit/>
        </w:trPr>
        <w:tc>
          <w:tcPr>
            <w:tcW w:w="2358" w:type="dxa"/>
            <w:shd w:val="clear" w:color="auto" w:fill="auto"/>
          </w:tcPr>
          <w:p w14:paraId="2722DCB9" w14:textId="77777777" w:rsidR="00EF4CB3" w:rsidRPr="00961E0F" w:rsidRDefault="00EF4CB3" w:rsidP="00F84278">
            <w:pPr>
              <w:pStyle w:val="EndnoteText"/>
              <w:widowControl w:val="0"/>
              <w:rPr>
                <w:color w:val="000000"/>
              </w:rPr>
            </w:pPr>
            <w:r w:rsidRPr="00961E0F">
              <w:rPr>
                <w:color w:val="000000"/>
              </w:rPr>
              <w:lastRenderedPageBreak/>
              <w:t>Bloc de consolidation 2 (3 semaines)</w:t>
            </w:r>
          </w:p>
        </w:tc>
        <w:tc>
          <w:tcPr>
            <w:tcW w:w="6928" w:type="dxa"/>
            <w:shd w:val="clear" w:color="auto" w:fill="auto"/>
          </w:tcPr>
          <w:p w14:paraId="7F7A6B1D" w14:textId="77777777" w:rsidR="00EF4CB3" w:rsidRPr="00961E0F" w:rsidRDefault="00EF4CB3" w:rsidP="00F84278">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Pr="00961E0F">
              <w:rPr>
                <w:color w:val="000000"/>
                <w:lang w:val="fr-FR"/>
              </w:rPr>
              <w:t xml:space="preserve"> sur 24 heures, IV) : jour 1</w:t>
            </w:r>
          </w:p>
          <w:p w14:paraId="166C236F" w14:textId="77777777" w:rsidR="00EF4CB3" w:rsidRPr="00961E0F" w:rsidRDefault="00EF4CB3" w:rsidP="00F84278">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à heure 36, IV; 15 mg/m</w:t>
            </w:r>
            <w:r w:rsidRPr="00961E0F">
              <w:rPr>
                <w:color w:val="000000"/>
                <w:vertAlign w:val="superscript"/>
                <w:lang w:val="fr-FR"/>
              </w:rPr>
              <w:t>2</w:t>
            </w:r>
            <w:r w:rsidRPr="00961E0F">
              <w:rPr>
                <w:color w:val="000000"/>
                <w:lang w:val="fr-FR"/>
              </w:rPr>
              <w:t xml:space="preserve"> IV ou PO toutes les 6 heures x 6 doses) iii: jour 2 et 3</w:t>
            </w:r>
          </w:p>
          <w:p w14:paraId="4D982261"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 1</w:t>
            </w:r>
          </w:p>
          <w:p w14:paraId="606BC0E6" w14:textId="77777777" w:rsidR="00EF4CB3" w:rsidRPr="00961E0F" w:rsidRDefault="00EF4CB3" w:rsidP="00F84278">
            <w:pPr>
              <w:pStyle w:val="EndnoteText"/>
              <w:widowControl w:val="0"/>
              <w:rPr>
                <w:color w:val="000000"/>
                <w:lang w:val="fr-FR"/>
              </w:rPr>
            </w:pPr>
            <w:r w:rsidRPr="00961E0F">
              <w:rPr>
                <w:color w:val="000000"/>
                <w:lang w:val="fr-FR"/>
              </w:rPr>
              <w:t>ARA-C (3 g/m</w:t>
            </w:r>
            <w:r w:rsidRPr="00961E0F">
              <w:rPr>
                <w:color w:val="000000"/>
                <w:vertAlign w:val="superscript"/>
                <w:lang w:val="fr-FR"/>
              </w:rPr>
              <w:t>2</w:t>
            </w:r>
            <w:r w:rsidRPr="00961E0F">
              <w:rPr>
                <w:color w:val="000000"/>
                <w:lang w:val="fr-FR"/>
              </w:rPr>
              <w:t>/dose toutes les 12 heures x 4, IV) : jours 2 et 3</w:t>
            </w:r>
          </w:p>
          <w:p w14:paraId="20D41358"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4</w:t>
            </w:r>
            <w:r w:rsidRPr="00961E0F">
              <w:rPr>
                <w:color w:val="000000"/>
                <w:lang w:val="fr-FR"/>
              </w:rPr>
              <w:noBreakHyphen/>
              <w:t>13 ou jusqu’à un taux de neutrophile absolu &gt; 1500 post nadir</w:t>
            </w:r>
          </w:p>
        </w:tc>
      </w:tr>
      <w:tr w:rsidR="00EF4CB3" w:rsidRPr="00961E0F" w14:paraId="2A7C0F9A" w14:textId="77777777" w:rsidTr="000A7F49">
        <w:trPr>
          <w:cantSplit/>
        </w:trPr>
        <w:tc>
          <w:tcPr>
            <w:tcW w:w="2358" w:type="dxa"/>
            <w:shd w:val="clear" w:color="auto" w:fill="auto"/>
          </w:tcPr>
          <w:p w14:paraId="53AF8755" w14:textId="77777777" w:rsidR="00EF4CB3" w:rsidRPr="00961E0F" w:rsidRDefault="00EF4CB3" w:rsidP="00F84278">
            <w:pPr>
              <w:pStyle w:val="EndnoteText"/>
              <w:widowControl w:val="0"/>
              <w:rPr>
                <w:color w:val="000000"/>
              </w:rPr>
            </w:pPr>
            <w:r w:rsidRPr="00961E0F">
              <w:rPr>
                <w:color w:val="000000"/>
              </w:rPr>
              <w:t>Bloc de réinduction 1 (3 semaines)</w:t>
            </w:r>
          </w:p>
        </w:tc>
        <w:tc>
          <w:tcPr>
            <w:tcW w:w="6928" w:type="dxa"/>
            <w:shd w:val="clear" w:color="auto" w:fill="auto"/>
          </w:tcPr>
          <w:p w14:paraId="0FE79FDA" w14:textId="77777777" w:rsidR="00EF4CB3" w:rsidRPr="00961E0F" w:rsidRDefault="00EF4CB3" w:rsidP="00F84278">
            <w:pPr>
              <w:pStyle w:val="EndnoteText"/>
              <w:widowControl w:val="0"/>
              <w:rPr>
                <w:color w:val="000000"/>
                <w:lang w:val="fr-FR"/>
              </w:rPr>
            </w:pPr>
            <w:r w:rsidRPr="00961E0F">
              <w:rPr>
                <w:color w:val="000000"/>
                <w:lang w:val="fr-FR"/>
              </w:rPr>
              <w:t>VCR (1,5 mg/m</w:t>
            </w:r>
            <w:r w:rsidRPr="00961E0F">
              <w:rPr>
                <w:color w:val="000000"/>
                <w:vertAlign w:val="superscript"/>
                <w:lang w:val="fr-FR"/>
              </w:rPr>
              <w:t>2</w:t>
            </w:r>
            <w:r w:rsidRPr="00961E0F">
              <w:rPr>
                <w:color w:val="000000"/>
                <w:lang w:val="fr-FR"/>
              </w:rPr>
              <w:t>/jour, IV) : jours 1, 8, et 15</w:t>
            </w:r>
          </w:p>
          <w:p w14:paraId="43EC1BC0" w14:textId="77777777" w:rsidR="00EF4CB3" w:rsidRPr="00961E0F" w:rsidRDefault="00EF4CB3" w:rsidP="00F84278">
            <w:pPr>
              <w:pStyle w:val="EndnoteText"/>
              <w:widowControl w:val="0"/>
              <w:rPr>
                <w:color w:val="000000"/>
                <w:lang w:val="fr-FR"/>
              </w:rPr>
            </w:pPr>
            <w:r w:rsidRPr="00961E0F">
              <w:rPr>
                <w:color w:val="000000"/>
                <w:lang w:val="fr-FR"/>
              </w:rPr>
              <w:t>DAUN (45 mg/m</w:t>
            </w:r>
            <w:r w:rsidRPr="00961E0F">
              <w:rPr>
                <w:color w:val="000000"/>
                <w:vertAlign w:val="superscript"/>
                <w:lang w:val="fr-FR"/>
              </w:rPr>
              <w:t>2</w:t>
            </w:r>
            <w:r w:rsidRPr="00961E0F">
              <w:rPr>
                <w:color w:val="000000"/>
                <w:lang w:val="fr-FR"/>
              </w:rPr>
              <w:t>/jour bolus, IV) : jours 1 et 2</w:t>
            </w:r>
          </w:p>
          <w:p w14:paraId="53F17F5F" w14:textId="77777777" w:rsidR="00EF4CB3" w:rsidRPr="00961E0F" w:rsidRDefault="00EF4CB3" w:rsidP="00F84278">
            <w:pPr>
              <w:pStyle w:val="EndnoteText"/>
              <w:widowControl w:val="0"/>
              <w:rPr>
                <w:color w:val="000000"/>
                <w:lang w:val="fr-FR"/>
              </w:rPr>
            </w:pPr>
            <w:r w:rsidRPr="00961E0F">
              <w:rPr>
                <w:color w:val="000000"/>
                <w:lang w:val="fr-FR"/>
              </w:rPr>
              <w:t>CPM (250 mg/m</w:t>
            </w:r>
            <w:r w:rsidRPr="00961E0F">
              <w:rPr>
                <w:color w:val="000000"/>
                <w:vertAlign w:val="superscript"/>
                <w:lang w:val="fr-FR"/>
              </w:rPr>
              <w:t>2</w:t>
            </w:r>
            <w:r w:rsidRPr="00961E0F">
              <w:rPr>
                <w:color w:val="000000"/>
                <w:lang w:val="fr-FR"/>
              </w:rPr>
              <w:t>/dose toutes les 12 heures x 4 doses, IV) : jours 3 and 4</w:t>
            </w:r>
          </w:p>
          <w:p w14:paraId="72B04B8E" w14:textId="77777777" w:rsidR="00EF4CB3" w:rsidRPr="00961E0F" w:rsidRDefault="00EF4CB3" w:rsidP="00F84278">
            <w:pPr>
              <w:pStyle w:val="EndnoteText"/>
              <w:widowControl w:val="0"/>
              <w:rPr>
                <w:color w:val="000000"/>
                <w:lang w:val="de-DE"/>
              </w:rPr>
            </w:pPr>
            <w:r w:rsidRPr="00961E0F">
              <w:rPr>
                <w:color w:val="000000"/>
                <w:lang w:val="de-DE"/>
              </w:rPr>
              <w:t>PEG-ASP (2500 UI/m</w:t>
            </w:r>
            <w:r w:rsidRPr="00961E0F">
              <w:rPr>
                <w:color w:val="000000"/>
                <w:vertAlign w:val="superscript"/>
                <w:lang w:val="de-DE"/>
              </w:rPr>
              <w:t>2</w:t>
            </w:r>
            <w:r w:rsidRPr="00961E0F">
              <w:rPr>
                <w:color w:val="000000"/>
                <w:lang w:val="de-DE"/>
              </w:rPr>
              <w:t>, IM) : jour 4</w:t>
            </w:r>
          </w:p>
          <w:p w14:paraId="704F83F0"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5</w:t>
            </w:r>
            <w:r w:rsidRPr="00961E0F">
              <w:rPr>
                <w:color w:val="000000"/>
                <w:lang w:val="fr-FR"/>
              </w:rPr>
              <w:noBreakHyphen/>
              <w:t>14 ou jusqu’à un taux de neutrophile absolu &gt; 1500 post nadir</w:t>
            </w:r>
          </w:p>
          <w:p w14:paraId="35858A0C"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1 et 15</w:t>
            </w:r>
          </w:p>
          <w:p w14:paraId="5F0DAB93" w14:textId="77777777" w:rsidR="00EF4CB3" w:rsidRPr="00961E0F" w:rsidRDefault="00EF4CB3" w:rsidP="00F84278">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/jour, PO) : jours 1</w:t>
            </w:r>
            <w:r w:rsidRPr="00961E0F">
              <w:rPr>
                <w:color w:val="000000"/>
                <w:lang w:val="fr-FR"/>
              </w:rPr>
              <w:noBreakHyphen/>
              <w:t>7 et 15</w:t>
            </w:r>
            <w:r w:rsidRPr="00961E0F">
              <w:rPr>
                <w:color w:val="000000"/>
                <w:lang w:val="fr-FR"/>
              </w:rPr>
              <w:noBreakHyphen/>
              <w:t>21</w:t>
            </w:r>
          </w:p>
        </w:tc>
      </w:tr>
      <w:tr w:rsidR="00EF4CB3" w:rsidRPr="00961E0F" w14:paraId="51EC3EC1" w14:textId="77777777" w:rsidTr="000A7F49">
        <w:trPr>
          <w:cantSplit/>
        </w:trPr>
        <w:tc>
          <w:tcPr>
            <w:tcW w:w="2358" w:type="dxa"/>
            <w:shd w:val="clear" w:color="auto" w:fill="auto"/>
          </w:tcPr>
          <w:p w14:paraId="746F61AE" w14:textId="77777777" w:rsidR="00EF4CB3" w:rsidRPr="00961E0F" w:rsidRDefault="00EF4CB3" w:rsidP="00F84278">
            <w:pPr>
              <w:pStyle w:val="EndnoteText"/>
              <w:widowControl w:val="0"/>
              <w:rPr>
                <w:color w:val="000000"/>
              </w:rPr>
            </w:pPr>
            <w:r w:rsidRPr="00961E0F">
              <w:rPr>
                <w:color w:val="000000"/>
              </w:rPr>
              <w:t>Bloc d’intensification 1 (9 semaines)</w:t>
            </w:r>
          </w:p>
        </w:tc>
        <w:tc>
          <w:tcPr>
            <w:tcW w:w="6928" w:type="dxa"/>
            <w:shd w:val="clear" w:color="auto" w:fill="auto"/>
          </w:tcPr>
          <w:p w14:paraId="70034F23" w14:textId="77777777" w:rsidR="00EF4CB3" w:rsidRPr="00961E0F" w:rsidRDefault="00EF4CB3" w:rsidP="00F84278">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Pr="00961E0F">
              <w:rPr>
                <w:color w:val="000000"/>
                <w:lang w:val="fr-FR"/>
              </w:rPr>
              <w:t xml:space="preserve"> sur 24 heures, IV) : jours 1 et 15</w:t>
            </w:r>
          </w:p>
          <w:p w14:paraId="49FFE687" w14:textId="77777777" w:rsidR="00EF4CB3" w:rsidRPr="00961E0F" w:rsidRDefault="00EF4CB3" w:rsidP="00F84278">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à heure 36, IV; 15 mg/m</w:t>
            </w:r>
            <w:r w:rsidRPr="00961E0F">
              <w:rPr>
                <w:color w:val="000000"/>
                <w:vertAlign w:val="superscript"/>
                <w:lang w:val="fr-FR"/>
              </w:rPr>
              <w:t>2</w:t>
            </w:r>
            <w:r w:rsidRPr="00961E0F">
              <w:rPr>
                <w:color w:val="000000"/>
                <w:lang w:val="fr-FR"/>
              </w:rPr>
              <w:t xml:space="preserve"> IV ou PO toutes les 6 heures x 6 doses) iii: jours 2, 3, 16, et 17</w:t>
            </w:r>
          </w:p>
          <w:p w14:paraId="793BA9C6"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1 et 22</w:t>
            </w:r>
          </w:p>
          <w:p w14:paraId="00ECFDE1" w14:textId="77777777" w:rsidR="00EF4CB3" w:rsidRPr="00961E0F" w:rsidRDefault="00EF4CB3" w:rsidP="00F84278">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/jour, IV) : jours 22</w:t>
            </w:r>
            <w:r w:rsidRPr="00961E0F">
              <w:rPr>
                <w:color w:val="000000"/>
                <w:lang w:val="fr-FR"/>
              </w:rPr>
              <w:noBreakHyphen/>
              <w:t>26</w:t>
            </w:r>
          </w:p>
          <w:p w14:paraId="1ED4586A" w14:textId="77777777" w:rsidR="00EF4CB3" w:rsidRPr="00961E0F" w:rsidRDefault="00EF4CB3" w:rsidP="00F84278">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/jour, IV) : jours 22</w:t>
            </w:r>
            <w:r w:rsidRPr="00961E0F">
              <w:rPr>
                <w:color w:val="000000"/>
                <w:lang w:val="fr-FR"/>
              </w:rPr>
              <w:noBreakHyphen/>
              <w:t>26</w:t>
            </w:r>
          </w:p>
          <w:p w14:paraId="53508C69" w14:textId="77777777" w:rsidR="00EF4CB3" w:rsidRPr="00961E0F" w:rsidRDefault="00EF4CB3" w:rsidP="00F84278">
            <w:pPr>
              <w:pStyle w:val="EndnoteText"/>
              <w:widowControl w:val="0"/>
              <w:rPr>
                <w:color w:val="000000"/>
                <w:lang w:val="fr-FR"/>
              </w:rPr>
            </w:pPr>
            <w:r w:rsidRPr="00961E0F">
              <w:rPr>
                <w:color w:val="000000"/>
                <w:lang w:val="fr-FR"/>
              </w:rPr>
              <w:t>MESNA (150 mg/m</w:t>
            </w:r>
            <w:r w:rsidRPr="00961E0F">
              <w:rPr>
                <w:color w:val="000000"/>
                <w:vertAlign w:val="superscript"/>
                <w:lang w:val="fr-FR"/>
              </w:rPr>
              <w:t>2</w:t>
            </w:r>
            <w:r w:rsidRPr="00961E0F">
              <w:rPr>
                <w:color w:val="000000"/>
                <w:lang w:val="fr-FR"/>
              </w:rPr>
              <w:t>/jour, IV) : jours 22</w:t>
            </w:r>
            <w:r w:rsidRPr="00961E0F">
              <w:rPr>
                <w:color w:val="000000"/>
                <w:lang w:val="fr-FR"/>
              </w:rPr>
              <w:noBreakHyphen/>
              <w:t>26</w:t>
            </w:r>
          </w:p>
          <w:p w14:paraId="54277C6F"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27</w:t>
            </w:r>
            <w:r w:rsidRPr="00961E0F">
              <w:rPr>
                <w:color w:val="000000"/>
                <w:lang w:val="fr-FR"/>
              </w:rPr>
              <w:noBreakHyphen/>
              <w:t>36 ou jusqu’à un taux de neutrophile absolu &gt; 1500 post nadir</w:t>
            </w:r>
          </w:p>
          <w:p w14:paraId="09DDA038" w14:textId="77777777" w:rsidR="00EF4CB3" w:rsidRPr="00961E0F" w:rsidRDefault="00EF4CB3" w:rsidP="00F84278">
            <w:pPr>
              <w:pStyle w:val="EndnoteText"/>
              <w:widowControl w:val="0"/>
              <w:rPr>
                <w:color w:val="000000"/>
                <w:lang w:val="fr-FR"/>
              </w:rPr>
            </w:pPr>
            <w:r w:rsidRPr="00961E0F">
              <w:rPr>
                <w:color w:val="000000"/>
                <w:lang w:val="fr-FR"/>
              </w:rPr>
              <w:t>ARA-C (3 g/m</w:t>
            </w:r>
            <w:r w:rsidRPr="00961E0F">
              <w:rPr>
                <w:color w:val="000000"/>
                <w:vertAlign w:val="superscript"/>
                <w:lang w:val="fr-FR"/>
              </w:rPr>
              <w:t>2</w:t>
            </w:r>
            <w:r w:rsidRPr="00961E0F">
              <w:rPr>
                <w:color w:val="000000"/>
                <w:lang w:val="fr-FR"/>
              </w:rPr>
              <w:t>, toutes les 12 heures, IV) : jours 43 et 44</w:t>
            </w:r>
          </w:p>
          <w:p w14:paraId="16583B6B" w14:textId="77777777" w:rsidR="00EF4CB3" w:rsidRPr="00961E0F" w:rsidRDefault="00EF4CB3" w:rsidP="00F84278">
            <w:pPr>
              <w:pStyle w:val="EndnoteText"/>
              <w:widowControl w:val="0"/>
              <w:rPr>
                <w:color w:val="000000"/>
                <w:lang w:val="fr-FR"/>
              </w:rPr>
            </w:pPr>
            <w:r w:rsidRPr="00961E0F">
              <w:rPr>
                <w:color w:val="000000"/>
                <w:lang w:val="fr-FR"/>
              </w:rPr>
              <w:t>L-ASP (6000 UI/m</w:t>
            </w:r>
            <w:r w:rsidRPr="00961E0F">
              <w:rPr>
                <w:color w:val="000000"/>
                <w:vertAlign w:val="superscript"/>
                <w:lang w:val="fr-FR"/>
              </w:rPr>
              <w:t>2</w:t>
            </w:r>
            <w:r w:rsidRPr="00961E0F">
              <w:rPr>
                <w:color w:val="000000"/>
                <w:lang w:val="fr-FR"/>
              </w:rPr>
              <w:t>, IM) : jour 44</w:t>
            </w:r>
          </w:p>
        </w:tc>
      </w:tr>
      <w:tr w:rsidR="00EF4CB3" w:rsidRPr="00961E0F" w14:paraId="601F3643" w14:textId="77777777" w:rsidTr="000A7F49">
        <w:trPr>
          <w:cantSplit/>
        </w:trPr>
        <w:tc>
          <w:tcPr>
            <w:tcW w:w="2358" w:type="dxa"/>
            <w:shd w:val="clear" w:color="auto" w:fill="auto"/>
          </w:tcPr>
          <w:p w14:paraId="6F304582" w14:textId="77777777" w:rsidR="00EF4CB3" w:rsidRPr="00961E0F" w:rsidRDefault="00EF4CB3" w:rsidP="00F84278">
            <w:pPr>
              <w:pStyle w:val="EndnoteText"/>
              <w:widowControl w:val="0"/>
              <w:rPr>
                <w:color w:val="000000"/>
              </w:rPr>
            </w:pPr>
            <w:r w:rsidRPr="00961E0F">
              <w:rPr>
                <w:color w:val="000000"/>
              </w:rPr>
              <w:t>Bloc de réinduction 2 (3 semaines)</w:t>
            </w:r>
          </w:p>
        </w:tc>
        <w:tc>
          <w:tcPr>
            <w:tcW w:w="6928" w:type="dxa"/>
            <w:shd w:val="clear" w:color="auto" w:fill="auto"/>
          </w:tcPr>
          <w:p w14:paraId="29E76C70" w14:textId="77777777" w:rsidR="00EF4CB3" w:rsidRPr="00961E0F" w:rsidRDefault="00EF4CB3" w:rsidP="00F84278">
            <w:pPr>
              <w:pStyle w:val="EndnoteText"/>
              <w:widowControl w:val="0"/>
              <w:rPr>
                <w:color w:val="000000"/>
                <w:lang w:val="fr-FR"/>
              </w:rPr>
            </w:pPr>
            <w:r w:rsidRPr="00961E0F">
              <w:rPr>
                <w:color w:val="000000"/>
                <w:lang w:val="fr-FR"/>
              </w:rPr>
              <w:t>VCR (1,5 mg/m</w:t>
            </w:r>
            <w:r w:rsidRPr="00961E0F">
              <w:rPr>
                <w:color w:val="000000"/>
                <w:vertAlign w:val="superscript"/>
                <w:lang w:val="fr-FR"/>
              </w:rPr>
              <w:t>2</w:t>
            </w:r>
            <w:r w:rsidRPr="00961E0F">
              <w:rPr>
                <w:color w:val="000000"/>
                <w:lang w:val="fr-FR"/>
              </w:rPr>
              <w:t>/jour, IV) : jours 1, 8 et 15</w:t>
            </w:r>
          </w:p>
          <w:p w14:paraId="2E37C0DB" w14:textId="77777777" w:rsidR="00EF4CB3" w:rsidRPr="00961E0F" w:rsidRDefault="00EF4CB3" w:rsidP="00F84278">
            <w:pPr>
              <w:pStyle w:val="EndnoteText"/>
              <w:widowControl w:val="0"/>
              <w:rPr>
                <w:color w:val="000000"/>
                <w:lang w:val="fr-FR"/>
              </w:rPr>
            </w:pPr>
            <w:r w:rsidRPr="00961E0F">
              <w:rPr>
                <w:color w:val="000000"/>
                <w:lang w:val="fr-FR"/>
              </w:rPr>
              <w:t>DAUN (45 mg/m</w:t>
            </w:r>
            <w:r w:rsidRPr="00961E0F">
              <w:rPr>
                <w:color w:val="000000"/>
                <w:vertAlign w:val="superscript"/>
                <w:lang w:val="fr-FR"/>
              </w:rPr>
              <w:t>2</w:t>
            </w:r>
            <w:r w:rsidRPr="00961E0F">
              <w:rPr>
                <w:color w:val="000000"/>
                <w:lang w:val="fr-FR"/>
              </w:rPr>
              <w:t>/jour bolus, IV) : jours 1 et 2</w:t>
            </w:r>
          </w:p>
          <w:p w14:paraId="2BEE65EE" w14:textId="77777777" w:rsidR="00EF4CB3" w:rsidRPr="00961E0F" w:rsidRDefault="00EF4CB3" w:rsidP="00F84278">
            <w:pPr>
              <w:pStyle w:val="EndnoteText"/>
              <w:widowControl w:val="0"/>
              <w:rPr>
                <w:color w:val="000000"/>
                <w:lang w:val="fr-FR"/>
              </w:rPr>
            </w:pPr>
            <w:r w:rsidRPr="00961E0F">
              <w:rPr>
                <w:color w:val="000000"/>
                <w:lang w:val="fr-FR"/>
              </w:rPr>
              <w:t>CPM (250 mg/m</w:t>
            </w:r>
            <w:r w:rsidRPr="00961E0F">
              <w:rPr>
                <w:color w:val="000000"/>
                <w:vertAlign w:val="superscript"/>
                <w:lang w:val="fr-FR"/>
              </w:rPr>
              <w:t>2</w:t>
            </w:r>
            <w:r w:rsidRPr="00961E0F">
              <w:rPr>
                <w:color w:val="000000"/>
                <w:lang w:val="fr-FR"/>
              </w:rPr>
              <w:t>/dose toutes les 12 heures x 4 doses, iv) : jours 3 et 4</w:t>
            </w:r>
          </w:p>
          <w:p w14:paraId="73C9232A" w14:textId="77777777" w:rsidR="00EF4CB3" w:rsidRPr="00961E0F" w:rsidRDefault="00EF4CB3" w:rsidP="00F84278">
            <w:pPr>
              <w:pStyle w:val="EndnoteText"/>
              <w:widowControl w:val="0"/>
              <w:rPr>
                <w:color w:val="000000"/>
                <w:lang w:val="de-DE"/>
              </w:rPr>
            </w:pPr>
            <w:r w:rsidRPr="00961E0F">
              <w:rPr>
                <w:color w:val="000000"/>
                <w:lang w:val="de-DE"/>
              </w:rPr>
              <w:t>PEG-ASP (2500 UI/m</w:t>
            </w:r>
            <w:r w:rsidRPr="00961E0F">
              <w:rPr>
                <w:color w:val="000000"/>
                <w:vertAlign w:val="superscript"/>
                <w:lang w:val="de-DE"/>
              </w:rPr>
              <w:t>2</w:t>
            </w:r>
            <w:r w:rsidRPr="00961E0F">
              <w:rPr>
                <w:color w:val="000000"/>
                <w:lang w:val="de-DE"/>
              </w:rPr>
              <w:t>, IM) : jour 4</w:t>
            </w:r>
          </w:p>
          <w:p w14:paraId="0656FBF2"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5</w:t>
            </w:r>
            <w:r w:rsidRPr="00961E0F">
              <w:rPr>
                <w:color w:val="000000"/>
                <w:lang w:val="fr-FR"/>
              </w:rPr>
              <w:noBreakHyphen/>
              <w:t>14 ou jusqu’à un taux de neutrophile absolu &gt; 1500 post nadir</w:t>
            </w:r>
          </w:p>
          <w:p w14:paraId="520C25CA"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1 et 15</w:t>
            </w:r>
          </w:p>
          <w:p w14:paraId="37129D09" w14:textId="77777777" w:rsidR="00EF4CB3" w:rsidRPr="00961E0F" w:rsidRDefault="00EF4CB3" w:rsidP="00F84278">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/jour, PO) : jours 1</w:t>
            </w:r>
            <w:r w:rsidRPr="00961E0F">
              <w:rPr>
                <w:color w:val="000000"/>
                <w:lang w:val="fr-FR"/>
              </w:rPr>
              <w:noBreakHyphen/>
              <w:t>7 et 15</w:t>
            </w:r>
            <w:r w:rsidRPr="00961E0F">
              <w:rPr>
                <w:color w:val="000000"/>
                <w:lang w:val="fr-FR"/>
              </w:rPr>
              <w:noBreakHyphen/>
              <w:t>21</w:t>
            </w:r>
          </w:p>
        </w:tc>
      </w:tr>
      <w:tr w:rsidR="00EF4CB3" w:rsidRPr="00961E0F" w14:paraId="56500AE6" w14:textId="77777777" w:rsidTr="000A7F49">
        <w:trPr>
          <w:cantSplit/>
        </w:trPr>
        <w:tc>
          <w:tcPr>
            <w:tcW w:w="2358" w:type="dxa"/>
            <w:shd w:val="clear" w:color="auto" w:fill="auto"/>
          </w:tcPr>
          <w:p w14:paraId="287199EF" w14:textId="77777777" w:rsidR="00EF4CB3" w:rsidRPr="00961E0F" w:rsidRDefault="00EF4CB3" w:rsidP="00F84278">
            <w:pPr>
              <w:pStyle w:val="EndnoteText"/>
              <w:widowControl w:val="0"/>
              <w:rPr>
                <w:color w:val="000000"/>
              </w:rPr>
            </w:pPr>
            <w:r w:rsidRPr="00961E0F">
              <w:rPr>
                <w:color w:val="000000"/>
              </w:rPr>
              <w:t>Bloc d’intensification 2 (9 semaines)</w:t>
            </w:r>
          </w:p>
        </w:tc>
        <w:tc>
          <w:tcPr>
            <w:tcW w:w="6928" w:type="dxa"/>
            <w:shd w:val="clear" w:color="auto" w:fill="auto"/>
          </w:tcPr>
          <w:p w14:paraId="292B2763" w14:textId="77777777" w:rsidR="00EF4CB3" w:rsidRPr="00961E0F" w:rsidRDefault="00EF4CB3" w:rsidP="00F84278">
            <w:pPr>
              <w:pStyle w:val="EndnoteText"/>
              <w:widowControl w:val="0"/>
              <w:rPr>
                <w:color w:val="000000"/>
                <w:lang w:val="fr-FR"/>
              </w:rPr>
            </w:pPr>
            <w:r w:rsidRPr="00961E0F">
              <w:rPr>
                <w:color w:val="000000"/>
                <w:lang w:val="fr-FR"/>
              </w:rPr>
              <w:t>Methotrexate (5 g/m</w:t>
            </w:r>
            <w:r w:rsidRPr="00961E0F">
              <w:rPr>
                <w:color w:val="000000"/>
                <w:vertAlign w:val="superscript"/>
                <w:lang w:val="fr-FR"/>
              </w:rPr>
              <w:t>2</w:t>
            </w:r>
            <w:r w:rsidRPr="00961E0F">
              <w:rPr>
                <w:color w:val="000000"/>
                <w:lang w:val="fr-FR"/>
              </w:rPr>
              <w:t xml:space="preserve"> sur 24 heures, IV) : jours 1 et 15</w:t>
            </w:r>
          </w:p>
          <w:p w14:paraId="7792D854" w14:textId="77777777" w:rsidR="00EF4CB3" w:rsidRPr="00961E0F" w:rsidRDefault="00EF4CB3" w:rsidP="00F84278">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à heure 36, IV; 15 mg/m</w:t>
            </w:r>
            <w:r w:rsidRPr="00961E0F">
              <w:rPr>
                <w:color w:val="000000"/>
                <w:vertAlign w:val="superscript"/>
                <w:lang w:val="fr-FR"/>
              </w:rPr>
              <w:t>2</w:t>
            </w:r>
            <w:r w:rsidRPr="00961E0F">
              <w:rPr>
                <w:color w:val="000000"/>
                <w:lang w:val="fr-FR"/>
              </w:rPr>
              <w:t xml:space="preserve"> IV ou PO toutes les 6 heures x 6 doses) iii: jours 2, 3, 16, et 17</w:t>
            </w:r>
          </w:p>
          <w:p w14:paraId="578206C6"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1 et 22</w:t>
            </w:r>
          </w:p>
          <w:p w14:paraId="324AC84D" w14:textId="77777777" w:rsidR="00EF4CB3" w:rsidRPr="00961E0F" w:rsidRDefault="00EF4CB3" w:rsidP="00F84278">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/jour, IV) : jours 22</w:t>
            </w:r>
            <w:r w:rsidRPr="00961E0F">
              <w:rPr>
                <w:color w:val="000000"/>
                <w:lang w:val="fr-FR"/>
              </w:rPr>
              <w:noBreakHyphen/>
              <w:t>26</w:t>
            </w:r>
          </w:p>
          <w:p w14:paraId="79F2FACD" w14:textId="77777777" w:rsidR="00EF4CB3" w:rsidRPr="00961E0F" w:rsidRDefault="00EF4CB3" w:rsidP="00F84278">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/jour, IV) : jours 22</w:t>
            </w:r>
            <w:r w:rsidRPr="00961E0F">
              <w:rPr>
                <w:color w:val="000000"/>
                <w:lang w:val="fr-FR"/>
              </w:rPr>
              <w:noBreakHyphen/>
              <w:t>26</w:t>
            </w:r>
          </w:p>
          <w:p w14:paraId="798C7997" w14:textId="77777777" w:rsidR="00EF4CB3" w:rsidRPr="00961E0F" w:rsidRDefault="00EF4CB3" w:rsidP="00F84278">
            <w:pPr>
              <w:pStyle w:val="EndnoteText"/>
              <w:widowControl w:val="0"/>
              <w:rPr>
                <w:color w:val="000000"/>
                <w:lang w:val="fr-FR"/>
              </w:rPr>
            </w:pPr>
            <w:r w:rsidRPr="00961E0F">
              <w:rPr>
                <w:color w:val="000000"/>
                <w:lang w:val="fr-FR"/>
              </w:rPr>
              <w:t>MESNA (150 mg/m</w:t>
            </w:r>
            <w:r w:rsidRPr="00961E0F">
              <w:rPr>
                <w:color w:val="000000"/>
                <w:vertAlign w:val="superscript"/>
                <w:lang w:val="fr-FR"/>
              </w:rPr>
              <w:t>2</w:t>
            </w:r>
            <w:r w:rsidRPr="00961E0F">
              <w:rPr>
                <w:color w:val="000000"/>
                <w:lang w:val="fr-FR"/>
              </w:rPr>
              <w:t>/jour, IV) : jours 22</w:t>
            </w:r>
            <w:r w:rsidRPr="00961E0F">
              <w:rPr>
                <w:color w:val="000000"/>
                <w:lang w:val="fr-FR"/>
              </w:rPr>
              <w:noBreakHyphen/>
              <w:t xml:space="preserve">26 </w:t>
            </w:r>
          </w:p>
          <w:p w14:paraId="1D217E15"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27</w:t>
            </w:r>
            <w:r w:rsidRPr="00961E0F">
              <w:rPr>
                <w:color w:val="000000"/>
                <w:lang w:val="fr-FR"/>
              </w:rPr>
              <w:noBreakHyphen/>
              <w:t>36 ou jusqu’à un taux de neutrophile absolu &gt; 1500 post nadir</w:t>
            </w:r>
          </w:p>
          <w:p w14:paraId="28EEB895" w14:textId="77777777" w:rsidR="00EF4CB3" w:rsidRPr="00961E0F" w:rsidRDefault="00EF4CB3" w:rsidP="00F84278">
            <w:pPr>
              <w:pStyle w:val="EndnoteText"/>
              <w:widowControl w:val="0"/>
              <w:rPr>
                <w:color w:val="000000"/>
                <w:lang w:val="fr-FR"/>
              </w:rPr>
            </w:pPr>
            <w:r w:rsidRPr="00961E0F">
              <w:rPr>
                <w:color w:val="000000"/>
                <w:lang w:val="fr-FR"/>
              </w:rPr>
              <w:t>ARA-C (3 g/m</w:t>
            </w:r>
            <w:r w:rsidRPr="00961E0F">
              <w:rPr>
                <w:color w:val="000000"/>
                <w:vertAlign w:val="superscript"/>
                <w:lang w:val="fr-FR"/>
              </w:rPr>
              <w:t>2</w:t>
            </w:r>
            <w:r w:rsidRPr="00961E0F">
              <w:rPr>
                <w:color w:val="000000"/>
                <w:lang w:val="fr-FR"/>
              </w:rPr>
              <w:t>, toutes les 12 heures, IV) : jours 43 et 44</w:t>
            </w:r>
          </w:p>
          <w:p w14:paraId="692BF482" w14:textId="77777777" w:rsidR="00EF4CB3" w:rsidRPr="00961E0F" w:rsidRDefault="00EF4CB3" w:rsidP="00F84278">
            <w:pPr>
              <w:pStyle w:val="EndnoteText"/>
              <w:widowControl w:val="0"/>
              <w:rPr>
                <w:color w:val="000000"/>
                <w:lang w:val="fr-FR"/>
              </w:rPr>
            </w:pPr>
            <w:r w:rsidRPr="00961E0F">
              <w:rPr>
                <w:color w:val="000000"/>
                <w:lang w:val="fr-FR"/>
              </w:rPr>
              <w:t>L-ASP (6000 UI/m</w:t>
            </w:r>
            <w:r w:rsidRPr="00961E0F">
              <w:rPr>
                <w:color w:val="000000"/>
                <w:vertAlign w:val="superscript"/>
                <w:lang w:val="fr-FR"/>
              </w:rPr>
              <w:t>2</w:t>
            </w:r>
            <w:r w:rsidRPr="00961E0F">
              <w:rPr>
                <w:color w:val="000000"/>
                <w:lang w:val="fr-FR"/>
              </w:rPr>
              <w:t>, IM) : jour 44</w:t>
            </w:r>
          </w:p>
        </w:tc>
      </w:tr>
      <w:tr w:rsidR="00EF4CB3" w:rsidRPr="00961E0F" w14:paraId="794A68AC" w14:textId="77777777" w:rsidTr="000A7F49">
        <w:trPr>
          <w:cantSplit/>
        </w:trPr>
        <w:tc>
          <w:tcPr>
            <w:tcW w:w="2358" w:type="dxa"/>
            <w:shd w:val="clear" w:color="auto" w:fill="auto"/>
          </w:tcPr>
          <w:p w14:paraId="57BEF411" w14:textId="77777777" w:rsidR="00EF4CB3" w:rsidRPr="00961E0F" w:rsidRDefault="00EF4CB3" w:rsidP="00F84278">
            <w:pPr>
              <w:pStyle w:val="EndnoteText"/>
              <w:widowControl w:val="0"/>
              <w:rPr>
                <w:color w:val="000000"/>
                <w:lang w:val="fr-FR"/>
              </w:rPr>
            </w:pPr>
            <w:r w:rsidRPr="00961E0F">
              <w:rPr>
                <w:color w:val="000000"/>
                <w:lang w:val="fr-FR"/>
              </w:rPr>
              <w:t>Maintenance (cycles de 8 semaines)</w:t>
            </w:r>
          </w:p>
          <w:p w14:paraId="53A61A33" w14:textId="77777777" w:rsidR="00EF4CB3" w:rsidRPr="00961E0F" w:rsidRDefault="00EF4CB3" w:rsidP="00F84278">
            <w:pPr>
              <w:pStyle w:val="EndnoteText"/>
              <w:widowControl w:val="0"/>
              <w:rPr>
                <w:color w:val="000000"/>
                <w:lang w:val="fr-FR"/>
              </w:rPr>
            </w:pPr>
            <w:r w:rsidRPr="00961E0F">
              <w:rPr>
                <w:color w:val="000000"/>
                <w:lang w:val="fr-FR"/>
              </w:rPr>
              <w:t>Cycles 1-4</w:t>
            </w:r>
          </w:p>
        </w:tc>
        <w:tc>
          <w:tcPr>
            <w:tcW w:w="6928" w:type="dxa"/>
            <w:shd w:val="clear" w:color="auto" w:fill="auto"/>
          </w:tcPr>
          <w:p w14:paraId="2647F131" w14:textId="77777777" w:rsidR="00EF4CB3" w:rsidRPr="00961E0F" w:rsidRDefault="00EF4CB3" w:rsidP="00F84278">
            <w:pPr>
              <w:pStyle w:val="EndnoteText"/>
              <w:widowControl w:val="0"/>
              <w:rPr>
                <w:color w:val="000000"/>
                <w:lang w:val="fr-FR"/>
              </w:rPr>
            </w:pPr>
            <w:r w:rsidRPr="00961E0F">
              <w:rPr>
                <w:color w:val="000000"/>
                <w:lang w:val="fr-FR"/>
              </w:rPr>
              <w:t>MTX (5 g/m</w:t>
            </w:r>
            <w:r w:rsidRPr="00961E0F">
              <w:rPr>
                <w:color w:val="000000"/>
                <w:vertAlign w:val="superscript"/>
                <w:lang w:val="fr-FR"/>
              </w:rPr>
              <w:t>2</w:t>
            </w:r>
            <w:r w:rsidRPr="00961E0F">
              <w:rPr>
                <w:color w:val="000000"/>
                <w:lang w:val="fr-FR"/>
              </w:rPr>
              <w:t xml:space="preserve"> sur 24 heures, IV) : jour 1</w:t>
            </w:r>
          </w:p>
          <w:p w14:paraId="30FCB666" w14:textId="77777777" w:rsidR="00EF4CB3" w:rsidRPr="00961E0F" w:rsidRDefault="00EF4CB3" w:rsidP="00F84278">
            <w:pPr>
              <w:pStyle w:val="EndnoteText"/>
              <w:widowControl w:val="0"/>
              <w:rPr>
                <w:color w:val="000000"/>
                <w:lang w:val="fr-FR"/>
              </w:rPr>
            </w:pPr>
            <w:r w:rsidRPr="00961E0F">
              <w:rPr>
                <w:color w:val="000000"/>
                <w:lang w:val="fr-FR"/>
              </w:rPr>
              <w:t>Leucovorin (75 mg/m</w:t>
            </w:r>
            <w:r w:rsidRPr="00961E0F">
              <w:rPr>
                <w:color w:val="000000"/>
                <w:vertAlign w:val="superscript"/>
                <w:lang w:val="fr-FR"/>
              </w:rPr>
              <w:t>2</w:t>
            </w:r>
            <w:r w:rsidRPr="00961E0F">
              <w:rPr>
                <w:color w:val="000000"/>
                <w:lang w:val="fr-FR"/>
              </w:rPr>
              <w:t xml:space="preserve"> à heure 36, IV; 15 mg/m</w:t>
            </w:r>
            <w:r w:rsidRPr="00961E0F">
              <w:rPr>
                <w:color w:val="000000"/>
                <w:vertAlign w:val="superscript"/>
                <w:lang w:val="fr-FR"/>
              </w:rPr>
              <w:t>2</w:t>
            </w:r>
            <w:r w:rsidRPr="00961E0F">
              <w:rPr>
                <w:color w:val="000000"/>
                <w:lang w:val="fr-FR"/>
              </w:rPr>
              <w:t xml:space="preserve"> IV ou PO toutes les 6 heures x 6 doses) iii: jours 2 et 3</w:t>
            </w:r>
          </w:p>
          <w:p w14:paraId="69EE3979" w14:textId="77777777" w:rsidR="00EF4CB3" w:rsidRPr="00961E0F" w:rsidRDefault="00EF4CB3" w:rsidP="00F84278">
            <w:pPr>
              <w:pStyle w:val="EndnoteText"/>
              <w:widowControl w:val="0"/>
              <w:rPr>
                <w:color w:val="000000"/>
                <w:lang w:val="fr-FR"/>
              </w:rPr>
            </w:pPr>
            <w:r w:rsidRPr="00961E0F">
              <w:rPr>
                <w:color w:val="000000"/>
                <w:lang w:val="fr-FR"/>
              </w:rPr>
              <w:t>Triple thérapie intrathécale (ajustée à l’âge) : jours 1 et 29</w:t>
            </w:r>
          </w:p>
          <w:p w14:paraId="731FCFAA" w14:textId="77777777" w:rsidR="00EF4CB3" w:rsidRPr="00961E0F" w:rsidRDefault="00EF4CB3" w:rsidP="00F84278">
            <w:pPr>
              <w:pStyle w:val="EndnoteText"/>
              <w:widowControl w:val="0"/>
              <w:rPr>
                <w:color w:val="000000"/>
                <w:lang w:val="fr-FR"/>
              </w:rPr>
            </w:pPr>
            <w:r w:rsidRPr="00961E0F">
              <w:rPr>
                <w:color w:val="000000"/>
                <w:lang w:val="fr-FR"/>
              </w:rPr>
              <w:t>VCR (1,5 mg/m</w:t>
            </w:r>
            <w:r w:rsidRPr="00961E0F">
              <w:rPr>
                <w:color w:val="000000"/>
                <w:vertAlign w:val="superscript"/>
                <w:lang w:val="fr-FR"/>
              </w:rPr>
              <w:t>2</w:t>
            </w:r>
            <w:r w:rsidRPr="00961E0F">
              <w:rPr>
                <w:color w:val="000000"/>
                <w:lang w:val="fr-FR"/>
              </w:rPr>
              <w:t>, IV) : jours 1 et 29</w:t>
            </w:r>
          </w:p>
          <w:p w14:paraId="266E9E80" w14:textId="77777777" w:rsidR="00EF4CB3" w:rsidRPr="00961E0F" w:rsidRDefault="00EF4CB3" w:rsidP="00F84278">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/jour PO) : jours 1</w:t>
            </w:r>
            <w:r w:rsidRPr="00961E0F">
              <w:rPr>
                <w:color w:val="000000"/>
                <w:lang w:val="fr-FR"/>
              </w:rPr>
              <w:noBreakHyphen/>
              <w:t>5; 29</w:t>
            </w:r>
            <w:r w:rsidRPr="00961E0F">
              <w:rPr>
                <w:color w:val="000000"/>
                <w:lang w:val="fr-FR"/>
              </w:rPr>
              <w:noBreakHyphen/>
              <w:t>33</w:t>
            </w:r>
          </w:p>
          <w:p w14:paraId="7CC36425" w14:textId="77777777" w:rsidR="00EF4CB3" w:rsidRPr="00961E0F" w:rsidRDefault="00EF4CB3" w:rsidP="00F84278">
            <w:pPr>
              <w:pStyle w:val="EndnoteT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/jour, PO) : jours 8-28</w:t>
            </w:r>
          </w:p>
          <w:p w14:paraId="6EE5E2DD" w14:textId="77777777" w:rsidR="00EF4CB3" w:rsidRPr="00961E0F" w:rsidRDefault="00EF4CB3" w:rsidP="00F84278">
            <w:pPr>
              <w:pStyle w:val="EndnoteT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/semaine, PO) : jours 8, 15, 22</w:t>
            </w:r>
          </w:p>
          <w:p w14:paraId="043D2935" w14:textId="77777777" w:rsidR="00EF4CB3" w:rsidRPr="00961E0F" w:rsidRDefault="00EF4CB3" w:rsidP="00F84278">
            <w:pPr>
              <w:pStyle w:val="EndnoteText"/>
              <w:widowControl w:val="0"/>
              <w:rPr>
                <w:color w:val="000000"/>
                <w:lang w:val="fr-FR"/>
              </w:rPr>
            </w:pPr>
            <w:r w:rsidRPr="00961E0F">
              <w:rPr>
                <w:color w:val="000000"/>
                <w:lang w:val="fr-FR"/>
              </w:rPr>
              <w:t>VP-16 (100 mg/m</w:t>
            </w:r>
            <w:r w:rsidRPr="00961E0F">
              <w:rPr>
                <w:color w:val="000000"/>
                <w:vertAlign w:val="superscript"/>
                <w:lang w:val="fr-FR"/>
              </w:rPr>
              <w:t>2</w:t>
            </w:r>
            <w:r w:rsidRPr="00961E0F">
              <w:rPr>
                <w:color w:val="000000"/>
                <w:lang w:val="fr-FR"/>
              </w:rPr>
              <w:t>, IV) : jours 29</w:t>
            </w:r>
            <w:r w:rsidRPr="00961E0F">
              <w:rPr>
                <w:color w:val="000000"/>
                <w:lang w:val="fr-FR"/>
              </w:rPr>
              <w:noBreakHyphen/>
              <w:t>33</w:t>
            </w:r>
          </w:p>
          <w:p w14:paraId="39627F8A" w14:textId="77777777" w:rsidR="00EF4CB3" w:rsidRPr="00961E0F" w:rsidRDefault="00EF4CB3" w:rsidP="00F84278">
            <w:pPr>
              <w:pStyle w:val="EndnoteText"/>
              <w:widowControl w:val="0"/>
              <w:rPr>
                <w:color w:val="000000"/>
                <w:lang w:val="fr-FR"/>
              </w:rPr>
            </w:pPr>
            <w:r w:rsidRPr="00961E0F">
              <w:rPr>
                <w:color w:val="000000"/>
                <w:lang w:val="fr-FR"/>
              </w:rPr>
              <w:t>CPM (300 mg/m</w:t>
            </w:r>
            <w:r w:rsidRPr="00961E0F">
              <w:rPr>
                <w:color w:val="000000"/>
                <w:vertAlign w:val="superscript"/>
                <w:lang w:val="fr-FR"/>
              </w:rPr>
              <w:t>2</w:t>
            </w:r>
            <w:r w:rsidRPr="00961E0F">
              <w:rPr>
                <w:color w:val="000000"/>
                <w:lang w:val="fr-FR"/>
              </w:rPr>
              <w:t>, IV) : jours 29</w:t>
            </w:r>
            <w:r w:rsidRPr="00961E0F">
              <w:rPr>
                <w:color w:val="000000"/>
                <w:lang w:val="fr-FR"/>
              </w:rPr>
              <w:noBreakHyphen/>
              <w:t>33</w:t>
            </w:r>
          </w:p>
          <w:p w14:paraId="12C3AE32" w14:textId="77777777" w:rsidR="00EF4CB3" w:rsidRPr="00961E0F" w:rsidRDefault="00EF4CB3" w:rsidP="00F84278">
            <w:pPr>
              <w:pStyle w:val="EndnoteText"/>
              <w:widowControl w:val="0"/>
              <w:rPr>
                <w:color w:val="000000"/>
                <w:lang w:val="fr-FR"/>
              </w:rPr>
            </w:pPr>
            <w:r w:rsidRPr="00961E0F">
              <w:rPr>
                <w:color w:val="000000"/>
                <w:lang w:val="fr-FR"/>
              </w:rPr>
              <w:t>MESNA (IV) : jours 29</w:t>
            </w:r>
            <w:r w:rsidRPr="00961E0F">
              <w:rPr>
                <w:color w:val="000000"/>
                <w:lang w:val="fr-FR"/>
              </w:rPr>
              <w:noBreakHyphen/>
              <w:t>33</w:t>
            </w:r>
          </w:p>
          <w:p w14:paraId="77FE7E91" w14:textId="77777777" w:rsidR="00EF4CB3" w:rsidRPr="00961E0F" w:rsidRDefault="00EF4CB3" w:rsidP="00F84278">
            <w:pPr>
              <w:pStyle w:val="EndnoteText"/>
              <w:widowControl w:val="0"/>
              <w:rPr>
                <w:color w:val="000000"/>
                <w:lang w:val="fr-FR"/>
              </w:rPr>
            </w:pPr>
            <w:r w:rsidRPr="00961E0F">
              <w:rPr>
                <w:color w:val="000000"/>
                <w:lang w:val="fr-FR"/>
              </w:rPr>
              <w:t>G-CSF (5 </w:t>
            </w:r>
            <w:r w:rsidRPr="00961E0F">
              <w:rPr>
                <w:color w:val="000000"/>
              </w:rPr>
              <w:t>μ</w:t>
            </w:r>
            <w:r w:rsidRPr="00961E0F">
              <w:rPr>
                <w:color w:val="000000"/>
                <w:lang w:val="fr-FR"/>
              </w:rPr>
              <w:t>g/kg, SC) : jours 34</w:t>
            </w:r>
            <w:r w:rsidRPr="00961E0F">
              <w:rPr>
                <w:color w:val="000000"/>
                <w:lang w:val="fr-FR"/>
              </w:rPr>
              <w:noBreakHyphen/>
              <w:t>43</w:t>
            </w:r>
          </w:p>
        </w:tc>
      </w:tr>
      <w:tr w:rsidR="00EF4CB3" w:rsidRPr="00961E0F" w14:paraId="49DCD365" w14:textId="77777777" w:rsidTr="000A7F49">
        <w:trPr>
          <w:cantSplit/>
        </w:trPr>
        <w:tc>
          <w:tcPr>
            <w:tcW w:w="2358" w:type="dxa"/>
            <w:shd w:val="clear" w:color="auto" w:fill="auto"/>
          </w:tcPr>
          <w:p w14:paraId="369E932F" w14:textId="77777777" w:rsidR="00EF4CB3" w:rsidRPr="00961E0F" w:rsidRDefault="00EF4CB3" w:rsidP="00F84278">
            <w:pPr>
              <w:pStyle w:val="EndnoteText"/>
              <w:widowControl w:val="0"/>
              <w:rPr>
                <w:color w:val="000000"/>
                <w:lang w:val="fr-FR"/>
              </w:rPr>
            </w:pPr>
            <w:r w:rsidRPr="00961E0F">
              <w:rPr>
                <w:color w:val="000000"/>
                <w:lang w:val="fr-FR"/>
              </w:rPr>
              <w:lastRenderedPageBreak/>
              <w:t>Maintenance (cycles de 8 semaines)</w:t>
            </w:r>
          </w:p>
          <w:p w14:paraId="7C813FEC" w14:textId="77777777" w:rsidR="00EF4CB3" w:rsidRPr="00961E0F" w:rsidRDefault="00EF4CB3" w:rsidP="00F84278">
            <w:pPr>
              <w:pStyle w:val="EndnoteText"/>
              <w:widowControl w:val="0"/>
              <w:rPr>
                <w:color w:val="000000"/>
                <w:lang w:val="fr-FR"/>
              </w:rPr>
            </w:pPr>
            <w:r w:rsidRPr="00961E0F">
              <w:rPr>
                <w:color w:val="000000"/>
                <w:lang w:val="fr-FR"/>
              </w:rPr>
              <w:t>Cycle 5</w:t>
            </w:r>
          </w:p>
        </w:tc>
        <w:tc>
          <w:tcPr>
            <w:tcW w:w="6928" w:type="dxa"/>
            <w:shd w:val="clear" w:color="auto" w:fill="auto"/>
          </w:tcPr>
          <w:p w14:paraId="057E3660" w14:textId="77777777" w:rsidR="00EF4CB3" w:rsidRPr="00961E0F" w:rsidRDefault="00EF4CB3" w:rsidP="00F84278">
            <w:pPr>
              <w:pStyle w:val="EndnoteText"/>
              <w:widowControl w:val="0"/>
              <w:rPr>
                <w:color w:val="000000"/>
                <w:lang w:val="fr-FR"/>
              </w:rPr>
            </w:pPr>
            <w:r w:rsidRPr="00961E0F">
              <w:rPr>
                <w:color w:val="000000"/>
                <w:lang w:val="fr-FR"/>
              </w:rPr>
              <w:t>Irradiation crânienne (cycle 5 uniquement)</w:t>
            </w:r>
          </w:p>
          <w:p w14:paraId="55F8BB3E" w14:textId="77777777" w:rsidR="00EF4CB3" w:rsidRPr="00961E0F" w:rsidRDefault="00EF4CB3" w:rsidP="00F84278">
            <w:pPr>
              <w:pStyle w:val="EndnoteText"/>
              <w:widowControl w:val="0"/>
              <w:rPr>
                <w:color w:val="000000"/>
                <w:lang w:val="fr-FR"/>
              </w:rPr>
            </w:pPr>
            <w:r w:rsidRPr="00961E0F">
              <w:rPr>
                <w:color w:val="000000"/>
                <w:lang w:val="fr-FR"/>
              </w:rPr>
              <w:t>12 Gy en 8 fractions pour tous les patients étant SNC1 et SNC2 au diagnostic</w:t>
            </w:r>
          </w:p>
          <w:p w14:paraId="42342678" w14:textId="77777777" w:rsidR="00EF4CB3" w:rsidRPr="00961E0F" w:rsidRDefault="00EF4CB3" w:rsidP="00F84278">
            <w:pPr>
              <w:pStyle w:val="EndnoteText"/>
              <w:widowControl w:val="0"/>
              <w:rPr>
                <w:color w:val="000000"/>
                <w:lang w:val="fr-FR"/>
              </w:rPr>
            </w:pPr>
            <w:r w:rsidRPr="00961E0F">
              <w:rPr>
                <w:color w:val="000000"/>
                <w:lang w:val="fr-FR"/>
              </w:rPr>
              <w:t>18 Gy en 10 fractions pour les patients étant SNC3 au diagnostic</w:t>
            </w:r>
          </w:p>
          <w:p w14:paraId="65B4A77A" w14:textId="77777777" w:rsidR="00EF4CB3" w:rsidRPr="00961E0F" w:rsidRDefault="00EF4CB3" w:rsidP="00F84278">
            <w:pPr>
              <w:pStyle w:val="EndnoteText"/>
              <w:widowControl w:val="0"/>
              <w:rPr>
                <w:color w:val="000000"/>
                <w:lang w:val="fr-FR"/>
              </w:rPr>
            </w:pPr>
            <w:r w:rsidRPr="00961E0F">
              <w:rPr>
                <w:color w:val="000000"/>
                <w:lang w:val="fr-FR"/>
              </w:rPr>
              <w:t>VCR (1,5 mg/m</w:t>
            </w:r>
            <w:r w:rsidRPr="00961E0F">
              <w:rPr>
                <w:color w:val="000000"/>
                <w:vertAlign w:val="superscript"/>
                <w:lang w:val="fr-FR"/>
              </w:rPr>
              <w:t>2</w:t>
            </w:r>
            <w:r w:rsidRPr="00961E0F">
              <w:rPr>
                <w:color w:val="000000"/>
                <w:lang w:val="fr-FR"/>
              </w:rPr>
              <w:t>/jour, IV) : jours 1, 29</w:t>
            </w:r>
          </w:p>
          <w:p w14:paraId="5E89E403" w14:textId="77777777" w:rsidR="00EF4CB3" w:rsidRPr="00961E0F" w:rsidRDefault="00EF4CB3" w:rsidP="00F84278">
            <w:pPr>
              <w:pStyle w:val="EndnoteT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/jour, PO) : jours 1</w:t>
            </w:r>
            <w:r w:rsidRPr="00961E0F">
              <w:rPr>
                <w:color w:val="000000"/>
                <w:lang w:val="fr-FR"/>
              </w:rPr>
              <w:noBreakHyphen/>
              <w:t>5; 29</w:t>
            </w:r>
            <w:r w:rsidRPr="00961E0F">
              <w:rPr>
                <w:color w:val="000000"/>
                <w:lang w:val="fr-FR"/>
              </w:rPr>
              <w:noBreakHyphen/>
              <w:t>33</w:t>
            </w:r>
          </w:p>
          <w:p w14:paraId="6AFD281F" w14:textId="77777777" w:rsidR="00EF4CB3" w:rsidRPr="00961E0F" w:rsidRDefault="00EF4CB3" w:rsidP="00F84278">
            <w:pPr>
              <w:pStyle w:val="EndnoteT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/jour, PO) : jours 11</w:t>
            </w:r>
            <w:r w:rsidRPr="00961E0F">
              <w:rPr>
                <w:color w:val="000000"/>
                <w:lang w:val="fr-FR"/>
              </w:rPr>
              <w:noBreakHyphen/>
              <w:t>56 (suspendre le 6-MP durant les jours 6</w:t>
            </w:r>
            <w:r w:rsidRPr="00961E0F">
              <w:rPr>
                <w:color w:val="000000"/>
                <w:lang w:val="fr-FR"/>
              </w:rPr>
              <w:noBreakHyphen/>
              <w:t>10 de l’irradiation crânienne commençant le jour 1 du cycle 5. Commencer le 6-MP le 1er jour après la fin de l’irradiation crânienne.)</w:t>
            </w:r>
          </w:p>
          <w:p w14:paraId="0CF90FB9" w14:textId="77777777" w:rsidR="00EF4CB3" w:rsidRPr="00961E0F" w:rsidRDefault="00EF4CB3" w:rsidP="00F84278">
            <w:pPr>
              <w:pStyle w:val="EndnoteT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/semaine, PO) : jours 8, 15, 22, 29, 36, 43, 50</w:t>
            </w:r>
          </w:p>
        </w:tc>
      </w:tr>
      <w:tr w:rsidR="00EF4CB3" w:rsidRPr="00961E0F" w14:paraId="5A8AC05F" w14:textId="77777777" w:rsidTr="000A7F49">
        <w:trPr>
          <w:cantSplit/>
        </w:trPr>
        <w:tc>
          <w:tcPr>
            <w:tcW w:w="2358" w:type="dxa"/>
            <w:shd w:val="clear" w:color="auto" w:fill="auto"/>
          </w:tcPr>
          <w:p w14:paraId="37A6A375" w14:textId="77777777" w:rsidR="00EF4CB3" w:rsidRPr="00961E0F" w:rsidRDefault="00EF4CB3" w:rsidP="000A7F49">
            <w:pPr>
              <w:pStyle w:val="EndnoteText"/>
              <w:keepNext/>
              <w:widowControl w:val="0"/>
              <w:rPr>
                <w:color w:val="000000"/>
                <w:lang w:val="fr-FR"/>
              </w:rPr>
            </w:pPr>
            <w:r w:rsidRPr="00961E0F">
              <w:rPr>
                <w:color w:val="000000"/>
                <w:lang w:val="fr-FR"/>
              </w:rPr>
              <w:t>Maintenance (cycles de 8 semaines)</w:t>
            </w:r>
          </w:p>
          <w:p w14:paraId="0ED98A36" w14:textId="77777777" w:rsidR="00EF4CB3" w:rsidRPr="00961E0F" w:rsidRDefault="00EF4CB3" w:rsidP="000A7F49">
            <w:pPr>
              <w:pStyle w:val="EndnoteText"/>
              <w:keepNext/>
              <w:widowControl w:val="0"/>
              <w:rPr>
                <w:color w:val="000000"/>
                <w:lang w:val="fr-FR"/>
              </w:rPr>
            </w:pPr>
            <w:r w:rsidRPr="00961E0F">
              <w:rPr>
                <w:color w:val="000000"/>
                <w:lang w:val="fr-FR"/>
              </w:rPr>
              <w:t>Cycles 6</w:t>
            </w:r>
            <w:r w:rsidRPr="00961E0F">
              <w:rPr>
                <w:color w:val="000000"/>
                <w:lang w:val="fr-FR"/>
              </w:rPr>
              <w:noBreakHyphen/>
              <w:t>12</w:t>
            </w:r>
          </w:p>
        </w:tc>
        <w:tc>
          <w:tcPr>
            <w:tcW w:w="6928" w:type="dxa"/>
            <w:shd w:val="clear" w:color="auto" w:fill="auto"/>
          </w:tcPr>
          <w:p w14:paraId="4A97F0C4" w14:textId="77777777" w:rsidR="00EF4CB3" w:rsidRPr="00961E0F" w:rsidRDefault="00EF4CB3" w:rsidP="000A7F49">
            <w:pPr>
              <w:pStyle w:val="EndnoteText"/>
              <w:keepNext/>
              <w:widowControl w:val="0"/>
              <w:rPr>
                <w:color w:val="000000"/>
                <w:lang w:val="fr-FR"/>
              </w:rPr>
            </w:pPr>
            <w:r w:rsidRPr="00961E0F">
              <w:rPr>
                <w:color w:val="000000"/>
                <w:lang w:val="fr-FR"/>
              </w:rPr>
              <w:t>VCR (1,5 mg/m</w:t>
            </w:r>
            <w:r w:rsidRPr="00961E0F">
              <w:rPr>
                <w:color w:val="000000"/>
                <w:vertAlign w:val="superscript"/>
                <w:lang w:val="fr-FR"/>
              </w:rPr>
              <w:t>2</w:t>
            </w:r>
            <w:r w:rsidRPr="00961E0F">
              <w:rPr>
                <w:color w:val="000000"/>
                <w:lang w:val="fr-FR"/>
              </w:rPr>
              <w:t>/jour, IV) : jours 1 et 29</w:t>
            </w:r>
          </w:p>
          <w:p w14:paraId="41FC5D0E" w14:textId="77777777" w:rsidR="00EF4CB3" w:rsidRPr="00961E0F" w:rsidRDefault="00EF4CB3" w:rsidP="000A7F49">
            <w:pPr>
              <w:pStyle w:val="EndnoteText"/>
              <w:keepNext/>
              <w:widowControl w:val="0"/>
              <w:rPr>
                <w:color w:val="000000"/>
                <w:lang w:val="fr-FR"/>
              </w:rPr>
            </w:pPr>
            <w:r w:rsidRPr="00961E0F">
              <w:rPr>
                <w:color w:val="000000"/>
                <w:lang w:val="fr-FR"/>
              </w:rPr>
              <w:t>DEX (6 mg/m</w:t>
            </w:r>
            <w:r w:rsidRPr="00961E0F">
              <w:rPr>
                <w:color w:val="000000"/>
                <w:vertAlign w:val="superscript"/>
                <w:lang w:val="fr-FR"/>
              </w:rPr>
              <w:t>2</w:t>
            </w:r>
            <w:r w:rsidRPr="00961E0F">
              <w:rPr>
                <w:color w:val="000000"/>
                <w:lang w:val="fr-FR"/>
              </w:rPr>
              <w:t>/jour, PO) : jours 1</w:t>
            </w:r>
            <w:r w:rsidRPr="00961E0F">
              <w:rPr>
                <w:color w:val="000000"/>
                <w:lang w:val="fr-FR"/>
              </w:rPr>
              <w:noBreakHyphen/>
              <w:t>5; 29</w:t>
            </w:r>
            <w:r w:rsidRPr="00961E0F">
              <w:rPr>
                <w:color w:val="000000"/>
                <w:lang w:val="fr-FR"/>
              </w:rPr>
              <w:noBreakHyphen/>
              <w:t>33</w:t>
            </w:r>
          </w:p>
          <w:p w14:paraId="098AB15D" w14:textId="77777777" w:rsidR="00EF4CB3" w:rsidRPr="00961E0F" w:rsidRDefault="00EF4CB3" w:rsidP="000A7F49">
            <w:pPr>
              <w:pStyle w:val="EndnoteText"/>
              <w:keepNext/>
              <w:widowControl w:val="0"/>
              <w:rPr>
                <w:color w:val="000000"/>
                <w:lang w:val="fr-FR"/>
              </w:rPr>
            </w:pPr>
            <w:r w:rsidRPr="00961E0F">
              <w:rPr>
                <w:color w:val="000000"/>
                <w:lang w:val="fr-FR"/>
              </w:rPr>
              <w:t>6-MP (75 mg/m</w:t>
            </w:r>
            <w:r w:rsidRPr="00961E0F">
              <w:rPr>
                <w:color w:val="000000"/>
                <w:vertAlign w:val="superscript"/>
                <w:lang w:val="fr-FR"/>
              </w:rPr>
              <w:t>2</w:t>
            </w:r>
            <w:r w:rsidRPr="00961E0F">
              <w:rPr>
                <w:color w:val="000000"/>
                <w:lang w:val="fr-FR"/>
              </w:rPr>
              <w:t>/jour, PO) : jours 1</w:t>
            </w:r>
            <w:r w:rsidRPr="00961E0F">
              <w:rPr>
                <w:color w:val="000000"/>
                <w:lang w:val="fr-FR"/>
              </w:rPr>
              <w:noBreakHyphen/>
              <w:t>56</w:t>
            </w:r>
          </w:p>
          <w:p w14:paraId="28C2F702" w14:textId="77777777" w:rsidR="00EF4CB3" w:rsidRPr="00961E0F" w:rsidRDefault="00EF4CB3" w:rsidP="000A7F49">
            <w:pPr>
              <w:pStyle w:val="EndnoteText"/>
              <w:keepNext/>
              <w:widowControl w:val="0"/>
              <w:rPr>
                <w:color w:val="000000"/>
                <w:lang w:val="fr-FR"/>
              </w:rPr>
            </w:pPr>
            <w:r w:rsidRPr="00961E0F">
              <w:rPr>
                <w:color w:val="000000"/>
                <w:lang w:val="fr-FR"/>
              </w:rPr>
              <w:t>Methotrexate (20 mg/m</w:t>
            </w:r>
            <w:r w:rsidRPr="00961E0F">
              <w:rPr>
                <w:color w:val="000000"/>
                <w:vertAlign w:val="superscript"/>
                <w:lang w:val="fr-FR"/>
              </w:rPr>
              <w:t>2</w:t>
            </w:r>
            <w:r w:rsidRPr="00961E0F">
              <w:rPr>
                <w:color w:val="000000"/>
                <w:lang w:val="fr-FR"/>
              </w:rPr>
              <w:t>/semaine, PO) : jours 1, 8, 15, 22, 29, 36, 43, 50</w:t>
            </w:r>
          </w:p>
        </w:tc>
      </w:tr>
    </w:tbl>
    <w:p w14:paraId="1802E2A4" w14:textId="77777777" w:rsidR="00EF4CB3" w:rsidRPr="00961E0F" w:rsidRDefault="00EF4CB3" w:rsidP="000A7F49">
      <w:pPr>
        <w:pStyle w:val="EndnoteText"/>
        <w:keepLines/>
        <w:widowControl w:val="0"/>
        <w:rPr>
          <w:color w:val="000000"/>
          <w:szCs w:val="22"/>
          <w:lang w:val="fr-FR"/>
        </w:rPr>
      </w:pPr>
      <w:r w:rsidRPr="00961E0F">
        <w:rPr>
          <w:color w:val="000000"/>
          <w:szCs w:val="22"/>
          <w:lang w:val="fr-FR"/>
        </w:rPr>
        <w:t xml:space="preserve">G-CSF= granulocyte colony stimulating factor, VP-16 = étoposide, MTX = méthotrexate, IV = intraveineux, SC = sous-cutané, IT = intrathécal, PO = </w:t>
      </w:r>
      <w:r w:rsidRPr="00961E0F">
        <w:rPr>
          <w:i/>
          <w:color w:val="000000"/>
          <w:szCs w:val="22"/>
          <w:lang w:val="fr-FR"/>
        </w:rPr>
        <w:t>per os</w:t>
      </w:r>
      <w:r w:rsidRPr="00961E0F">
        <w:rPr>
          <w:color w:val="000000"/>
          <w:szCs w:val="22"/>
          <w:lang w:val="fr-FR"/>
        </w:rPr>
        <w:t>, IM = intramusculaire, ARA-C = cytarabine, CPM = cyclophosphamide, VCR = vincristine, DEX = dexaméthasone, DAUN = daunorubicine, 6-MP = 6-mercaptopurine, E.coli L-ASP = L-asparaginase, PEG-ASP = asparaginase péguylée, MESNA = 3-mercaptoéthane sulfonate sodium, iii = ou jusqu’à ce que le taux de méthotraxate soit &lt; 0,1 µM, Gy = Gray.</w:t>
      </w:r>
    </w:p>
    <w:p w14:paraId="41BD7728" w14:textId="77777777" w:rsidR="00EF4CB3" w:rsidRPr="00961E0F" w:rsidRDefault="00EF4CB3" w:rsidP="00EF4CB3">
      <w:pPr>
        <w:pStyle w:val="EndnoteText"/>
        <w:widowControl w:val="0"/>
        <w:rPr>
          <w:color w:val="000000"/>
          <w:szCs w:val="22"/>
          <w:lang w:val="fr-FR"/>
        </w:rPr>
      </w:pPr>
    </w:p>
    <w:p w14:paraId="1C91219C" w14:textId="77777777" w:rsidR="00EF4CB3" w:rsidRPr="00961E0F" w:rsidRDefault="00EF4CB3" w:rsidP="00EF4CB3">
      <w:pPr>
        <w:pStyle w:val="EndnoteText"/>
        <w:widowControl w:val="0"/>
        <w:rPr>
          <w:color w:val="000000"/>
          <w:szCs w:val="22"/>
          <w:lang w:val="fr-FR"/>
        </w:rPr>
      </w:pPr>
      <w:r w:rsidRPr="00961E0F">
        <w:rPr>
          <w:color w:val="000000"/>
          <w:szCs w:val="22"/>
          <w:lang w:val="fr-FR"/>
        </w:rPr>
        <w:t>L’étude AIT07 était une étude de phase II/III multicentrique, en ouvert, randomisée qui a inclus 128 patients (de 1 à moins de 18 ans) traités avec l’imatinib en association à la chimiothérapie. Les données de tolérance de cette étude semblent correspondre au profil de tolérance de l’imatinib chez les patients atteints de LAL Ph+.</w:t>
      </w:r>
    </w:p>
    <w:p w14:paraId="06C31C9E" w14:textId="77777777" w:rsidR="00EF4CB3" w:rsidRPr="00961E0F" w:rsidRDefault="00EF4CB3" w:rsidP="00EF4CB3">
      <w:pPr>
        <w:pStyle w:val="EndnoteText"/>
        <w:widowControl w:val="0"/>
        <w:rPr>
          <w:color w:val="000000"/>
          <w:szCs w:val="22"/>
          <w:lang w:val="fr-FR"/>
        </w:rPr>
      </w:pPr>
    </w:p>
    <w:p w14:paraId="062D7CB2" w14:textId="77777777" w:rsidR="00EF4CB3" w:rsidRPr="00961E0F" w:rsidRDefault="00EF4CB3" w:rsidP="00EF4CB3">
      <w:pPr>
        <w:pStyle w:val="EndnoteText"/>
        <w:widowControl w:val="0"/>
        <w:tabs>
          <w:tab w:val="clear" w:pos="567"/>
        </w:tabs>
        <w:rPr>
          <w:color w:val="000000"/>
          <w:szCs w:val="22"/>
          <w:lang w:val="fr-FR"/>
        </w:rPr>
      </w:pPr>
      <w:r w:rsidRPr="00961E0F">
        <w:rPr>
          <w:i/>
          <w:color w:val="000000"/>
          <w:szCs w:val="22"/>
          <w:lang w:val="fr-FR"/>
        </w:rPr>
        <w:t xml:space="preserve">LAL Ph+ en rechute ou réfractaire : </w:t>
      </w:r>
      <w:r w:rsidRPr="00961E0F">
        <w:rPr>
          <w:color w:val="000000"/>
          <w:szCs w:val="22"/>
          <w:lang w:val="fr-FR"/>
        </w:rPr>
        <w:t>Lorsque l’imatinib a été utilisé en monothérapie chez des patients atteints de LAL Ph+ en rechute ou réfractaire, il a été observé un taux de réponse hématologique de 30% (9% réponse complète) et un taux de réponse cytogénétique majeure de 23% parmi les 53 patients évaluables pour la réponse sur un effectif total de 411 patients. (A noter que sur ces 411 patients, 353 avaient été traités dans le cadre d’un programme d’accès élargi au cours duquel la réponse primaire n’était pas collectée). La durée médiane jusqu’à la progression de la maladie dans la population globale de 411 patients atteints de LAL Ph+ en rechute ou réfractaire était de 2,6 à 3,1 mois, avec une médiane de survie globale allant de 4,9 à 9 mois chez 401 patients évaluables. Les données étaient identiques lorsque l’analyse a été de nouveau réalisée en prenant en compte uniquement les patients âgés de 55 ans et plus.</w:t>
      </w:r>
    </w:p>
    <w:p w14:paraId="1A155AFC" w14:textId="77777777" w:rsidR="00EF4CB3" w:rsidRPr="00961E0F" w:rsidRDefault="00EF4CB3" w:rsidP="00EF4CB3">
      <w:pPr>
        <w:pStyle w:val="EndnoteText"/>
        <w:widowControl w:val="0"/>
        <w:rPr>
          <w:color w:val="000000"/>
          <w:szCs w:val="22"/>
          <w:lang w:val="fr-FR"/>
        </w:rPr>
      </w:pPr>
    </w:p>
    <w:p w14:paraId="4050305E" w14:textId="77777777" w:rsidR="00EF4CB3" w:rsidRPr="00961E0F" w:rsidRDefault="00EF4CB3" w:rsidP="000A7F49">
      <w:pPr>
        <w:pStyle w:val="EndnoteText"/>
        <w:keepNext/>
        <w:widowControl w:val="0"/>
        <w:tabs>
          <w:tab w:val="clear" w:pos="567"/>
        </w:tabs>
        <w:rPr>
          <w:color w:val="000000"/>
          <w:szCs w:val="22"/>
          <w:u w:val="single"/>
          <w:lang w:val="fr-FR"/>
        </w:rPr>
      </w:pPr>
      <w:r w:rsidRPr="00961E0F">
        <w:rPr>
          <w:color w:val="000000"/>
          <w:szCs w:val="22"/>
          <w:u w:val="single"/>
          <w:lang w:val="fr-FR"/>
        </w:rPr>
        <w:t xml:space="preserve">Etudes cliniques dans les </w:t>
      </w:r>
      <w:smartTag w:uri="urn:schemas-microsoft-com:office:smarttags" w:element="stockticker">
        <w:r w:rsidRPr="00961E0F">
          <w:rPr>
            <w:color w:val="000000"/>
            <w:szCs w:val="22"/>
            <w:u w:val="single"/>
            <w:lang w:val="fr-FR"/>
          </w:rPr>
          <w:t>SMD</w:t>
        </w:r>
      </w:smartTag>
      <w:r w:rsidRPr="00961E0F">
        <w:rPr>
          <w:color w:val="000000"/>
          <w:szCs w:val="22"/>
          <w:u w:val="single"/>
          <w:lang w:val="fr-FR"/>
        </w:rPr>
        <w:t>/</w:t>
      </w:r>
      <w:smartTag w:uri="urn:schemas-microsoft-com:office:smarttags" w:element="stockticker">
        <w:r w:rsidRPr="00961E0F">
          <w:rPr>
            <w:color w:val="000000"/>
            <w:szCs w:val="22"/>
            <w:u w:val="single"/>
            <w:lang w:val="fr-FR"/>
          </w:rPr>
          <w:t>SMP</w:t>
        </w:r>
      </w:smartTag>
    </w:p>
    <w:p w14:paraId="5F5C502D" w14:textId="77777777" w:rsidR="00516A9E"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L’expérience avec Glivec dans cette indication est très limitée, elle est basée sur les taux de réponse hématologique et cytogénétique. Il n’y a pas d’étude contrôlée démontrant un bénéfice clinique tel que l’amélioration des symptômes liés à la maladie ou l’augmentation de la survie. Une étude ouverte multicentrique de phase II (étude B2225) a été menée avec Glivec chez des patients atteints de diverses maladies impliquant les tyrosine kinases Abl, Kit ou PDGFR et menaçant le pronostic vital. Cette étude a inclus 7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traités par Glivec à 400 mg/jour. Trois patients ont présenté une réponse complète hématologique (RCH) et un patient a présenté une réponse partielle hématologique (RPH). A la date de l’analyse, trois des quatres patients qui avaient des réarrangements du gène du PDGFR ont présenté une réponse hématologique (2 réponses hématologiques complètes et 1 réponse hématologique partielle). L’âge des patients allait de 20 à 72 ans.</w:t>
      </w:r>
    </w:p>
    <w:p w14:paraId="737CB9DE" w14:textId="77777777" w:rsidR="00516A9E" w:rsidRPr="00961E0F" w:rsidRDefault="00516A9E" w:rsidP="00EF4CB3">
      <w:pPr>
        <w:pStyle w:val="EndnoteText"/>
        <w:widowControl w:val="0"/>
        <w:tabs>
          <w:tab w:val="clear" w:pos="567"/>
        </w:tabs>
        <w:rPr>
          <w:color w:val="000000"/>
          <w:szCs w:val="22"/>
          <w:lang w:val="fr-FR"/>
        </w:rPr>
      </w:pPr>
    </w:p>
    <w:p w14:paraId="12F36C97" w14:textId="77777777" w:rsidR="00516A9E" w:rsidRPr="00961E0F" w:rsidRDefault="00516A9E" w:rsidP="00516A9E">
      <w:pPr>
        <w:pStyle w:val="EndnoteText"/>
        <w:widowControl w:val="0"/>
        <w:tabs>
          <w:tab w:val="clear" w:pos="567"/>
        </w:tabs>
        <w:rPr>
          <w:color w:val="000000"/>
          <w:szCs w:val="22"/>
          <w:lang w:val="fr-FR"/>
        </w:rPr>
      </w:pPr>
      <w:r w:rsidRPr="00961E0F">
        <w:rPr>
          <w:color w:val="000000"/>
          <w:szCs w:val="22"/>
          <w:lang w:val="fr-FR"/>
        </w:rPr>
        <w:t>Un registre observationnel (étude L2401) a été mis en place pour collecter des données de sécurité et d’efficacité à long terme chez des patients souffrant de néoplasmes myéloprolifératifs avec réarrangement de PDGFR-</w:t>
      </w:r>
      <w:r w:rsidRPr="00961E0F">
        <w:rPr>
          <w:rFonts w:eastAsia="TimesNewRoman"/>
          <w:szCs w:val="22"/>
          <w:lang w:val="fr-FR"/>
        </w:rPr>
        <w:t xml:space="preserve"> </w:t>
      </w:r>
      <w:r w:rsidRPr="00961E0F">
        <w:rPr>
          <w:rFonts w:eastAsia="TimesNewRoman"/>
          <w:szCs w:val="22"/>
          <w:lang w:val="en-US"/>
        </w:rPr>
        <w:t>β</w:t>
      </w:r>
      <w:r w:rsidRPr="00961E0F">
        <w:rPr>
          <w:rFonts w:eastAsia="TimesNewRoman"/>
          <w:szCs w:val="22"/>
          <w:lang w:val="fr-FR"/>
        </w:rPr>
        <w:t xml:space="preserve"> et ayant été traités par Glivec. Les 23 patients inclus dans ce registre ont reçu une dose journalière médiane de Glivec de 264 mg (comprise entre 100 et 400 mg) pendant une durée médiane de 7,2 ans (comprise entre 0,1 et 12,7 ans). En raison du caractère observationnel de ce registre, les données d’évaluation hématologique, cytogénétique et moléculaire ne sont disponibles respectivement que pour 22, 9 et 17 des 23 patients inclus. En présumant que les patients dont les données sont manquantes étaient non-répondeurs, une réponse hématologique complète a été observée </w:t>
      </w:r>
      <w:r w:rsidRPr="00961E0F">
        <w:rPr>
          <w:rFonts w:eastAsia="TimesNewRoman"/>
          <w:szCs w:val="22"/>
          <w:lang w:val="fr-FR"/>
        </w:rPr>
        <w:lastRenderedPageBreak/>
        <w:t>chez 20/23 patients (87%), une réponse cytogénétique complète chez 9/23 patients (39,1%) et une réponse moléculaire complète chez 11/23 patients (47,8%). Lorsque le taux de réponse est calculé chez les patients avec au moins une évaluation validée, le taux de réponse complète hématologique, cytogénétique et moléculaire était respectivement de 20/22 (90,9%), 9/9 (100%) et 11/17 (64,7%).</w:t>
      </w:r>
    </w:p>
    <w:p w14:paraId="1F99A8E9" w14:textId="77777777" w:rsidR="00516A9E" w:rsidRPr="00961E0F" w:rsidRDefault="00516A9E" w:rsidP="00EF4CB3">
      <w:pPr>
        <w:pStyle w:val="EndnoteText"/>
        <w:widowControl w:val="0"/>
        <w:tabs>
          <w:tab w:val="clear" w:pos="567"/>
        </w:tabs>
        <w:rPr>
          <w:color w:val="000000"/>
          <w:szCs w:val="22"/>
          <w:lang w:val="fr-FR"/>
        </w:rPr>
      </w:pPr>
    </w:p>
    <w:p w14:paraId="64F1B421"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De plus, 24 patients supplémentaires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ont été rapportés dans 13 publications. 21 patients ont été traités par Glivec à 400 mg/j, alors que les 3 autres patients ont reçu des doses plus faibles. Chez les 11 patients pour lesquels un réarrangement du géne du récepteur PDGFR a été mis en évidence, 9 d’entre eux ont présenté une réponse hématologique complète et 1 patient une réponse hématologique partielle. L’âge allait de 2 à 79 ans. Dans une publication récente, la mise à jour du suivi sur 6 de ces 11 patients, a montré que tous restaient en rémission cytogénétique ( suivi de 32</w:t>
      </w:r>
      <w:r w:rsidRPr="00961E0F">
        <w:rPr>
          <w:color w:val="000000"/>
          <w:szCs w:val="22"/>
          <w:lang w:val="fr-FR"/>
        </w:rPr>
        <w:noBreakHyphen/>
        <w:t xml:space="preserve">38 mois). La même publication rapportait des données du suivi à long terme de 12 patients atteints de </w:t>
      </w:r>
      <w:smartTag w:uri="urn:schemas-microsoft-com:office:smarttags" w:element="stockticker">
        <w:r w:rsidRPr="00961E0F">
          <w:rPr>
            <w:color w:val="000000"/>
            <w:szCs w:val="22"/>
            <w:lang w:val="fr-FR"/>
          </w:rPr>
          <w:t>SMD</w:t>
        </w:r>
      </w:smartTag>
      <w:r w:rsidRPr="00961E0F">
        <w:rPr>
          <w:color w:val="000000"/>
          <w:szCs w:val="22"/>
          <w:lang w:val="fr-FR"/>
        </w:rPr>
        <w:t>/</w:t>
      </w:r>
      <w:smartTag w:uri="urn:schemas-microsoft-com:office:smarttags" w:element="stockticker">
        <w:r w:rsidRPr="00961E0F">
          <w:rPr>
            <w:color w:val="000000"/>
            <w:szCs w:val="22"/>
            <w:lang w:val="fr-FR"/>
          </w:rPr>
          <w:t>SMP</w:t>
        </w:r>
      </w:smartTag>
      <w:r w:rsidRPr="00961E0F">
        <w:rPr>
          <w:color w:val="000000"/>
          <w:szCs w:val="22"/>
          <w:lang w:val="fr-FR"/>
        </w:rPr>
        <w:t xml:space="preserve"> associé à des réarrangements du gène du récepteur PDGFR (dont 5 patients de l’étude clinique B2225). Ces patients ont reçu Glivec sur une un durée médiane de 47 mois (24 jours à 60 mois). Chez 6 de ces patients, le suivi à ce jour est supérieur à 4 ans. 11 patients ont atteint une réponse hématologique complète rapide ; 10 ont présenté une résolution complète des anomalies cytogénétiques et une diminution ou une disparition du transcript de fusion (mesuré par un test RT-</w:t>
      </w:r>
      <w:smartTag w:uri="urn:schemas-microsoft-com:office:smarttags" w:element="stockticker">
        <w:r w:rsidRPr="00961E0F">
          <w:rPr>
            <w:color w:val="000000"/>
            <w:szCs w:val="22"/>
            <w:lang w:val="fr-FR"/>
          </w:rPr>
          <w:t>PCR</w:t>
        </w:r>
      </w:smartTag>
      <w:r w:rsidRPr="00961E0F">
        <w:rPr>
          <w:color w:val="000000"/>
          <w:szCs w:val="22"/>
          <w:lang w:val="fr-FR"/>
        </w:rPr>
        <w:t>). Les réponses hématologiques et cytogénétiques ont été respectivement maintenues sur une durée médiane de 49 mois (19 à 60 mois) et 47 mois (16 à 59 mois). La survie globale est de 65 mois à partir du diagnostic (25 à 234 mois). L’administration de Glivec chez des patients sans translocation génétique n’a pas généralement entrâiné d’amélioration.</w:t>
      </w:r>
    </w:p>
    <w:p w14:paraId="27984CC0" w14:textId="77777777" w:rsidR="00EF4CB3" w:rsidRPr="00961E0F" w:rsidRDefault="00EF4CB3" w:rsidP="00EF4CB3">
      <w:pPr>
        <w:pStyle w:val="EndnoteText"/>
        <w:widowControl w:val="0"/>
        <w:tabs>
          <w:tab w:val="clear" w:pos="567"/>
        </w:tabs>
        <w:rPr>
          <w:color w:val="000000"/>
          <w:szCs w:val="22"/>
          <w:lang w:val="fr-FR"/>
        </w:rPr>
      </w:pPr>
    </w:p>
    <w:p w14:paraId="18C537C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Il n’existe pas d’étude clinique contrôlée chez les patients pédiatriques atteints de SMD/SMP. Cinq (5) cas de patients atteints de SMD/SMP associés à des réarrangements du gène PDGFR ont été rapportés dans 4 publications. L’âge de ces patients allait de 3 mois à 4 ans et l’imatinib était administré à une posologie de 50 mg par jour ou comprise entre 92,5 et 340 mg/m² par jour. Tous les patients ont atteint une réponse hématologique complète, une réponse cytogénétique et/ou une réponse clinique.</w:t>
      </w:r>
    </w:p>
    <w:p w14:paraId="60F9481F" w14:textId="77777777" w:rsidR="00EF4CB3" w:rsidRPr="00961E0F" w:rsidRDefault="00EF4CB3" w:rsidP="00EF4CB3">
      <w:pPr>
        <w:pStyle w:val="EndnoteText"/>
        <w:widowControl w:val="0"/>
        <w:rPr>
          <w:color w:val="000000"/>
          <w:szCs w:val="22"/>
          <w:lang w:val="fr-FR"/>
        </w:rPr>
      </w:pPr>
    </w:p>
    <w:p w14:paraId="5650B902" w14:textId="77777777" w:rsidR="00EF4CB3" w:rsidRPr="00961E0F" w:rsidRDefault="00EF4CB3" w:rsidP="000A7F49">
      <w:pPr>
        <w:pStyle w:val="EndnoteText"/>
        <w:keepNext/>
        <w:widowControl w:val="0"/>
        <w:rPr>
          <w:color w:val="000000"/>
          <w:szCs w:val="22"/>
          <w:u w:val="single"/>
          <w:lang w:val="fr-FR"/>
        </w:rPr>
      </w:pPr>
      <w:r w:rsidRPr="00961E0F">
        <w:rPr>
          <w:color w:val="000000"/>
          <w:szCs w:val="22"/>
          <w:u w:val="single"/>
          <w:lang w:val="fr-FR"/>
        </w:rPr>
        <w:t>Etudes cliniques dans les SHE/LCE</w:t>
      </w:r>
    </w:p>
    <w:p w14:paraId="71D66335" w14:textId="77777777" w:rsidR="00EF4CB3" w:rsidRPr="00961E0F" w:rsidRDefault="00EF4CB3" w:rsidP="00EF4CB3">
      <w:pPr>
        <w:pStyle w:val="EndnoteText"/>
        <w:widowControl w:val="0"/>
        <w:rPr>
          <w:color w:val="000000"/>
          <w:szCs w:val="22"/>
          <w:lang w:val="fr-FR"/>
        </w:rPr>
      </w:pPr>
      <w:r w:rsidRPr="00961E0F">
        <w:rPr>
          <w:color w:val="000000"/>
          <w:szCs w:val="22"/>
          <w:lang w:val="fr-FR"/>
        </w:rPr>
        <w:t>Une étude ouverte multicentrique de phase II (étude B2225) a été menée avec Glivec chez des patients atteints de diverses maladies impliquant les tyrosine kinases Abl, Kit ou PDGFR et menaçant le pronostic vital. Dans cette étude, 14 de ces patients atteints de SHE/LCE ont été traités par Glivec à la dose de 100 mg à 1 000 mg par jour. 162 patients supplémentaires atteints de SHE/LCE, rapportés dans 35 publications sous la forme d’observations individuelles, ont reçu Glivec à la dose allant de 75 mg à 800 mg par jour. Les anomalies cytogénétiques ont été évaluées chez 117 patients sur un total de 176 patients. La protéine de fusion FIP1L1-PDGFR</w:t>
      </w:r>
      <w:r w:rsidRPr="00961E0F">
        <w:rPr>
          <w:color w:val="000000"/>
          <w:szCs w:val="22"/>
        </w:rPr>
        <w:t>α</w:t>
      </w:r>
      <w:r w:rsidRPr="00961E0F">
        <w:rPr>
          <w:color w:val="000000"/>
          <w:szCs w:val="22"/>
          <w:lang w:val="fr-FR"/>
        </w:rPr>
        <w:t xml:space="preserve"> a été identifiée chez 61 des 117 patients. Quatre autres patients atteints de SHE rapportés dans 3 publications étaient FIP1L1-PDGFR</w:t>
      </w:r>
      <w:r w:rsidRPr="00961E0F">
        <w:rPr>
          <w:color w:val="000000"/>
          <w:szCs w:val="22"/>
        </w:rPr>
        <w:t>α</w:t>
      </w:r>
      <w:r w:rsidRPr="00961E0F">
        <w:rPr>
          <w:color w:val="000000"/>
          <w:szCs w:val="22"/>
          <w:lang w:val="fr-FR"/>
        </w:rPr>
        <w:t xml:space="preserve"> positifs. Les 65 patients avec la protéine de fusion FIP1L1-PDGFR</w:t>
      </w:r>
      <w:r w:rsidRPr="00961E0F">
        <w:rPr>
          <w:color w:val="000000"/>
          <w:szCs w:val="22"/>
        </w:rPr>
        <w:t>α</w:t>
      </w:r>
      <w:r w:rsidRPr="00961E0F">
        <w:rPr>
          <w:color w:val="000000"/>
          <w:szCs w:val="22"/>
          <w:lang w:val="fr-FR"/>
        </w:rPr>
        <w:t xml:space="preserve"> ont atteint une RHC maintenue pendant des mois (de plus d’un mois à 44 mois censurés à la date du rapport). Comme cela a été rapporté dans une publication récente, 21 des 65 patients ont aussi présenté une rémission moléculaire avec une durée médiane de suivi de 28 mois (13 à 67 mois). L’âge de ces patients allait de 25 à 72 ans. De plus, les investigateurs ont rapporté dans ces observations individuelles des améliorations de la symptomatologie et des dysfonctionnements d’autres organes. Les améliorations ont été observées sur les groupe d’organe cardiaque, nerveux, cutané/sous-cutané, respiratoire/thoracique/médiastinal, musculosquelettique/tissu conjonctif/vasculaire, gastro-intestinal.</w:t>
      </w:r>
    </w:p>
    <w:p w14:paraId="48A8CE28" w14:textId="77777777" w:rsidR="00EF4CB3" w:rsidRPr="00961E0F" w:rsidRDefault="00EF4CB3" w:rsidP="00EF4CB3">
      <w:pPr>
        <w:pStyle w:val="EndnoteText"/>
        <w:widowControl w:val="0"/>
        <w:rPr>
          <w:color w:val="000000"/>
          <w:szCs w:val="22"/>
          <w:lang w:val="fr-FR"/>
        </w:rPr>
      </w:pPr>
    </w:p>
    <w:p w14:paraId="0EF9AF93" w14:textId="77777777" w:rsidR="00EF4CB3" w:rsidRPr="00961E0F" w:rsidRDefault="00EF4CB3" w:rsidP="00EF4CB3">
      <w:pPr>
        <w:pStyle w:val="EndnoteText"/>
        <w:widowControl w:val="0"/>
        <w:rPr>
          <w:color w:val="000000"/>
          <w:szCs w:val="22"/>
          <w:lang w:val="fr-FR"/>
        </w:rPr>
      </w:pPr>
      <w:r w:rsidRPr="00961E0F">
        <w:rPr>
          <w:color w:val="000000"/>
          <w:szCs w:val="22"/>
          <w:lang w:val="fr-FR"/>
        </w:rPr>
        <w:t>Il n’existe pas d’étude clinique contrôlée chez les patients pédiatriques atteints de SHE/LCE. Trois (3) cas de patients atteints de SHE/LCE associés à des réarrangements du gène PDGFR ont été rapportés dans 3 publications. L’âge de ces patients allait de 2 à 16 ans et l’imatinib était administré à une posologie de 300 mg/m² par jour ou comprise entre 200 et 400 mg par jour. Tous les patients ont atteint une réponse hématologique complète, une réponse cytogénétique complète, et/ou une réponse moléculaire complète.</w:t>
      </w:r>
    </w:p>
    <w:p w14:paraId="1BD1421E" w14:textId="77777777" w:rsidR="00EF4CB3" w:rsidRPr="00961E0F" w:rsidRDefault="00EF4CB3" w:rsidP="00EF4CB3">
      <w:pPr>
        <w:pStyle w:val="EndnoteText"/>
        <w:widowControl w:val="0"/>
        <w:rPr>
          <w:color w:val="000000"/>
          <w:szCs w:val="22"/>
          <w:lang w:val="fr-FR"/>
        </w:rPr>
      </w:pPr>
    </w:p>
    <w:p w14:paraId="45E236B7" w14:textId="77777777" w:rsidR="00EF4CB3" w:rsidRPr="00961E0F" w:rsidRDefault="00EF4CB3" w:rsidP="000A7F49">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les GIST non resécables et/ou métastatiques</w:t>
      </w:r>
    </w:p>
    <w:p w14:paraId="1259DEB4"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Une étude de Phase II, internationale, randomisée, en ouvert et non contrôlée a été conduite chez des patients atteints de tumeurs stromales gastro-intestinales (GIST) malignes non résécables ou </w:t>
      </w:r>
      <w:r w:rsidRPr="00961E0F">
        <w:rPr>
          <w:color w:val="000000"/>
          <w:szCs w:val="22"/>
          <w:lang w:val="fr-FR"/>
        </w:rPr>
        <w:lastRenderedPageBreak/>
        <w:t>métastatiques. Dans cette étude, 147 patients ont été inclus et randomisés pour recevoir soit 400 mg soit 600 mg de Glivec par jour par voie orale pour une durée pouvant atteindre 36 mois. Ces patients étaient âgés de 18 à 83 ans et ils avaient un diagnostic pathologique de GIST malignes Kit-positives, non résécables et/ou métastatiques. Le dosage immunohistochimique a été réalisé en routine avec des anticorps antiKit (A-4502, antisérum polyclonal de lapin, 1:100 ; DAKO Corporation, Carpinteria, CA) par la méthode utilisant le complexe peroxidase-biotine-avidine après marquage de l’antigène.</w:t>
      </w:r>
    </w:p>
    <w:p w14:paraId="1CC1592A" w14:textId="77777777" w:rsidR="00EF4CB3" w:rsidRPr="00961E0F" w:rsidRDefault="00EF4CB3" w:rsidP="00EF4CB3">
      <w:pPr>
        <w:pStyle w:val="EndnoteText"/>
        <w:widowControl w:val="0"/>
        <w:tabs>
          <w:tab w:val="clear" w:pos="567"/>
        </w:tabs>
        <w:rPr>
          <w:color w:val="000000"/>
          <w:szCs w:val="22"/>
          <w:lang w:val="fr-FR"/>
        </w:rPr>
      </w:pPr>
    </w:p>
    <w:p w14:paraId="4086557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 critère principal d'efficacité était basé sur les taux de réponses objectives. Les tumeurs devaient être mesurables pour au moins un site de la maladie et la caractérisation de la réponse était basée sur les critères du Southwestern Oncology Group (SWOG). Les résultats sont présentés dans le Tableau </w:t>
      </w:r>
      <w:r w:rsidR="00A239AE" w:rsidRPr="00961E0F">
        <w:rPr>
          <w:color w:val="000000"/>
          <w:szCs w:val="22"/>
          <w:lang w:val="fr-FR"/>
        </w:rPr>
        <w:t>6</w:t>
      </w:r>
      <w:r w:rsidRPr="00961E0F">
        <w:rPr>
          <w:color w:val="000000"/>
          <w:szCs w:val="22"/>
          <w:lang w:val="fr-FR"/>
        </w:rPr>
        <w:t>.</w:t>
      </w:r>
    </w:p>
    <w:p w14:paraId="7C8941FE" w14:textId="77777777" w:rsidR="00EF4CB3" w:rsidRPr="00961E0F" w:rsidRDefault="00EF4CB3" w:rsidP="00EF4CB3">
      <w:pPr>
        <w:pStyle w:val="EndnoteText"/>
        <w:widowControl w:val="0"/>
        <w:tabs>
          <w:tab w:val="clear" w:pos="567"/>
        </w:tabs>
        <w:rPr>
          <w:color w:val="000000"/>
          <w:szCs w:val="22"/>
          <w:lang w:val="fr-FR"/>
        </w:rPr>
      </w:pPr>
    </w:p>
    <w:p w14:paraId="38B59AF8" w14:textId="77777777" w:rsidR="00EF4CB3" w:rsidRPr="00961E0F" w:rsidRDefault="00EF4CB3" w:rsidP="000A7F49">
      <w:pPr>
        <w:pStyle w:val="EndnoteText"/>
        <w:keepNext/>
        <w:widowControl w:val="0"/>
        <w:tabs>
          <w:tab w:val="clear" w:pos="567"/>
          <w:tab w:val="left" w:pos="1134"/>
        </w:tabs>
        <w:ind w:left="1134" w:hanging="1134"/>
        <w:rPr>
          <w:b/>
          <w:color w:val="000000"/>
          <w:szCs w:val="22"/>
          <w:lang w:val="fr-FR"/>
        </w:rPr>
      </w:pPr>
      <w:r w:rsidRPr="00961E0F">
        <w:rPr>
          <w:b/>
          <w:color w:val="000000"/>
          <w:szCs w:val="22"/>
          <w:lang w:val="fr-FR"/>
        </w:rPr>
        <w:t>Tableau </w:t>
      </w:r>
      <w:r w:rsidR="00A239AE" w:rsidRPr="00961E0F">
        <w:rPr>
          <w:b/>
          <w:color w:val="000000"/>
          <w:szCs w:val="22"/>
          <w:lang w:val="fr-FR"/>
        </w:rPr>
        <w:t>6</w:t>
      </w:r>
      <w:r w:rsidRPr="00961E0F">
        <w:rPr>
          <w:b/>
          <w:color w:val="000000"/>
          <w:szCs w:val="22"/>
          <w:lang w:val="fr-FR"/>
        </w:rPr>
        <w:tab/>
        <w:t>Meilleure réponse tumorale dans l'essai STIB2222 (GIST)</w:t>
      </w:r>
    </w:p>
    <w:p w14:paraId="2A06F2F0" w14:textId="77777777" w:rsidR="00EF4CB3" w:rsidRPr="00961E0F" w:rsidRDefault="00EF4CB3" w:rsidP="000A7F49">
      <w:pPr>
        <w:pStyle w:val="EndnoteText"/>
        <w:keepNext/>
        <w:widowControl w:val="0"/>
        <w:tabs>
          <w:tab w:val="clear" w:pos="567"/>
        </w:tabs>
        <w:rPr>
          <w:color w:val="000000"/>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EF4CB3" w:rsidRPr="00961E0F" w14:paraId="7D5B1698" w14:textId="77777777" w:rsidTr="000A7F49">
        <w:trPr>
          <w:cantSplit/>
        </w:trPr>
        <w:tc>
          <w:tcPr>
            <w:tcW w:w="4605" w:type="dxa"/>
          </w:tcPr>
          <w:p w14:paraId="67A2A8AB" w14:textId="77777777" w:rsidR="00EF4CB3" w:rsidRPr="00961E0F" w:rsidRDefault="00EF4CB3" w:rsidP="000A7F49">
            <w:pPr>
              <w:pStyle w:val="EndnoteText"/>
              <w:keepNext/>
              <w:widowControl w:val="0"/>
              <w:tabs>
                <w:tab w:val="clear" w:pos="567"/>
              </w:tabs>
              <w:rPr>
                <w:color w:val="000000"/>
                <w:szCs w:val="22"/>
                <w:lang w:val="fr-FR"/>
              </w:rPr>
            </w:pPr>
          </w:p>
          <w:p w14:paraId="662D8CE6" w14:textId="77777777" w:rsidR="00EF4CB3" w:rsidRPr="00961E0F" w:rsidRDefault="00EF4CB3" w:rsidP="000A7F49">
            <w:pPr>
              <w:pStyle w:val="EndnoteText"/>
              <w:keepNext/>
              <w:widowControl w:val="0"/>
              <w:tabs>
                <w:tab w:val="clear" w:pos="567"/>
              </w:tabs>
              <w:rPr>
                <w:color w:val="000000"/>
                <w:szCs w:val="22"/>
                <w:lang w:val="fr-FR"/>
              </w:rPr>
            </w:pPr>
          </w:p>
          <w:p w14:paraId="7C833927" w14:textId="77777777" w:rsidR="00EF4CB3" w:rsidRPr="00961E0F" w:rsidRDefault="00EF4CB3" w:rsidP="000A7F49">
            <w:pPr>
              <w:pStyle w:val="EndnoteText"/>
              <w:keepNext/>
              <w:widowControl w:val="0"/>
              <w:tabs>
                <w:tab w:val="clear" w:pos="567"/>
              </w:tabs>
              <w:rPr>
                <w:color w:val="000000"/>
                <w:szCs w:val="22"/>
                <w:lang w:val="fr-FR"/>
              </w:rPr>
            </w:pPr>
          </w:p>
          <w:p w14:paraId="5134990F" w14:textId="77777777" w:rsidR="00EF4CB3" w:rsidRPr="00961E0F" w:rsidRDefault="00EF4CB3" w:rsidP="000A7F49">
            <w:pPr>
              <w:pStyle w:val="EndnoteText"/>
              <w:keepNext/>
              <w:widowControl w:val="0"/>
              <w:tabs>
                <w:tab w:val="clear" w:pos="567"/>
              </w:tabs>
              <w:rPr>
                <w:color w:val="000000"/>
                <w:szCs w:val="22"/>
                <w:lang w:val="fr-FR"/>
              </w:rPr>
            </w:pPr>
            <w:r w:rsidRPr="00961E0F">
              <w:rPr>
                <w:color w:val="000000"/>
                <w:szCs w:val="22"/>
                <w:lang w:val="fr-FR"/>
              </w:rPr>
              <w:t>Meilleure réponse</w:t>
            </w:r>
          </w:p>
        </w:tc>
        <w:tc>
          <w:tcPr>
            <w:tcW w:w="4605" w:type="dxa"/>
          </w:tcPr>
          <w:p w14:paraId="69E0B315" w14:textId="77777777" w:rsidR="00EF4CB3" w:rsidRPr="00961E0F" w:rsidRDefault="00EF4CB3" w:rsidP="000A7F49">
            <w:pPr>
              <w:pStyle w:val="EndnoteText"/>
              <w:keepNext/>
              <w:widowControl w:val="0"/>
              <w:tabs>
                <w:tab w:val="clear" w:pos="567"/>
              </w:tabs>
              <w:jc w:val="center"/>
              <w:rPr>
                <w:color w:val="000000"/>
                <w:szCs w:val="22"/>
                <w:lang w:val="fr-FR"/>
              </w:rPr>
            </w:pPr>
            <w:r w:rsidRPr="00961E0F">
              <w:rPr>
                <w:color w:val="000000"/>
                <w:szCs w:val="22"/>
                <w:lang w:val="fr-FR"/>
              </w:rPr>
              <w:t>Toutes les doses (n = 147)</w:t>
            </w:r>
          </w:p>
          <w:p w14:paraId="6C431647" w14:textId="77777777" w:rsidR="00EF4CB3" w:rsidRPr="00961E0F" w:rsidRDefault="00EF4CB3" w:rsidP="000A7F49">
            <w:pPr>
              <w:pStyle w:val="EndnoteText"/>
              <w:keepNext/>
              <w:widowControl w:val="0"/>
              <w:tabs>
                <w:tab w:val="clear" w:pos="567"/>
              </w:tabs>
              <w:jc w:val="center"/>
              <w:rPr>
                <w:color w:val="000000"/>
                <w:szCs w:val="22"/>
                <w:lang w:val="fr-FR"/>
              </w:rPr>
            </w:pPr>
            <w:r w:rsidRPr="00961E0F">
              <w:rPr>
                <w:color w:val="000000"/>
                <w:szCs w:val="22"/>
                <w:lang w:val="fr-FR"/>
              </w:rPr>
              <w:t>400 mg (n = 73)</w:t>
            </w:r>
          </w:p>
          <w:p w14:paraId="64BA7FFA" w14:textId="77777777" w:rsidR="00EF4CB3" w:rsidRPr="00961E0F" w:rsidRDefault="00EF4CB3" w:rsidP="000A7F49">
            <w:pPr>
              <w:pStyle w:val="EndnoteText"/>
              <w:keepNext/>
              <w:widowControl w:val="0"/>
              <w:tabs>
                <w:tab w:val="clear" w:pos="567"/>
              </w:tabs>
              <w:jc w:val="center"/>
              <w:rPr>
                <w:color w:val="000000"/>
                <w:szCs w:val="22"/>
                <w:lang w:val="fr-FR"/>
              </w:rPr>
            </w:pPr>
            <w:r w:rsidRPr="00961E0F">
              <w:rPr>
                <w:color w:val="000000"/>
                <w:szCs w:val="22"/>
                <w:lang w:val="fr-FR"/>
              </w:rPr>
              <w:t>600 mg (n = 74)</w:t>
            </w:r>
          </w:p>
          <w:p w14:paraId="61CC8018" w14:textId="77777777" w:rsidR="00EF4CB3" w:rsidRPr="00961E0F" w:rsidRDefault="00EF4CB3" w:rsidP="000A7F49">
            <w:pPr>
              <w:pStyle w:val="EndnoteText"/>
              <w:keepNext/>
              <w:widowControl w:val="0"/>
              <w:tabs>
                <w:tab w:val="clear" w:pos="567"/>
              </w:tabs>
              <w:jc w:val="center"/>
              <w:rPr>
                <w:color w:val="000000"/>
                <w:szCs w:val="22"/>
                <w:lang w:val="fr-FR"/>
              </w:rPr>
            </w:pPr>
            <w:r w:rsidRPr="00961E0F">
              <w:rPr>
                <w:color w:val="000000"/>
                <w:szCs w:val="22"/>
                <w:lang w:val="fr-FR"/>
              </w:rPr>
              <w:t>n (%)</w:t>
            </w:r>
          </w:p>
        </w:tc>
      </w:tr>
      <w:tr w:rsidR="00EF4CB3" w:rsidRPr="00961E0F" w14:paraId="1A2C8A8E" w14:textId="77777777" w:rsidTr="000A7F49">
        <w:trPr>
          <w:cantSplit/>
        </w:trPr>
        <w:tc>
          <w:tcPr>
            <w:tcW w:w="4605" w:type="dxa"/>
          </w:tcPr>
          <w:p w14:paraId="2A7ECB6B"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Réponse complète</w:t>
            </w:r>
          </w:p>
          <w:p w14:paraId="5D4E87A2"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Réponse partielle</w:t>
            </w:r>
          </w:p>
          <w:p w14:paraId="28B641CC"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Stabilisation de la maladie</w:t>
            </w:r>
          </w:p>
          <w:p w14:paraId="7306F0D2"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Progression de la maladie</w:t>
            </w:r>
          </w:p>
          <w:p w14:paraId="6C518D97"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Non évaluable</w:t>
            </w:r>
          </w:p>
          <w:p w14:paraId="0FB1C9E0" w14:textId="77777777" w:rsidR="00EF4CB3" w:rsidRPr="00961E0F" w:rsidRDefault="00EF4CB3" w:rsidP="00F84278">
            <w:pPr>
              <w:pStyle w:val="EndnoteText"/>
              <w:widowControl w:val="0"/>
              <w:tabs>
                <w:tab w:val="clear" w:pos="567"/>
              </w:tabs>
              <w:rPr>
                <w:color w:val="000000"/>
                <w:szCs w:val="22"/>
                <w:lang w:val="fr-FR"/>
              </w:rPr>
            </w:pPr>
            <w:r w:rsidRPr="00961E0F">
              <w:rPr>
                <w:color w:val="000000"/>
                <w:szCs w:val="22"/>
                <w:lang w:val="fr-FR"/>
              </w:rPr>
              <w:t>Inconnu</w:t>
            </w:r>
          </w:p>
        </w:tc>
        <w:tc>
          <w:tcPr>
            <w:tcW w:w="4605" w:type="dxa"/>
          </w:tcPr>
          <w:p w14:paraId="329A5F22"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1 (0,7)</w:t>
            </w:r>
          </w:p>
          <w:p w14:paraId="67405D23"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98 (66,7)</w:t>
            </w:r>
          </w:p>
          <w:p w14:paraId="2B41F3FD"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23 (15,6)</w:t>
            </w:r>
          </w:p>
          <w:p w14:paraId="1C39F672"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18 (12,2)</w:t>
            </w:r>
          </w:p>
          <w:p w14:paraId="76B03C77"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5 (3,4)</w:t>
            </w:r>
          </w:p>
          <w:p w14:paraId="620CA541" w14:textId="77777777" w:rsidR="00EF4CB3" w:rsidRPr="00961E0F" w:rsidRDefault="00EF4CB3" w:rsidP="00F84278">
            <w:pPr>
              <w:pStyle w:val="EndnoteText"/>
              <w:widowControl w:val="0"/>
              <w:tabs>
                <w:tab w:val="clear" w:pos="567"/>
              </w:tabs>
              <w:jc w:val="center"/>
              <w:rPr>
                <w:color w:val="000000"/>
                <w:szCs w:val="22"/>
                <w:lang w:val="fr-FR"/>
              </w:rPr>
            </w:pPr>
            <w:r w:rsidRPr="00961E0F">
              <w:rPr>
                <w:color w:val="000000"/>
                <w:szCs w:val="22"/>
                <w:lang w:val="fr-FR"/>
              </w:rPr>
              <w:t>2 (1,4)</w:t>
            </w:r>
          </w:p>
        </w:tc>
      </w:tr>
    </w:tbl>
    <w:p w14:paraId="39CC1831" w14:textId="77777777" w:rsidR="00EF4CB3" w:rsidRPr="00961E0F" w:rsidRDefault="00EF4CB3" w:rsidP="00EF4CB3">
      <w:pPr>
        <w:pStyle w:val="EndnoteText"/>
        <w:widowControl w:val="0"/>
        <w:tabs>
          <w:tab w:val="clear" w:pos="567"/>
        </w:tabs>
        <w:rPr>
          <w:color w:val="000000"/>
          <w:szCs w:val="22"/>
          <w:lang w:val="fr-FR"/>
        </w:rPr>
      </w:pPr>
    </w:p>
    <w:p w14:paraId="65C8E8E3"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Aucune différence des taux de réponses n'a été observée entre les deux groupes de dose. Un nombre important de patients qui présentaient une stabilisation de la maladie au moment de l'analyse intermédiaire a atteint une réponse partielle après une durée plus longue de traitement (médiane de suivi de 31 mois). La durée médiane pour obtenir une réponse était de 13 semaines (95%IC 12–23). La durée médiane jusqu’à échec du traitement chez les répondeurs était de 122 semaines (95%IC 106–147) alors que pour la population totale de l’étude, elle était de 84 semaines (95%IC 71–109). La durée médiane de survie globale n’a pas été atteinte. Après un suivi de 36 mois l’estimation selon Kaplan-Meier du taux de survie est de 68%.</w:t>
      </w:r>
    </w:p>
    <w:p w14:paraId="679B4B8B" w14:textId="77777777" w:rsidR="00EF4CB3" w:rsidRPr="00961E0F" w:rsidRDefault="00EF4CB3" w:rsidP="00EF4CB3">
      <w:pPr>
        <w:pStyle w:val="EndnoteText"/>
        <w:widowControl w:val="0"/>
        <w:tabs>
          <w:tab w:val="clear" w:pos="567"/>
        </w:tabs>
        <w:rPr>
          <w:color w:val="000000"/>
          <w:szCs w:val="22"/>
          <w:lang w:val="fr-FR"/>
        </w:rPr>
      </w:pPr>
    </w:p>
    <w:p w14:paraId="4BADEFBC"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Dans les deux études cliniques (étude B2222 et étude intergroupe S0033), la dose quotidienne de Glivec a été augmentée à 800 mg chez les patients qui progressaient aux plus faibles doses de 400 mg ou 600 mg par jour. Au total 103 patients ont eu une augmentation de doses à 800 mg : 6 patients ont atteint une réponse partielle et 21 une stabilisation de leur maladie après augmentation de la dose pour un bénéfice clinique global de 26%. Sur la base des données de tolérance disponibles, l’augmentation de dose quotidienne à 800 mg chez des patients progressant aux plus faibles doses de 400 mg ou 600 mg par jour ne semble pas affecter le profil de sécurité d’emploi de Glivec.</w:t>
      </w:r>
    </w:p>
    <w:p w14:paraId="6AD2C9C6" w14:textId="77777777" w:rsidR="00EF4CB3" w:rsidRPr="00961E0F" w:rsidRDefault="00EF4CB3" w:rsidP="00EF4CB3">
      <w:pPr>
        <w:pStyle w:val="EndnoteText"/>
        <w:widowControl w:val="0"/>
        <w:tabs>
          <w:tab w:val="clear" w:pos="567"/>
        </w:tabs>
        <w:rPr>
          <w:color w:val="000000"/>
          <w:szCs w:val="22"/>
          <w:lang w:val="fr-FR"/>
        </w:rPr>
      </w:pPr>
    </w:p>
    <w:p w14:paraId="33939FE6" w14:textId="77777777" w:rsidR="00EF4CB3" w:rsidRPr="00961E0F" w:rsidRDefault="00EF4CB3" w:rsidP="000A7F49">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le traitement adjuvant des GIST</w:t>
      </w:r>
    </w:p>
    <w:p w14:paraId="416A14D8"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 xml:space="preserve">Dans le cadre du traitement adjuvant, Glivec a été étudié dans une étude clinique de phase </w:t>
      </w:r>
      <w:smartTag w:uri="urn:schemas-microsoft-com:office:smarttags" w:element="stockticker">
        <w:r w:rsidRPr="00961E0F">
          <w:rPr>
            <w:color w:val="000000"/>
            <w:szCs w:val="22"/>
            <w:lang w:val="fr-FR"/>
          </w:rPr>
          <w:t>III</w:t>
        </w:r>
      </w:smartTag>
      <w:r w:rsidRPr="00961E0F">
        <w:rPr>
          <w:color w:val="000000"/>
          <w:szCs w:val="22"/>
          <w:lang w:val="fr-FR"/>
        </w:rPr>
        <w:t xml:space="preserve"> multicentrique contrôlée menée en double aveugle </w:t>
      </w:r>
      <w:r w:rsidRPr="00961E0F">
        <w:rPr>
          <w:i/>
          <w:color w:val="000000"/>
          <w:szCs w:val="22"/>
          <w:lang w:val="fr-FR"/>
        </w:rPr>
        <w:t>versus</w:t>
      </w:r>
      <w:r w:rsidRPr="00961E0F">
        <w:rPr>
          <w:color w:val="000000"/>
          <w:szCs w:val="22"/>
          <w:lang w:val="fr-FR"/>
        </w:rPr>
        <w:t xml:space="preserve"> placebo (Z9001) impliquant 773 patients. Leur âge était de 18 à 91 ans. Les patients inclus avaient eu un diagnostic histologique confirmé de GIST avec immunohistochimie positive pour Kit et une taille tumorale </w:t>
      </w:r>
      <w:r w:rsidRPr="00961E0F">
        <w:rPr>
          <w:color w:val="000000"/>
          <w:szCs w:val="22"/>
          <w:lang w:val="fr-FR"/>
        </w:rPr>
        <w:sym w:font="Symbol" w:char="F0B3"/>
      </w:r>
      <w:r w:rsidRPr="00961E0F">
        <w:rPr>
          <w:color w:val="000000"/>
          <w:szCs w:val="22"/>
          <w:lang w:val="fr-FR"/>
        </w:rPr>
        <w:t>3 cm au maximum, avec une résection complète de la masse tumorale dans les 14 à 70 jours précédents l’inclusion. Après la résection du GIST primaire, les patients étaient randomisés dans l’un des deux bras : Glivec à 400 mg/j ou le placebo correspondant pendant un an.</w:t>
      </w:r>
    </w:p>
    <w:p w14:paraId="1DAE7797" w14:textId="77777777" w:rsidR="00EF4CB3" w:rsidRPr="00961E0F" w:rsidRDefault="00EF4CB3" w:rsidP="00EF4CB3">
      <w:pPr>
        <w:pStyle w:val="EndnoteText"/>
        <w:widowControl w:val="0"/>
        <w:tabs>
          <w:tab w:val="clear" w:pos="567"/>
        </w:tabs>
        <w:rPr>
          <w:color w:val="000000"/>
          <w:szCs w:val="22"/>
          <w:lang w:val="fr-FR"/>
        </w:rPr>
      </w:pPr>
    </w:p>
    <w:p w14:paraId="492E9C85"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 critère primaire de l’étude était la survie sans rechute, définie comme le délai entre la date de randomisation jusqu’à la date d’une rechute ou d’un décés quelle que soit la cause.</w:t>
      </w:r>
    </w:p>
    <w:p w14:paraId="1C376ACB" w14:textId="77777777" w:rsidR="00EF4CB3" w:rsidRPr="00961E0F" w:rsidRDefault="00EF4CB3" w:rsidP="00EF4CB3">
      <w:pPr>
        <w:pStyle w:val="EndnoteText"/>
        <w:widowControl w:val="0"/>
        <w:tabs>
          <w:tab w:val="clear" w:pos="567"/>
        </w:tabs>
        <w:rPr>
          <w:color w:val="000000"/>
          <w:szCs w:val="22"/>
          <w:lang w:val="fr-FR"/>
        </w:rPr>
      </w:pPr>
    </w:p>
    <w:p w14:paraId="1508A45F"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Glivec a prolongé significativement la survie sans rechute, 75% des patients étaient sans rechute à 38 mois dans le groupe Glivec versus 20 mois dans le groupe placebo (95%ICs [30- non estimable] ; [14- non estimable], respectivement) : (hazard ratio = 0,398 [0,259</w:t>
      </w:r>
      <w:r w:rsidRPr="00961E0F">
        <w:rPr>
          <w:color w:val="000000"/>
          <w:szCs w:val="22"/>
          <w:lang w:val="fr-FR"/>
        </w:rPr>
        <w:noBreakHyphen/>
        <w:t xml:space="preserve">0,610], p&lt;0.0001). A un an la survie sans rechute globale était significativement meilleure pour Glivec (97,7%) </w:t>
      </w:r>
      <w:r w:rsidRPr="00961E0F">
        <w:rPr>
          <w:i/>
          <w:color w:val="000000"/>
          <w:szCs w:val="22"/>
          <w:lang w:val="fr-FR"/>
        </w:rPr>
        <w:t>versus</w:t>
      </w:r>
      <w:r w:rsidRPr="00961E0F">
        <w:rPr>
          <w:color w:val="000000"/>
          <w:szCs w:val="22"/>
          <w:lang w:val="fr-FR"/>
        </w:rPr>
        <w:t xml:space="preserve"> placebo </w:t>
      </w:r>
      <w:r w:rsidRPr="00961E0F">
        <w:rPr>
          <w:color w:val="000000"/>
          <w:szCs w:val="22"/>
          <w:lang w:val="fr-FR"/>
        </w:rPr>
        <w:lastRenderedPageBreak/>
        <w:t>(82,3%), (p&lt;0,0001). Le risque de rechute était réduit de 89% approximativement par comparaison au placebo (hazard ratio = 0,113 [0,049</w:t>
      </w:r>
      <w:r w:rsidRPr="00961E0F">
        <w:rPr>
          <w:color w:val="000000"/>
          <w:szCs w:val="22"/>
          <w:lang w:val="fr-FR"/>
        </w:rPr>
        <w:noBreakHyphen/>
        <w:t>0,264]).</w:t>
      </w:r>
    </w:p>
    <w:p w14:paraId="079693F3" w14:textId="77777777" w:rsidR="00EF4CB3" w:rsidRPr="00961E0F" w:rsidRDefault="00EF4CB3" w:rsidP="00EF4CB3">
      <w:pPr>
        <w:pStyle w:val="EndnoteText"/>
        <w:widowControl w:val="0"/>
        <w:tabs>
          <w:tab w:val="clear" w:pos="567"/>
        </w:tabs>
        <w:rPr>
          <w:color w:val="000000"/>
          <w:szCs w:val="22"/>
          <w:lang w:val="fr-FR"/>
        </w:rPr>
      </w:pPr>
    </w:p>
    <w:p w14:paraId="36B69709"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Le risque de rechute après chirurgie chez des patients atteints de GISTa été évalué rétrospectivement en fonction des facteurs pronostiques suivants : taille de la tumeur, index mitotique, localisation de la tumeur. Les valeurs de l’index mitotique étaient disponibles chez 556 patients sur les 713 patients de la population en intention de traiter (</w:t>
      </w:r>
      <w:smartTag w:uri="urn:schemas-microsoft-com:office:smarttags" w:element="stockticker">
        <w:r w:rsidRPr="00961E0F">
          <w:rPr>
            <w:color w:val="000000"/>
            <w:szCs w:val="22"/>
            <w:lang w:val="fr-FR"/>
          </w:rPr>
          <w:t>ITT</w:t>
        </w:r>
      </w:smartTag>
      <w:r w:rsidRPr="00961E0F">
        <w:rPr>
          <w:color w:val="000000"/>
          <w:szCs w:val="22"/>
          <w:lang w:val="fr-FR"/>
        </w:rPr>
        <w:t>). Les résultats de l’analyse en sous-groupes selon les classifications de risque NIH « United States National Institutes of Health » et AFIP « Armed Forces Institute of Pathology » sont présentés dans le Tableau </w:t>
      </w:r>
      <w:r w:rsidR="00A239AE" w:rsidRPr="00961E0F">
        <w:rPr>
          <w:color w:val="000000"/>
          <w:szCs w:val="22"/>
          <w:lang w:val="fr-FR"/>
        </w:rPr>
        <w:t>7</w:t>
      </w:r>
      <w:r w:rsidRPr="00961E0F">
        <w:rPr>
          <w:color w:val="000000"/>
          <w:szCs w:val="22"/>
          <w:lang w:val="fr-FR"/>
        </w:rPr>
        <w:t>. Aucun bénéfice n’a été observé dans les groupes à faible et très faible risque. Il n’a pas été observé de bénéfice sur la survie globale.</w:t>
      </w:r>
    </w:p>
    <w:p w14:paraId="15CD123C" w14:textId="77777777" w:rsidR="00EF4CB3" w:rsidRPr="00961E0F" w:rsidRDefault="00EF4CB3" w:rsidP="00EF4CB3">
      <w:pPr>
        <w:pStyle w:val="EndnoteText"/>
        <w:widowControl w:val="0"/>
        <w:tabs>
          <w:tab w:val="clear" w:pos="567"/>
        </w:tabs>
        <w:rPr>
          <w:color w:val="000000"/>
          <w:szCs w:val="22"/>
          <w:lang w:val="fr-FR"/>
        </w:rPr>
      </w:pPr>
    </w:p>
    <w:p w14:paraId="774132BA" w14:textId="77777777" w:rsidR="00EF4CB3" w:rsidRPr="00961E0F" w:rsidRDefault="00EF4CB3" w:rsidP="000A7F49">
      <w:pPr>
        <w:pStyle w:val="Heading6"/>
        <w:keepLines/>
        <w:tabs>
          <w:tab w:val="left" w:pos="1134"/>
        </w:tabs>
        <w:ind w:left="1134" w:hanging="1134"/>
        <w:rPr>
          <w:rFonts w:eastAsia="MS Mincho"/>
          <w:bCs/>
          <w:iCs/>
          <w:color w:val="000000"/>
          <w:szCs w:val="22"/>
          <w:lang w:eastAsia="ja-JP"/>
        </w:rPr>
      </w:pPr>
      <w:r w:rsidRPr="00961E0F">
        <w:rPr>
          <w:rFonts w:eastAsia="MS Mincho"/>
          <w:bCs/>
          <w:iCs/>
          <w:color w:val="000000"/>
          <w:szCs w:val="22"/>
          <w:lang w:eastAsia="ja-JP"/>
        </w:rPr>
        <w:t>Tableau </w:t>
      </w:r>
      <w:r w:rsidR="00A239AE" w:rsidRPr="00961E0F">
        <w:rPr>
          <w:rFonts w:eastAsia="MS Mincho"/>
          <w:bCs/>
          <w:iCs/>
          <w:color w:val="000000"/>
          <w:szCs w:val="22"/>
          <w:lang w:eastAsia="ja-JP"/>
        </w:rPr>
        <w:t>7</w:t>
      </w:r>
      <w:r w:rsidRPr="00961E0F">
        <w:rPr>
          <w:rFonts w:eastAsia="MS Mincho"/>
          <w:bCs/>
          <w:iCs/>
          <w:color w:val="000000"/>
          <w:szCs w:val="22"/>
          <w:lang w:eastAsia="ja-JP"/>
        </w:rPr>
        <w:tab/>
        <w:t>Résumé des resultats de l’analyse de la survie sans rechute selon les classifications NIH et AFIP de l’étude Z9001</w:t>
      </w:r>
    </w:p>
    <w:p w14:paraId="1B440CD9" w14:textId="77777777" w:rsidR="00EF4CB3" w:rsidRPr="00961E0F" w:rsidRDefault="00EF4CB3" w:rsidP="000A7F49">
      <w:pPr>
        <w:keepNext/>
        <w:rPr>
          <w:rFonts w:ascii="Times New Roman" w:eastAsia="MS Mincho" w:hAnsi="Times New Roman"/>
          <w:color w:val="000000"/>
          <w:lang w:eastAsia="ja-JP"/>
        </w:rPr>
      </w:pPr>
    </w:p>
    <w:tbl>
      <w:tblPr>
        <w:tblW w:w="10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417"/>
        <w:gridCol w:w="986"/>
        <w:gridCol w:w="2083"/>
        <w:gridCol w:w="1800"/>
        <w:gridCol w:w="1440"/>
        <w:gridCol w:w="1360"/>
      </w:tblGrid>
      <w:tr w:rsidR="00EF4CB3" w:rsidRPr="00961E0F" w14:paraId="340EA65E" w14:textId="77777777" w:rsidTr="000A7F49">
        <w:trPr>
          <w:cantSplit/>
        </w:trPr>
        <w:tc>
          <w:tcPr>
            <w:tcW w:w="1101" w:type="dxa"/>
            <w:vMerge w:val="restart"/>
          </w:tcPr>
          <w:p w14:paraId="1CAD9D4D" w14:textId="77777777" w:rsidR="00EF4CB3" w:rsidRPr="00961E0F" w:rsidRDefault="00EF4CB3" w:rsidP="000A7F49">
            <w:pPr>
              <w:pStyle w:val="Table"/>
              <w:keepLines w:val="0"/>
              <w:tabs>
                <w:tab w:val="left" w:pos="567"/>
              </w:tabs>
              <w:spacing w:before="120"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Critèresde risque</w:t>
            </w:r>
          </w:p>
        </w:tc>
        <w:tc>
          <w:tcPr>
            <w:tcW w:w="1417" w:type="dxa"/>
            <w:vMerge w:val="restart"/>
            <w:tcBorders>
              <w:right w:val="single" w:sz="4" w:space="0" w:color="auto"/>
            </w:tcBorders>
          </w:tcPr>
          <w:p w14:paraId="4B785CDA" w14:textId="77777777" w:rsidR="00EF4CB3" w:rsidRPr="00961E0F" w:rsidRDefault="00EF4CB3" w:rsidP="000A7F49">
            <w:pPr>
              <w:pStyle w:val="Table"/>
              <w:keepLines w:val="0"/>
              <w:tabs>
                <w:tab w:val="left" w:pos="567"/>
              </w:tabs>
              <w:spacing w:before="120" w:line="260" w:lineRule="exact"/>
              <w:rPr>
                <w:rFonts w:ascii="Times New Roman" w:hAnsi="Times New Roman"/>
                <w:b/>
                <w:color w:val="000000"/>
                <w:sz w:val="22"/>
                <w:szCs w:val="22"/>
              </w:rPr>
            </w:pPr>
            <w:r w:rsidRPr="00961E0F">
              <w:rPr>
                <w:rFonts w:ascii="Times New Roman" w:hAnsi="Times New Roman"/>
                <w:b/>
                <w:color w:val="000000"/>
                <w:sz w:val="22"/>
                <w:szCs w:val="22"/>
              </w:rPr>
              <w:t>Risque</w:t>
            </w:r>
          </w:p>
        </w:tc>
        <w:tc>
          <w:tcPr>
            <w:tcW w:w="986" w:type="dxa"/>
            <w:vMerge w:val="restart"/>
            <w:tcBorders>
              <w:left w:val="single" w:sz="4" w:space="0" w:color="auto"/>
              <w:right w:val="single" w:sz="4" w:space="0" w:color="auto"/>
            </w:tcBorders>
          </w:tcPr>
          <w:p w14:paraId="638EF4C7" w14:textId="77777777" w:rsidR="00EF4CB3" w:rsidRPr="00961E0F" w:rsidRDefault="00EF4CB3" w:rsidP="000A7F49">
            <w:pPr>
              <w:pStyle w:val="Table"/>
              <w:keepLines w:val="0"/>
              <w:tabs>
                <w:tab w:val="left" w:pos="567"/>
              </w:tabs>
              <w:spacing w:before="120"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 of patients</w:t>
            </w:r>
          </w:p>
        </w:tc>
        <w:tc>
          <w:tcPr>
            <w:tcW w:w="2083" w:type="dxa"/>
            <w:vMerge w:val="restart"/>
            <w:tcBorders>
              <w:left w:val="single" w:sz="4" w:space="0" w:color="auto"/>
              <w:right w:val="single" w:sz="4" w:space="0" w:color="auto"/>
            </w:tcBorders>
          </w:tcPr>
          <w:p w14:paraId="7E517179" w14:textId="77777777" w:rsidR="00EF4CB3" w:rsidRPr="00961E0F" w:rsidRDefault="00EF4CB3" w:rsidP="000A7F49">
            <w:pPr>
              <w:pStyle w:val="Table"/>
              <w:keepLines w:val="0"/>
              <w:tabs>
                <w:tab w:val="left" w:pos="567"/>
              </w:tabs>
              <w:spacing w:before="120" w:line="260" w:lineRule="exact"/>
              <w:jc w:val="center"/>
              <w:rPr>
                <w:rFonts w:ascii="Times New Roman" w:hAnsi="Times New Roman"/>
                <w:b/>
                <w:color w:val="000000"/>
                <w:sz w:val="22"/>
                <w:szCs w:val="22"/>
                <w:lang w:val="fr-FR"/>
              </w:rPr>
            </w:pPr>
            <w:r w:rsidRPr="00961E0F">
              <w:rPr>
                <w:rFonts w:ascii="Times New Roman" w:hAnsi="Times New Roman"/>
                <w:b/>
                <w:color w:val="000000"/>
                <w:sz w:val="22"/>
                <w:szCs w:val="22"/>
                <w:lang w:val="fr-FR"/>
              </w:rPr>
              <w:t>Nombre d’événements /</w:t>
            </w:r>
            <w:r w:rsidRPr="00961E0F">
              <w:rPr>
                <w:rFonts w:ascii="Times New Roman" w:hAnsi="Times New Roman"/>
                <w:b/>
                <w:color w:val="000000"/>
                <w:sz w:val="22"/>
                <w:szCs w:val="22"/>
                <w:lang w:val="fr-FR"/>
              </w:rPr>
              <w:br/>
              <w:t>Nombre de patients</w:t>
            </w:r>
          </w:p>
        </w:tc>
        <w:tc>
          <w:tcPr>
            <w:tcW w:w="1800" w:type="dxa"/>
            <w:vMerge w:val="restart"/>
            <w:tcBorders>
              <w:left w:val="single" w:sz="4" w:space="0" w:color="auto"/>
              <w:right w:val="single" w:sz="4" w:space="0" w:color="auto"/>
            </w:tcBorders>
          </w:tcPr>
          <w:p w14:paraId="157B207A"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Hazard ratio global (95%IC)*</w:t>
            </w:r>
          </w:p>
        </w:tc>
        <w:tc>
          <w:tcPr>
            <w:tcW w:w="2800" w:type="dxa"/>
            <w:gridSpan w:val="2"/>
            <w:tcBorders>
              <w:left w:val="single" w:sz="4" w:space="0" w:color="auto"/>
            </w:tcBorders>
          </w:tcPr>
          <w:p w14:paraId="2F99A2FE"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lang w:val="fr-FR"/>
              </w:rPr>
            </w:pPr>
            <w:r w:rsidRPr="00961E0F">
              <w:rPr>
                <w:rFonts w:ascii="Times New Roman" w:hAnsi="Times New Roman"/>
                <w:b/>
                <w:color w:val="000000"/>
                <w:sz w:val="22"/>
                <w:szCs w:val="22"/>
                <w:lang w:val="fr-FR"/>
              </w:rPr>
              <w:t>Taux de survie sans rechute (%)</w:t>
            </w:r>
          </w:p>
        </w:tc>
      </w:tr>
      <w:tr w:rsidR="00EF4CB3" w:rsidRPr="00961E0F" w14:paraId="10720C4C" w14:textId="77777777" w:rsidTr="000A7F49">
        <w:trPr>
          <w:cantSplit/>
        </w:trPr>
        <w:tc>
          <w:tcPr>
            <w:tcW w:w="1101" w:type="dxa"/>
            <w:vMerge/>
          </w:tcPr>
          <w:p w14:paraId="3111318D"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lang w:val="fr-FR"/>
              </w:rPr>
            </w:pPr>
          </w:p>
        </w:tc>
        <w:tc>
          <w:tcPr>
            <w:tcW w:w="1417" w:type="dxa"/>
            <w:vMerge/>
            <w:tcBorders>
              <w:right w:val="single" w:sz="4" w:space="0" w:color="auto"/>
            </w:tcBorders>
          </w:tcPr>
          <w:p w14:paraId="7BA6BA0C"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lang w:val="fr-FR"/>
              </w:rPr>
            </w:pPr>
          </w:p>
        </w:tc>
        <w:tc>
          <w:tcPr>
            <w:tcW w:w="986" w:type="dxa"/>
            <w:vMerge/>
            <w:tcBorders>
              <w:left w:val="single" w:sz="4" w:space="0" w:color="auto"/>
              <w:right w:val="single" w:sz="4" w:space="0" w:color="auto"/>
            </w:tcBorders>
          </w:tcPr>
          <w:p w14:paraId="463C57AB"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lang w:val="fr-FR"/>
              </w:rPr>
            </w:pPr>
          </w:p>
        </w:tc>
        <w:tc>
          <w:tcPr>
            <w:tcW w:w="2083" w:type="dxa"/>
            <w:vMerge/>
            <w:tcBorders>
              <w:left w:val="single" w:sz="4" w:space="0" w:color="auto"/>
              <w:right w:val="single" w:sz="4" w:space="0" w:color="auto"/>
            </w:tcBorders>
          </w:tcPr>
          <w:p w14:paraId="13FC17F6"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lang w:val="fr-FR"/>
              </w:rPr>
            </w:pPr>
          </w:p>
        </w:tc>
        <w:tc>
          <w:tcPr>
            <w:tcW w:w="1800" w:type="dxa"/>
            <w:vMerge/>
            <w:tcBorders>
              <w:left w:val="single" w:sz="4" w:space="0" w:color="auto"/>
              <w:right w:val="single" w:sz="4" w:space="0" w:color="auto"/>
            </w:tcBorders>
          </w:tcPr>
          <w:p w14:paraId="492FEDDE"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lang w:val="fr-FR"/>
              </w:rPr>
            </w:pPr>
          </w:p>
        </w:tc>
        <w:tc>
          <w:tcPr>
            <w:tcW w:w="1440" w:type="dxa"/>
            <w:tcBorders>
              <w:left w:val="single" w:sz="4" w:space="0" w:color="auto"/>
              <w:right w:val="single" w:sz="4" w:space="0" w:color="auto"/>
            </w:tcBorders>
          </w:tcPr>
          <w:p w14:paraId="4EC52BA6"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12 mois</w:t>
            </w:r>
          </w:p>
        </w:tc>
        <w:tc>
          <w:tcPr>
            <w:tcW w:w="1360" w:type="dxa"/>
            <w:tcBorders>
              <w:left w:val="single" w:sz="4" w:space="0" w:color="auto"/>
            </w:tcBorders>
          </w:tcPr>
          <w:p w14:paraId="7D285C83"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24 mois</w:t>
            </w:r>
          </w:p>
        </w:tc>
      </w:tr>
      <w:tr w:rsidR="00EF4CB3" w:rsidRPr="00961E0F" w14:paraId="38ABB857" w14:textId="77777777" w:rsidTr="000A7F49">
        <w:trPr>
          <w:cantSplit/>
        </w:trPr>
        <w:tc>
          <w:tcPr>
            <w:tcW w:w="1101" w:type="dxa"/>
            <w:vMerge/>
          </w:tcPr>
          <w:p w14:paraId="024E7915"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rPr>
            </w:pPr>
          </w:p>
        </w:tc>
        <w:tc>
          <w:tcPr>
            <w:tcW w:w="1417" w:type="dxa"/>
            <w:vMerge/>
            <w:tcBorders>
              <w:right w:val="single" w:sz="4" w:space="0" w:color="auto"/>
            </w:tcBorders>
          </w:tcPr>
          <w:p w14:paraId="1787DA52"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51CF3E67"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p>
        </w:tc>
        <w:tc>
          <w:tcPr>
            <w:tcW w:w="2083" w:type="dxa"/>
            <w:tcBorders>
              <w:left w:val="single" w:sz="4" w:space="0" w:color="auto"/>
              <w:bottom w:val="single" w:sz="4" w:space="0" w:color="auto"/>
              <w:right w:val="single" w:sz="4" w:space="0" w:color="auto"/>
            </w:tcBorders>
          </w:tcPr>
          <w:p w14:paraId="1699D242"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c>
          <w:tcPr>
            <w:tcW w:w="1800" w:type="dxa"/>
            <w:vMerge/>
            <w:tcBorders>
              <w:left w:val="single" w:sz="4" w:space="0" w:color="auto"/>
              <w:bottom w:val="single" w:sz="4" w:space="0" w:color="auto"/>
              <w:right w:val="single" w:sz="4" w:space="0" w:color="auto"/>
            </w:tcBorders>
          </w:tcPr>
          <w:p w14:paraId="2623E37A"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49DA8D52"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c>
          <w:tcPr>
            <w:tcW w:w="1360" w:type="dxa"/>
            <w:tcBorders>
              <w:left w:val="single" w:sz="4" w:space="0" w:color="auto"/>
            </w:tcBorders>
          </w:tcPr>
          <w:p w14:paraId="606C6000" w14:textId="77777777" w:rsidR="00EF4CB3" w:rsidRPr="00961E0F" w:rsidRDefault="00EF4CB3" w:rsidP="000A7F49">
            <w:pPr>
              <w:pStyle w:val="Table"/>
              <w:keepLines w:val="0"/>
              <w:tabs>
                <w:tab w:val="left" w:pos="567"/>
              </w:tabs>
              <w:spacing w:line="260" w:lineRule="exact"/>
              <w:jc w:val="center"/>
              <w:rPr>
                <w:rFonts w:ascii="Times New Roman" w:hAnsi="Times New Roman"/>
                <w:b/>
                <w:color w:val="000000"/>
                <w:sz w:val="22"/>
                <w:szCs w:val="22"/>
              </w:rPr>
            </w:pPr>
            <w:r w:rsidRPr="00961E0F">
              <w:rPr>
                <w:rFonts w:ascii="Times New Roman" w:hAnsi="Times New Roman"/>
                <w:b/>
                <w:color w:val="000000"/>
                <w:sz w:val="22"/>
                <w:szCs w:val="22"/>
              </w:rPr>
              <w:t>Glivec vs placebo</w:t>
            </w:r>
          </w:p>
        </w:tc>
      </w:tr>
      <w:tr w:rsidR="00EF4CB3" w:rsidRPr="00961E0F" w14:paraId="345518AF" w14:textId="77777777" w:rsidTr="000A7F49">
        <w:trPr>
          <w:cantSplit/>
        </w:trPr>
        <w:tc>
          <w:tcPr>
            <w:tcW w:w="1101" w:type="dxa"/>
            <w:vMerge w:val="restart"/>
            <w:shd w:val="clear" w:color="auto" w:fill="auto"/>
          </w:tcPr>
          <w:p w14:paraId="2ECBC15D" w14:textId="77777777" w:rsidR="00EF4CB3" w:rsidRPr="00961E0F" w:rsidRDefault="00EF4CB3" w:rsidP="000A7F49">
            <w:pPr>
              <w:pStyle w:val="Nottoc-headings0"/>
              <w:keepLines w:val="0"/>
              <w:tabs>
                <w:tab w:val="left" w:pos="567"/>
              </w:tabs>
              <w:spacing w:before="360" w:line="260" w:lineRule="exact"/>
              <w:ind w:left="0" w:firstLine="0"/>
              <w:rPr>
                <w:color w:val="000000"/>
                <w:sz w:val="22"/>
                <w:szCs w:val="22"/>
              </w:rPr>
            </w:pPr>
            <w:r w:rsidRPr="00961E0F">
              <w:rPr>
                <w:rFonts w:ascii="Times New Roman" w:hAnsi="Times New Roman"/>
                <w:b w:val="0"/>
                <w:color w:val="000000"/>
                <w:sz w:val="22"/>
                <w:szCs w:val="22"/>
              </w:rPr>
              <w:t>NIH</w:t>
            </w:r>
          </w:p>
        </w:tc>
        <w:tc>
          <w:tcPr>
            <w:tcW w:w="1417" w:type="dxa"/>
            <w:tcBorders>
              <w:bottom w:val="nil"/>
              <w:right w:val="single" w:sz="4" w:space="0" w:color="auto"/>
            </w:tcBorders>
            <w:vAlign w:val="bottom"/>
          </w:tcPr>
          <w:p w14:paraId="59C5EBDE" w14:textId="77777777" w:rsidR="00EF4CB3" w:rsidRPr="00961E0F" w:rsidRDefault="00EF4CB3" w:rsidP="000A7F49">
            <w:pPr>
              <w:pStyle w:val="Nottoc-headings0"/>
              <w:keepLines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Faible</w:t>
            </w:r>
          </w:p>
        </w:tc>
        <w:tc>
          <w:tcPr>
            <w:tcW w:w="986" w:type="dxa"/>
            <w:tcBorders>
              <w:left w:val="single" w:sz="4" w:space="0" w:color="auto"/>
              <w:bottom w:val="nil"/>
              <w:right w:val="single" w:sz="4" w:space="0" w:color="auto"/>
            </w:tcBorders>
            <w:vAlign w:val="bottom"/>
          </w:tcPr>
          <w:p w14:paraId="18F690BF" w14:textId="77777777" w:rsidR="00EF4CB3" w:rsidRPr="00961E0F" w:rsidRDefault="00EF4CB3" w:rsidP="000A7F49">
            <w:pPr>
              <w:pStyle w:val="Nottoc-headings0"/>
              <w:keepLines w:val="0"/>
              <w:tabs>
                <w:tab w:val="left" w:pos="567"/>
              </w:tabs>
              <w:spacing w:before="40" w:after="20" w:line="260" w:lineRule="exact"/>
              <w:ind w:left="57" w:hanging="57"/>
              <w:jc w:val="center"/>
              <w:rPr>
                <w:rFonts w:ascii="Times New Roman" w:hAnsi="Times New Roman"/>
                <w:b w:val="0"/>
                <w:color w:val="000000"/>
                <w:sz w:val="22"/>
                <w:szCs w:val="22"/>
              </w:rPr>
            </w:pPr>
            <w:r w:rsidRPr="00961E0F">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461BB4D8" w14:textId="77777777" w:rsidR="00EF4CB3" w:rsidRPr="00961E0F" w:rsidRDefault="00EF4CB3" w:rsidP="000A7F49">
            <w:pPr>
              <w:pStyle w:val="Nottoc-headings0"/>
              <w:keepLines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0/86 vs. 2/90</w:t>
            </w:r>
          </w:p>
        </w:tc>
        <w:tc>
          <w:tcPr>
            <w:tcW w:w="1800" w:type="dxa"/>
            <w:tcBorders>
              <w:left w:val="single" w:sz="4" w:space="0" w:color="auto"/>
              <w:bottom w:val="nil"/>
              <w:right w:val="single" w:sz="4" w:space="0" w:color="auto"/>
            </w:tcBorders>
            <w:vAlign w:val="bottom"/>
          </w:tcPr>
          <w:p w14:paraId="2FF5AAEC" w14:textId="77777777" w:rsidR="00EF4CB3" w:rsidRPr="00961E0F" w:rsidRDefault="00EF4CB3" w:rsidP="000A7F49">
            <w:pPr>
              <w:pStyle w:val="Nottoc-headings0"/>
              <w:keepLines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7EAADB26" w14:textId="77777777" w:rsidR="00EF4CB3" w:rsidRPr="00961E0F" w:rsidRDefault="00EF4CB3" w:rsidP="000A7F49">
            <w:pPr>
              <w:pStyle w:val="Nottoc-headings0"/>
              <w:keepLines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100 vs. 98,7</w:t>
            </w:r>
          </w:p>
        </w:tc>
        <w:tc>
          <w:tcPr>
            <w:tcW w:w="1360" w:type="dxa"/>
            <w:tcBorders>
              <w:left w:val="single" w:sz="4" w:space="0" w:color="auto"/>
              <w:bottom w:val="nil"/>
            </w:tcBorders>
            <w:vAlign w:val="bottom"/>
          </w:tcPr>
          <w:p w14:paraId="7BA64294" w14:textId="77777777" w:rsidR="00EF4CB3" w:rsidRPr="00961E0F" w:rsidRDefault="00EF4CB3" w:rsidP="000A7F49">
            <w:pPr>
              <w:pStyle w:val="Nottoc-headings0"/>
              <w:keepLines w:val="0"/>
              <w:tabs>
                <w:tab w:val="left" w:pos="567"/>
              </w:tabs>
              <w:spacing w:before="40" w:after="20" w:line="260" w:lineRule="exact"/>
              <w:ind w:left="57" w:hanging="57"/>
              <w:rPr>
                <w:rFonts w:ascii="Times New Roman" w:hAnsi="Times New Roman"/>
                <w:b w:val="0"/>
                <w:color w:val="000000"/>
                <w:sz w:val="22"/>
                <w:szCs w:val="22"/>
              </w:rPr>
            </w:pPr>
            <w:r w:rsidRPr="00961E0F">
              <w:rPr>
                <w:rFonts w:ascii="Times New Roman" w:hAnsi="Times New Roman"/>
                <w:b w:val="0"/>
                <w:color w:val="000000"/>
                <w:sz w:val="22"/>
                <w:szCs w:val="22"/>
              </w:rPr>
              <w:t>100 vs. 95,5</w:t>
            </w:r>
          </w:p>
        </w:tc>
      </w:tr>
      <w:tr w:rsidR="00EF4CB3" w:rsidRPr="00961E0F" w14:paraId="7F92B58E" w14:textId="77777777" w:rsidTr="000A7F49">
        <w:trPr>
          <w:cantSplit/>
        </w:trPr>
        <w:tc>
          <w:tcPr>
            <w:tcW w:w="1101" w:type="dxa"/>
            <w:vMerge/>
            <w:shd w:val="clear" w:color="auto" w:fill="auto"/>
          </w:tcPr>
          <w:p w14:paraId="3FA0C139" w14:textId="77777777" w:rsidR="00EF4CB3" w:rsidRPr="00961E0F" w:rsidRDefault="00EF4CB3" w:rsidP="000A7F49">
            <w:pPr>
              <w:pStyle w:val="Nottoc-headings0"/>
              <w:keepLines w:val="0"/>
              <w:tabs>
                <w:tab w:val="left" w:pos="567"/>
              </w:tabs>
              <w:spacing w:line="260" w:lineRule="exact"/>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152184C5"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Intermédiaire</w:t>
            </w:r>
          </w:p>
        </w:tc>
        <w:tc>
          <w:tcPr>
            <w:tcW w:w="986" w:type="dxa"/>
            <w:tcBorders>
              <w:top w:val="nil"/>
              <w:left w:val="single" w:sz="4" w:space="0" w:color="auto"/>
              <w:bottom w:val="nil"/>
              <w:right w:val="single" w:sz="4" w:space="0" w:color="auto"/>
            </w:tcBorders>
            <w:vAlign w:val="bottom"/>
          </w:tcPr>
          <w:p w14:paraId="41EF43F8" w14:textId="77777777" w:rsidR="00EF4CB3" w:rsidRPr="00961E0F" w:rsidRDefault="00EF4CB3" w:rsidP="000A7F49">
            <w:pPr>
              <w:pStyle w:val="Table"/>
              <w:keepLines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25,7</w:t>
            </w:r>
          </w:p>
        </w:tc>
        <w:tc>
          <w:tcPr>
            <w:tcW w:w="2083" w:type="dxa"/>
            <w:tcBorders>
              <w:top w:val="nil"/>
              <w:left w:val="single" w:sz="4" w:space="0" w:color="auto"/>
              <w:bottom w:val="nil"/>
              <w:right w:val="single" w:sz="4" w:space="0" w:color="auto"/>
            </w:tcBorders>
            <w:vAlign w:val="bottom"/>
          </w:tcPr>
          <w:p w14:paraId="130F6919"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513F9C0E"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105292DD"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4AD8F097"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97,8 vs. 89,5</w:t>
            </w:r>
          </w:p>
        </w:tc>
      </w:tr>
      <w:tr w:rsidR="00EF4CB3" w:rsidRPr="00961E0F" w14:paraId="16E33736" w14:textId="77777777" w:rsidTr="000A7F49">
        <w:trPr>
          <w:cantSplit/>
        </w:trPr>
        <w:tc>
          <w:tcPr>
            <w:tcW w:w="1101" w:type="dxa"/>
            <w:vMerge/>
            <w:shd w:val="clear" w:color="auto" w:fill="auto"/>
          </w:tcPr>
          <w:p w14:paraId="3A4C0D96"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p>
        </w:tc>
        <w:tc>
          <w:tcPr>
            <w:tcW w:w="1417" w:type="dxa"/>
            <w:tcBorders>
              <w:top w:val="nil"/>
              <w:right w:val="single" w:sz="4" w:space="0" w:color="auto"/>
            </w:tcBorders>
            <w:vAlign w:val="bottom"/>
          </w:tcPr>
          <w:p w14:paraId="12B1F6DB"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Elevé</w:t>
            </w:r>
          </w:p>
        </w:tc>
        <w:tc>
          <w:tcPr>
            <w:tcW w:w="986" w:type="dxa"/>
            <w:tcBorders>
              <w:top w:val="nil"/>
              <w:left w:val="single" w:sz="4" w:space="0" w:color="auto"/>
              <w:right w:val="single" w:sz="4" w:space="0" w:color="auto"/>
            </w:tcBorders>
            <w:vAlign w:val="bottom"/>
          </w:tcPr>
          <w:p w14:paraId="5057EE59" w14:textId="77777777" w:rsidR="00EF4CB3" w:rsidRPr="00961E0F" w:rsidRDefault="00EF4CB3" w:rsidP="000A7F49">
            <w:pPr>
              <w:pStyle w:val="Table"/>
              <w:keepLines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44,8</w:t>
            </w:r>
          </w:p>
        </w:tc>
        <w:tc>
          <w:tcPr>
            <w:tcW w:w="2083" w:type="dxa"/>
            <w:tcBorders>
              <w:top w:val="nil"/>
              <w:left w:val="single" w:sz="4" w:space="0" w:color="auto"/>
              <w:right w:val="single" w:sz="4" w:space="0" w:color="auto"/>
            </w:tcBorders>
            <w:vAlign w:val="bottom"/>
          </w:tcPr>
          <w:p w14:paraId="585FAE69"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69B2E96E"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0FB20166"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94,8 vs. 64,0</w:t>
            </w:r>
          </w:p>
        </w:tc>
        <w:tc>
          <w:tcPr>
            <w:tcW w:w="1360" w:type="dxa"/>
            <w:tcBorders>
              <w:top w:val="nil"/>
              <w:left w:val="single" w:sz="4" w:space="0" w:color="auto"/>
            </w:tcBorders>
            <w:vAlign w:val="bottom"/>
          </w:tcPr>
          <w:p w14:paraId="3AEC50C4"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80,7 vs. 46,6</w:t>
            </w:r>
          </w:p>
        </w:tc>
      </w:tr>
      <w:tr w:rsidR="00EF4CB3" w:rsidRPr="00961E0F" w14:paraId="1427A1BC" w14:textId="77777777" w:rsidTr="000A7F49">
        <w:trPr>
          <w:cantSplit/>
        </w:trPr>
        <w:tc>
          <w:tcPr>
            <w:tcW w:w="1101" w:type="dxa"/>
            <w:vMerge w:val="restart"/>
            <w:shd w:val="clear" w:color="auto" w:fill="auto"/>
          </w:tcPr>
          <w:p w14:paraId="25C9DB73" w14:textId="77777777" w:rsidR="00EF4CB3" w:rsidRPr="00961E0F" w:rsidRDefault="00EF4CB3" w:rsidP="000A7F49">
            <w:pPr>
              <w:pStyle w:val="Table"/>
              <w:keepLines w:val="0"/>
              <w:tabs>
                <w:tab w:val="left" w:pos="567"/>
              </w:tabs>
              <w:spacing w:before="480" w:line="260" w:lineRule="exact"/>
              <w:rPr>
                <w:rFonts w:ascii="Times New Roman" w:hAnsi="Times New Roman"/>
                <w:color w:val="000000"/>
                <w:sz w:val="22"/>
                <w:szCs w:val="22"/>
              </w:rPr>
            </w:pPr>
            <w:r w:rsidRPr="00961E0F">
              <w:rPr>
                <w:rFonts w:ascii="Times New Roman" w:hAnsi="Times New Roman"/>
                <w:color w:val="000000"/>
                <w:sz w:val="22"/>
                <w:szCs w:val="22"/>
              </w:rPr>
              <w:t>AFIP</w:t>
            </w:r>
          </w:p>
        </w:tc>
        <w:tc>
          <w:tcPr>
            <w:tcW w:w="1417" w:type="dxa"/>
            <w:tcBorders>
              <w:bottom w:val="nil"/>
              <w:right w:val="single" w:sz="4" w:space="0" w:color="auto"/>
            </w:tcBorders>
            <w:vAlign w:val="bottom"/>
          </w:tcPr>
          <w:p w14:paraId="4BF49388"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Très faible</w:t>
            </w:r>
          </w:p>
        </w:tc>
        <w:tc>
          <w:tcPr>
            <w:tcW w:w="986" w:type="dxa"/>
            <w:tcBorders>
              <w:left w:val="single" w:sz="4" w:space="0" w:color="auto"/>
              <w:bottom w:val="nil"/>
              <w:right w:val="single" w:sz="4" w:space="0" w:color="auto"/>
            </w:tcBorders>
            <w:vAlign w:val="bottom"/>
          </w:tcPr>
          <w:p w14:paraId="00CCB090" w14:textId="77777777" w:rsidR="00EF4CB3" w:rsidRPr="00961E0F" w:rsidRDefault="00EF4CB3" w:rsidP="000A7F49">
            <w:pPr>
              <w:pStyle w:val="Table"/>
              <w:keepLines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20,7</w:t>
            </w:r>
          </w:p>
        </w:tc>
        <w:tc>
          <w:tcPr>
            <w:tcW w:w="2083" w:type="dxa"/>
            <w:tcBorders>
              <w:left w:val="single" w:sz="4" w:space="0" w:color="auto"/>
              <w:bottom w:val="nil"/>
              <w:right w:val="single" w:sz="4" w:space="0" w:color="auto"/>
            </w:tcBorders>
            <w:vAlign w:val="bottom"/>
          </w:tcPr>
          <w:p w14:paraId="479E23DB"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18D27476"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5CCA8106"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98,1</w:t>
            </w:r>
          </w:p>
        </w:tc>
        <w:tc>
          <w:tcPr>
            <w:tcW w:w="1360" w:type="dxa"/>
            <w:tcBorders>
              <w:left w:val="single" w:sz="4" w:space="0" w:color="auto"/>
              <w:bottom w:val="nil"/>
            </w:tcBorders>
            <w:vAlign w:val="bottom"/>
          </w:tcPr>
          <w:p w14:paraId="5FC498D2"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93,0</w:t>
            </w:r>
          </w:p>
        </w:tc>
      </w:tr>
      <w:tr w:rsidR="00EF4CB3" w:rsidRPr="00961E0F" w14:paraId="763C3D7E" w14:textId="77777777" w:rsidTr="000A7F49">
        <w:trPr>
          <w:cantSplit/>
        </w:trPr>
        <w:tc>
          <w:tcPr>
            <w:tcW w:w="1101" w:type="dxa"/>
            <w:vMerge/>
            <w:shd w:val="clear" w:color="auto" w:fill="auto"/>
          </w:tcPr>
          <w:p w14:paraId="4F745CEC"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p>
        </w:tc>
        <w:tc>
          <w:tcPr>
            <w:tcW w:w="1417" w:type="dxa"/>
            <w:tcBorders>
              <w:top w:val="nil"/>
              <w:bottom w:val="nil"/>
              <w:right w:val="single" w:sz="4" w:space="0" w:color="auto"/>
            </w:tcBorders>
            <w:vAlign w:val="bottom"/>
          </w:tcPr>
          <w:p w14:paraId="3E1DA958"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Faible</w:t>
            </w:r>
          </w:p>
        </w:tc>
        <w:tc>
          <w:tcPr>
            <w:tcW w:w="986" w:type="dxa"/>
            <w:tcBorders>
              <w:top w:val="nil"/>
              <w:left w:val="single" w:sz="4" w:space="0" w:color="auto"/>
              <w:bottom w:val="nil"/>
              <w:right w:val="single" w:sz="4" w:space="0" w:color="auto"/>
            </w:tcBorders>
            <w:vAlign w:val="bottom"/>
          </w:tcPr>
          <w:p w14:paraId="12F6661F" w14:textId="77777777" w:rsidR="00EF4CB3" w:rsidRPr="00961E0F" w:rsidRDefault="00EF4CB3" w:rsidP="000A7F49">
            <w:pPr>
              <w:pStyle w:val="Table"/>
              <w:keepLines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25,0</w:t>
            </w:r>
          </w:p>
        </w:tc>
        <w:tc>
          <w:tcPr>
            <w:tcW w:w="2083" w:type="dxa"/>
            <w:tcBorders>
              <w:top w:val="nil"/>
              <w:left w:val="single" w:sz="4" w:space="0" w:color="auto"/>
              <w:bottom w:val="nil"/>
              <w:right w:val="single" w:sz="4" w:space="0" w:color="auto"/>
            </w:tcBorders>
            <w:vAlign w:val="bottom"/>
          </w:tcPr>
          <w:p w14:paraId="11B85BE0"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68A96515"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4597C61F"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6A9877E3"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97,8 vs. 100</w:t>
            </w:r>
          </w:p>
        </w:tc>
      </w:tr>
      <w:tr w:rsidR="00EF4CB3" w:rsidRPr="00961E0F" w14:paraId="73439AE1" w14:textId="77777777" w:rsidTr="000A7F49">
        <w:trPr>
          <w:cantSplit/>
        </w:trPr>
        <w:tc>
          <w:tcPr>
            <w:tcW w:w="1101" w:type="dxa"/>
            <w:vMerge/>
            <w:shd w:val="clear" w:color="auto" w:fill="auto"/>
          </w:tcPr>
          <w:p w14:paraId="000FF88C" w14:textId="77777777" w:rsidR="00EF4CB3" w:rsidRPr="00961E0F" w:rsidRDefault="00EF4CB3" w:rsidP="000A7F49">
            <w:pPr>
              <w:pStyle w:val="Table"/>
              <w:keepLines w:val="0"/>
              <w:tabs>
                <w:tab w:val="left" w:pos="567"/>
              </w:tabs>
              <w:spacing w:line="260" w:lineRule="exact"/>
              <w:rPr>
                <w:rFonts w:ascii="Times New Roman" w:hAnsi="Times New Roman"/>
                <w:b/>
                <w:color w:val="000000"/>
                <w:sz w:val="22"/>
                <w:szCs w:val="22"/>
              </w:rPr>
            </w:pPr>
          </w:p>
        </w:tc>
        <w:tc>
          <w:tcPr>
            <w:tcW w:w="1417" w:type="dxa"/>
            <w:tcBorders>
              <w:top w:val="nil"/>
              <w:bottom w:val="nil"/>
              <w:right w:val="single" w:sz="4" w:space="0" w:color="auto"/>
            </w:tcBorders>
            <w:vAlign w:val="bottom"/>
          </w:tcPr>
          <w:p w14:paraId="7FBECA61"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Modéré</w:t>
            </w:r>
          </w:p>
        </w:tc>
        <w:tc>
          <w:tcPr>
            <w:tcW w:w="986" w:type="dxa"/>
            <w:tcBorders>
              <w:top w:val="nil"/>
              <w:left w:val="single" w:sz="4" w:space="0" w:color="auto"/>
              <w:bottom w:val="nil"/>
              <w:right w:val="single" w:sz="4" w:space="0" w:color="auto"/>
            </w:tcBorders>
            <w:vAlign w:val="bottom"/>
          </w:tcPr>
          <w:p w14:paraId="5566DBEE" w14:textId="77777777" w:rsidR="00EF4CB3" w:rsidRPr="00961E0F" w:rsidRDefault="00EF4CB3" w:rsidP="000A7F49">
            <w:pPr>
              <w:pStyle w:val="Table"/>
              <w:keepLines w:val="0"/>
              <w:tabs>
                <w:tab w:val="left" w:pos="567"/>
              </w:tabs>
              <w:spacing w:line="260" w:lineRule="exact"/>
              <w:jc w:val="center"/>
              <w:rPr>
                <w:rFonts w:ascii="Times New Roman" w:hAnsi="Times New Roman"/>
                <w:color w:val="000000"/>
                <w:sz w:val="22"/>
                <w:szCs w:val="22"/>
              </w:rPr>
            </w:pPr>
            <w:r w:rsidRPr="00961E0F">
              <w:rPr>
                <w:rFonts w:ascii="Times New Roman" w:hAnsi="Times New Roman"/>
                <w:color w:val="000000"/>
                <w:sz w:val="22"/>
                <w:szCs w:val="22"/>
              </w:rPr>
              <w:t>24,6</w:t>
            </w:r>
          </w:p>
        </w:tc>
        <w:tc>
          <w:tcPr>
            <w:tcW w:w="2083" w:type="dxa"/>
            <w:tcBorders>
              <w:top w:val="nil"/>
              <w:left w:val="single" w:sz="4" w:space="0" w:color="auto"/>
              <w:bottom w:val="nil"/>
              <w:right w:val="single" w:sz="4" w:space="0" w:color="auto"/>
            </w:tcBorders>
            <w:vAlign w:val="bottom"/>
          </w:tcPr>
          <w:p w14:paraId="66102847"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14E61E70"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5B2A5EB7"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03807CE2"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97,9 vs. 73,3</w:t>
            </w:r>
          </w:p>
        </w:tc>
      </w:tr>
      <w:tr w:rsidR="00EF4CB3" w:rsidRPr="00961E0F" w14:paraId="3612EE17" w14:textId="77777777" w:rsidTr="000A7F49">
        <w:trPr>
          <w:cantSplit/>
        </w:trPr>
        <w:tc>
          <w:tcPr>
            <w:tcW w:w="1101" w:type="dxa"/>
            <w:vMerge/>
            <w:tcBorders>
              <w:bottom w:val="single" w:sz="4" w:space="0" w:color="auto"/>
            </w:tcBorders>
            <w:shd w:val="clear" w:color="auto" w:fill="auto"/>
          </w:tcPr>
          <w:p w14:paraId="03998D19"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p>
        </w:tc>
        <w:tc>
          <w:tcPr>
            <w:tcW w:w="1417" w:type="dxa"/>
            <w:tcBorders>
              <w:top w:val="nil"/>
              <w:bottom w:val="single" w:sz="4" w:space="0" w:color="auto"/>
              <w:right w:val="single" w:sz="4" w:space="0" w:color="auto"/>
            </w:tcBorders>
            <w:vAlign w:val="bottom"/>
          </w:tcPr>
          <w:p w14:paraId="34C6A62A"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Elevé</w:t>
            </w:r>
          </w:p>
        </w:tc>
        <w:tc>
          <w:tcPr>
            <w:tcW w:w="986" w:type="dxa"/>
            <w:tcBorders>
              <w:top w:val="nil"/>
              <w:left w:val="single" w:sz="4" w:space="0" w:color="auto"/>
              <w:bottom w:val="single" w:sz="4" w:space="0" w:color="auto"/>
              <w:right w:val="single" w:sz="4" w:space="0" w:color="auto"/>
            </w:tcBorders>
            <w:vAlign w:val="bottom"/>
          </w:tcPr>
          <w:p w14:paraId="43E167EF" w14:textId="77777777" w:rsidR="00EF4CB3" w:rsidRPr="00961E0F" w:rsidRDefault="00EF4CB3" w:rsidP="000A7F49">
            <w:pPr>
              <w:pStyle w:val="Table"/>
              <w:keepLines w:val="0"/>
              <w:tabs>
                <w:tab w:val="left" w:pos="567"/>
              </w:tabs>
              <w:spacing w:line="260" w:lineRule="exact"/>
              <w:ind w:right="-3"/>
              <w:jc w:val="center"/>
              <w:rPr>
                <w:rFonts w:ascii="Times New Roman" w:hAnsi="Times New Roman"/>
                <w:color w:val="000000"/>
                <w:sz w:val="22"/>
                <w:szCs w:val="22"/>
              </w:rPr>
            </w:pPr>
            <w:r w:rsidRPr="00961E0F">
              <w:rPr>
                <w:rFonts w:ascii="Times New Roman" w:hAnsi="Times New Roman"/>
                <w:color w:val="000000"/>
                <w:sz w:val="22"/>
                <w:szCs w:val="22"/>
              </w:rPr>
              <w:t>29,7</w:t>
            </w:r>
          </w:p>
        </w:tc>
        <w:tc>
          <w:tcPr>
            <w:tcW w:w="2083" w:type="dxa"/>
            <w:tcBorders>
              <w:top w:val="nil"/>
              <w:left w:val="single" w:sz="4" w:space="0" w:color="auto"/>
              <w:bottom w:val="single" w:sz="4" w:space="0" w:color="auto"/>
              <w:right w:val="single" w:sz="4" w:space="0" w:color="auto"/>
            </w:tcBorders>
            <w:vAlign w:val="bottom"/>
          </w:tcPr>
          <w:p w14:paraId="395D0B06"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417CBECB"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69B054E0"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2CB4FB21" w14:textId="77777777" w:rsidR="00EF4CB3" w:rsidRPr="00961E0F" w:rsidRDefault="00EF4CB3" w:rsidP="000A7F49">
            <w:pPr>
              <w:pStyle w:val="Table"/>
              <w:keepLines w:val="0"/>
              <w:tabs>
                <w:tab w:val="left" w:pos="567"/>
              </w:tabs>
              <w:spacing w:line="260" w:lineRule="exact"/>
              <w:rPr>
                <w:rFonts w:ascii="Times New Roman" w:hAnsi="Times New Roman"/>
                <w:color w:val="000000"/>
                <w:sz w:val="22"/>
                <w:szCs w:val="22"/>
              </w:rPr>
            </w:pPr>
            <w:r w:rsidRPr="00961E0F">
              <w:rPr>
                <w:rFonts w:ascii="Times New Roman" w:hAnsi="Times New Roman"/>
                <w:color w:val="000000"/>
                <w:sz w:val="22"/>
                <w:szCs w:val="22"/>
              </w:rPr>
              <w:t>79,9 vs. 41,5</w:t>
            </w:r>
          </w:p>
        </w:tc>
      </w:tr>
    </w:tbl>
    <w:p w14:paraId="0F44BEAD" w14:textId="77777777" w:rsidR="00EF4CB3" w:rsidRPr="00961E0F" w:rsidRDefault="00EF4CB3" w:rsidP="00EF4CB3">
      <w:pPr>
        <w:pStyle w:val="Text"/>
        <w:spacing w:before="0"/>
        <w:rPr>
          <w:color w:val="000000"/>
          <w:sz w:val="22"/>
          <w:szCs w:val="22"/>
          <w:lang w:val="fr-FR"/>
        </w:rPr>
      </w:pPr>
      <w:r w:rsidRPr="00961E0F">
        <w:rPr>
          <w:color w:val="000000"/>
          <w:sz w:val="22"/>
          <w:szCs w:val="22"/>
          <w:lang w:val="fr-FR"/>
        </w:rPr>
        <w:t>* Période complete de suivi; NE – Non estimable</w:t>
      </w:r>
    </w:p>
    <w:p w14:paraId="5B53AFEA" w14:textId="77777777" w:rsidR="00EF4CB3" w:rsidRPr="00961E0F" w:rsidRDefault="00EF4CB3" w:rsidP="00EF4CB3">
      <w:pPr>
        <w:pStyle w:val="EndnoteText"/>
        <w:widowControl w:val="0"/>
        <w:tabs>
          <w:tab w:val="clear" w:pos="567"/>
        </w:tabs>
        <w:rPr>
          <w:color w:val="000000"/>
          <w:szCs w:val="22"/>
          <w:lang w:val="fr-FR"/>
        </w:rPr>
      </w:pPr>
    </w:p>
    <w:p w14:paraId="34907F46" w14:textId="77777777" w:rsidR="00EF4CB3" w:rsidRPr="00961E0F" w:rsidRDefault="00EF4CB3" w:rsidP="00EF4CB3">
      <w:pPr>
        <w:rPr>
          <w:rFonts w:ascii="Times New Roman" w:eastAsia="MS Mincho" w:hAnsi="Times New Roman"/>
          <w:iCs/>
          <w:szCs w:val="22"/>
          <w:lang w:eastAsia="ja-JP"/>
        </w:rPr>
      </w:pPr>
      <w:r w:rsidRPr="00961E0F">
        <w:rPr>
          <w:rFonts w:ascii="Times New Roman" w:eastAsia="MS Mincho" w:hAnsi="Times New Roman"/>
          <w:szCs w:val="22"/>
          <w:lang w:eastAsia="ja-JP"/>
        </w:rPr>
        <w:t>Une seconde étude de phase III multicentrique, en ouvert (SSG XVIII/AIO), a comparé un traitement par Glivec 400 mg/jour pendant 12 mois à un traitement pendant 36 mois chez des patients après résection chirurgicale d'une tumeur stromale gastro-intestinale (GIST) présentant l'une des caractéristiques suivantes : diamètre de la tumeur</w:t>
      </w:r>
      <w:r w:rsidRPr="00961E0F">
        <w:rPr>
          <w:rFonts w:ascii="Times New Roman" w:eastAsia="MS Mincho" w:hAnsi="Times New Roman"/>
          <w:iCs/>
          <w:szCs w:val="22"/>
          <w:lang w:eastAsia="ja-JP"/>
        </w:rPr>
        <w:t xml:space="preserve"> &gt; 5</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cm et index mitotique &gt; 5/50 HPF (high power fields) ; ou diamètre de la tumeur &gt; 10</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cm quelque soit l’index mitotique ou tumeur de toute taille avec un index mitotique &gt; 10/50 HPF ou tumeur rompue dans la cavité péritonéale. Au total, 397</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ont donné leur consentement pour participer à l'étude et ont été randomisés (199</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dans le groupe de 12 mois de traitement et 198</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patients dans le groupe de 36</w:t>
      </w:r>
      <w:r w:rsidRPr="00961E0F">
        <w:rPr>
          <w:rFonts w:ascii="Times New Roman" w:eastAsia="MS Mincho" w:hAnsi="Times New Roman"/>
          <w:szCs w:val="22"/>
          <w:lang w:eastAsia="ja-JP"/>
        </w:rPr>
        <w:t> mois de traitement</w:t>
      </w:r>
      <w:r w:rsidRPr="00961E0F">
        <w:rPr>
          <w:rFonts w:ascii="Times New Roman" w:eastAsia="MS Mincho" w:hAnsi="Times New Roman"/>
          <w:iCs/>
          <w:szCs w:val="22"/>
          <w:lang w:eastAsia="ja-JP"/>
        </w:rPr>
        <w:t xml:space="preserve">), leur âge médian était de </w:t>
      </w:r>
      <w:r w:rsidRPr="00961E0F">
        <w:rPr>
          <w:rFonts w:ascii="Times New Roman" w:eastAsia="MS Mincho" w:hAnsi="Times New Roman"/>
          <w:bCs/>
          <w:iCs/>
          <w:szCs w:val="22"/>
          <w:lang w:eastAsia="ja-JP"/>
        </w:rPr>
        <w:t>61</w:t>
      </w:r>
      <w:r w:rsidRPr="00961E0F">
        <w:rPr>
          <w:rFonts w:ascii="Times New Roman" w:eastAsia="MS Mincho" w:hAnsi="Times New Roman"/>
          <w:szCs w:val="22"/>
          <w:lang w:eastAsia="ja-JP"/>
        </w:rPr>
        <w:t> </w:t>
      </w:r>
      <w:r w:rsidRPr="00961E0F">
        <w:rPr>
          <w:rFonts w:ascii="Times New Roman" w:eastAsia="MS Mincho" w:hAnsi="Times New Roman"/>
          <w:bCs/>
          <w:iCs/>
          <w:szCs w:val="22"/>
          <w:lang w:eastAsia="ja-JP"/>
        </w:rPr>
        <w:t xml:space="preserve">ans </w:t>
      </w:r>
      <w:r w:rsidRPr="00961E0F">
        <w:rPr>
          <w:rFonts w:ascii="Times New Roman" w:eastAsia="MS Mincho" w:hAnsi="Times New Roman"/>
          <w:iCs/>
          <w:szCs w:val="22"/>
          <w:lang w:eastAsia="ja-JP"/>
        </w:rPr>
        <w:t>(extrêmes : 22 et 84</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ans). La durée médiane du suivi a été de 54</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mois (depuis la date de la randomisation jusqu'à la date limite de recueil des données), avec un total de 83</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mois entre le premier patient randomisé et la date limite de recueil des données.</w:t>
      </w:r>
    </w:p>
    <w:p w14:paraId="266F5D0C" w14:textId="77777777" w:rsidR="00EF4CB3" w:rsidRPr="00961E0F" w:rsidRDefault="00EF4CB3" w:rsidP="00EF4CB3">
      <w:pPr>
        <w:rPr>
          <w:rFonts w:ascii="Times New Roman" w:eastAsia="MS Mincho" w:hAnsi="Times New Roman"/>
          <w:iCs/>
          <w:szCs w:val="22"/>
          <w:lang w:eastAsia="ja-JP"/>
        </w:rPr>
      </w:pPr>
    </w:p>
    <w:p w14:paraId="19516D2E" w14:textId="77777777" w:rsidR="00EF4CB3" w:rsidRPr="00961E0F" w:rsidRDefault="00EF4CB3" w:rsidP="00EF4CB3">
      <w:pPr>
        <w:rPr>
          <w:rFonts w:ascii="Times New Roman" w:eastAsia="MS Mincho" w:hAnsi="Times New Roman"/>
          <w:szCs w:val="22"/>
          <w:lang w:eastAsia="ja-JP"/>
        </w:rPr>
      </w:pPr>
      <w:r w:rsidRPr="00961E0F">
        <w:rPr>
          <w:rFonts w:ascii="Times New Roman" w:eastAsia="MS Mincho" w:hAnsi="Times New Roman"/>
          <w:szCs w:val="22"/>
          <w:lang w:eastAsia="ja-JP"/>
        </w:rPr>
        <w:t>Le critère primaire de l’étude était la survie sans rechute, définie comme le délai entre la date de randomisation jusqu’à la date d’une rechute ou d’un décés quelle que soit la cause.</w:t>
      </w:r>
    </w:p>
    <w:p w14:paraId="63D62CB0" w14:textId="77777777" w:rsidR="00EF4CB3" w:rsidRPr="00961E0F" w:rsidRDefault="00EF4CB3" w:rsidP="00EF4CB3">
      <w:pPr>
        <w:rPr>
          <w:rFonts w:ascii="Times New Roman" w:eastAsia="MS Mincho" w:hAnsi="Times New Roman"/>
          <w:szCs w:val="22"/>
          <w:lang w:eastAsia="ja-JP"/>
        </w:rPr>
      </w:pPr>
    </w:p>
    <w:p w14:paraId="2A7D57DF" w14:textId="77777777" w:rsidR="00EF4CB3" w:rsidRPr="00961E0F" w:rsidRDefault="00EF4CB3" w:rsidP="00EF4CB3">
      <w:pPr>
        <w:rPr>
          <w:rFonts w:ascii="Times New Roman" w:eastAsia="MS Mincho" w:hAnsi="Times New Roman"/>
          <w:iCs/>
          <w:color w:val="000000"/>
          <w:szCs w:val="22"/>
          <w:lang w:eastAsia="ja-JP"/>
        </w:rPr>
      </w:pPr>
      <w:r w:rsidRPr="00961E0F">
        <w:rPr>
          <w:rFonts w:ascii="Times New Roman" w:eastAsia="MS Mincho" w:hAnsi="Times New Roman"/>
          <w:iCs/>
          <w:szCs w:val="22"/>
          <w:lang w:eastAsia="ja-JP"/>
        </w:rPr>
        <w:t>Un traitement par Glivec sur une durée de 36 mois a prolongé significativement la survie sans rechute comparativement à un traitement de 12</w:t>
      </w:r>
      <w:r w:rsidRPr="00961E0F">
        <w:rPr>
          <w:rFonts w:ascii="Times New Roman" w:eastAsia="MS Mincho" w:hAnsi="Times New Roman"/>
          <w:szCs w:val="22"/>
          <w:lang w:eastAsia="ja-JP"/>
        </w:rPr>
        <w:t> </w:t>
      </w:r>
      <w:r w:rsidRPr="00961E0F">
        <w:rPr>
          <w:rFonts w:ascii="Times New Roman" w:eastAsia="MS Mincho" w:hAnsi="Times New Roman"/>
          <w:iCs/>
          <w:szCs w:val="22"/>
          <w:lang w:eastAsia="ja-JP"/>
        </w:rPr>
        <w:t xml:space="preserve">mois </w:t>
      </w:r>
      <w:r w:rsidRPr="00961E0F">
        <w:rPr>
          <w:rFonts w:ascii="Times New Roman" w:eastAsia="MS Mincho" w:hAnsi="Times New Roman"/>
          <w:iCs/>
          <w:color w:val="000000"/>
          <w:szCs w:val="22"/>
          <w:lang w:eastAsia="ja-JP"/>
        </w:rPr>
        <w:t xml:space="preserve">(avec un hazard ratio (HR) global = 0,46 [0,32, 0,65], </w:t>
      </w:r>
      <w:r w:rsidRPr="00961E0F">
        <w:rPr>
          <w:rFonts w:ascii="Times New Roman" w:eastAsia="MS Mincho" w:hAnsi="Times New Roman"/>
          <w:color w:val="000000"/>
          <w:szCs w:val="22"/>
          <w:lang w:eastAsia="ja-JP"/>
        </w:rPr>
        <w:t>p</w:t>
      </w:r>
      <w:r w:rsidRPr="00961E0F">
        <w:rPr>
          <w:rFonts w:ascii="Times New Roman" w:eastAsia="MS Mincho" w:hAnsi="Times New Roman"/>
          <w:iCs/>
          <w:color w:val="000000"/>
          <w:szCs w:val="22"/>
          <w:lang w:eastAsia="ja-JP"/>
        </w:rPr>
        <w:t>&lt;0,0001) (Tableau</w:t>
      </w:r>
      <w:r w:rsidRPr="00961E0F">
        <w:rPr>
          <w:rFonts w:ascii="Times New Roman" w:eastAsia="MS Mincho" w:hAnsi="Times New Roman"/>
          <w:color w:val="000000"/>
          <w:szCs w:val="22"/>
          <w:lang w:eastAsia="ja-JP"/>
        </w:rPr>
        <w:t> </w:t>
      </w:r>
      <w:r w:rsidR="00A239AE" w:rsidRPr="00961E0F">
        <w:rPr>
          <w:rFonts w:ascii="Times New Roman" w:eastAsia="MS Mincho" w:hAnsi="Times New Roman"/>
          <w:iCs/>
          <w:color w:val="000000"/>
          <w:szCs w:val="22"/>
          <w:lang w:eastAsia="ja-JP"/>
        </w:rPr>
        <w:t>8</w:t>
      </w:r>
      <w:r w:rsidRPr="00961E0F">
        <w:rPr>
          <w:rFonts w:ascii="Times New Roman" w:eastAsia="MS Mincho" w:hAnsi="Times New Roman"/>
          <w:iCs/>
          <w:color w:val="000000"/>
          <w:szCs w:val="22"/>
          <w:lang w:eastAsia="ja-JP"/>
        </w:rPr>
        <w:t xml:space="preserve">, </w:t>
      </w:r>
      <w:r w:rsidRPr="00961E0F">
        <w:rPr>
          <w:rFonts w:ascii="Times New Roman" w:eastAsia="MS Mincho" w:hAnsi="Times New Roman"/>
          <w:szCs w:val="22"/>
        </w:rPr>
        <w:t>figure 1</w:t>
      </w:r>
      <w:r w:rsidRPr="00961E0F">
        <w:rPr>
          <w:rFonts w:ascii="Times New Roman" w:eastAsia="MS Mincho" w:hAnsi="Times New Roman"/>
          <w:iCs/>
          <w:color w:val="000000"/>
          <w:szCs w:val="22"/>
          <w:lang w:eastAsia="ja-JP"/>
        </w:rPr>
        <w:t>).</w:t>
      </w:r>
    </w:p>
    <w:p w14:paraId="25A0CA20" w14:textId="77777777" w:rsidR="00EF4CB3" w:rsidRPr="00961E0F" w:rsidRDefault="00EF4CB3" w:rsidP="00EF4CB3">
      <w:pPr>
        <w:rPr>
          <w:rFonts w:ascii="Times New Roman" w:eastAsia="MS Mincho" w:hAnsi="Times New Roman"/>
          <w:iCs/>
          <w:color w:val="000000"/>
          <w:szCs w:val="22"/>
          <w:lang w:eastAsia="ja-JP"/>
        </w:rPr>
      </w:pPr>
    </w:p>
    <w:p w14:paraId="2476E560" w14:textId="77777777" w:rsidR="00EF4CB3" w:rsidRPr="00961E0F" w:rsidRDefault="00EF4CB3" w:rsidP="00EF4CB3">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t xml:space="preserve">De plus, le traitement par Glivec pendant 36 mois a prolongé significativement la survie globale comparativement à un traitement de 12 mois (HR = 0,45 [0,22, 0,89], </w:t>
      </w:r>
      <w:r w:rsidRPr="00961E0F">
        <w:rPr>
          <w:rFonts w:ascii="Times New Roman" w:eastAsia="MS Mincho" w:hAnsi="Times New Roman"/>
          <w:color w:val="000000"/>
          <w:szCs w:val="22"/>
          <w:lang w:eastAsia="ja-JP"/>
        </w:rPr>
        <w:t>p</w:t>
      </w:r>
      <w:r w:rsidRPr="00961E0F">
        <w:rPr>
          <w:rFonts w:ascii="Times New Roman" w:eastAsia="MS Mincho" w:hAnsi="Times New Roman"/>
          <w:i/>
          <w:color w:val="000000"/>
          <w:szCs w:val="22"/>
          <w:lang w:eastAsia="ja-JP"/>
        </w:rPr>
        <w:t xml:space="preserve"> </w:t>
      </w:r>
      <w:r w:rsidRPr="00961E0F">
        <w:rPr>
          <w:rFonts w:ascii="Times New Roman" w:eastAsia="MS Mincho" w:hAnsi="Times New Roman"/>
          <w:iCs/>
          <w:color w:val="000000"/>
          <w:szCs w:val="22"/>
          <w:lang w:eastAsia="ja-JP"/>
        </w:rPr>
        <w:t>= 0,0187) (Tableau</w:t>
      </w:r>
      <w:r w:rsidRPr="00961E0F">
        <w:rPr>
          <w:rFonts w:ascii="Times New Roman" w:eastAsia="MS Mincho" w:hAnsi="Times New Roman"/>
          <w:color w:val="000000"/>
          <w:szCs w:val="22"/>
          <w:lang w:eastAsia="ja-JP"/>
        </w:rPr>
        <w:t> </w:t>
      </w:r>
      <w:r w:rsidR="00A239AE" w:rsidRPr="00961E0F">
        <w:rPr>
          <w:rFonts w:ascii="Times New Roman" w:eastAsia="MS Mincho" w:hAnsi="Times New Roman"/>
          <w:iCs/>
          <w:color w:val="000000"/>
          <w:szCs w:val="22"/>
          <w:lang w:eastAsia="ja-JP"/>
        </w:rPr>
        <w:t>8</w:t>
      </w:r>
      <w:r w:rsidRPr="00961E0F">
        <w:rPr>
          <w:rFonts w:ascii="Times New Roman" w:eastAsia="MS Mincho" w:hAnsi="Times New Roman"/>
          <w:iCs/>
          <w:color w:val="000000"/>
          <w:szCs w:val="22"/>
          <w:lang w:eastAsia="ja-JP"/>
        </w:rPr>
        <w:t>, figure 2).</w:t>
      </w:r>
    </w:p>
    <w:p w14:paraId="004A4CC0" w14:textId="77777777" w:rsidR="00EF4CB3" w:rsidRPr="00961E0F" w:rsidRDefault="00EF4CB3" w:rsidP="00EF4CB3">
      <w:pPr>
        <w:rPr>
          <w:rFonts w:ascii="Times New Roman" w:eastAsia="MS Mincho" w:hAnsi="Times New Roman"/>
          <w:iCs/>
          <w:color w:val="000000"/>
          <w:szCs w:val="22"/>
          <w:lang w:eastAsia="ja-JP"/>
        </w:rPr>
      </w:pPr>
    </w:p>
    <w:p w14:paraId="3D6F100E" w14:textId="77777777" w:rsidR="00EF4CB3" w:rsidRPr="00961E0F" w:rsidRDefault="00EF4CB3" w:rsidP="00EF4CB3">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t>Un traitement de plus longue durée (&gt; 36 mois) pourrait retarder la survenue de rechutes ultérieures ; cependant, l’impact de ces données sur la survie globale reste inconnu.</w:t>
      </w:r>
    </w:p>
    <w:p w14:paraId="68C7CCAA" w14:textId="77777777" w:rsidR="00EF4CB3" w:rsidRPr="00961E0F" w:rsidRDefault="00EF4CB3" w:rsidP="00EF4CB3">
      <w:pPr>
        <w:rPr>
          <w:rFonts w:ascii="Times New Roman" w:eastAsia="MS Mincho" w:hAnsi="Times New Roman"/>
          <w:iCs/>
          <w:color w:val="000000"/>
          <w:szCs w:val="22"/>
          <w:lang w:eastAsia="ja-JP"/>
        </w:rPr>
      </w:pPr>
    </w:p>
    <w:p w14:paraId="54038D58" w14:textId="77777777" w:rsidR="00EF4CB3" w:rsidRPr="00961E0F" w:rsidRDefault="00EF4CB3" w:rsidP="00EF4CB3">
      <w:pPr>
        <w:rPr>
          <w:rFonts w:ascii="Times New Roman" w:eastAsia="MS Mincho" w:hAnsi="Times New Roman"/>
          <w:iCs/>
          <w:color w:val="000000"/>
          <w:szCs w:val="22"/>
          <w:lang w:eastAsia="ja-JP"/>
        </w:rPr>
      </w:pPr>
      <w:r w:rsidRPr="00961E0F">
        <w:rPr>
          <w:rFonts w:ascii="Times New Roman" w:eastAsia="MS Mincho" w:hAnsi="Times New Roman"/>
          <w:iCs/>
          <w:color w:val="000000"/>
          <w:szCs w:val="22"/>
          <w:lang w:eastAsia="ja-JP"/>
        </w:rPr>
        <w:lastRenderedPageBreak/>
        <w:t>Le nombre total de décès a été de 25 dans le groupe de traitement de 12 mois et de 12 dans le groupe de traitement de 36 mois.</w:t>
      </w:r>
    </w:p>
    <w:p w14:paraId="27523EEA" w14:textId="77777777" w:rsidR="00EF4CB3" w:rsidRPr="00961E0F" w:rsidRDefault="00EF4CB3" w:rsidP="00EF4CB3">
      <w:pPr>
        <w:rPr>
          <w:rFonts w:ascii="Times New Roman" w:eastAsia="MS Mincho" w:hAnsi="Times New Roman"/>
          <w:iCs/>
          <w:color w:val="000000"/>
          <w:lang w:eastAsia="ja-JP"/>
        </w:rPr>
      </w:pPr>
    </w:p>
    <w:p w14:paraId="19445799" w14:textId="77777777" w:rsidR="00EF4CB3" w:rsidRPr="00961E0F" w:rsidRDefault="00EF4CB3" w:rsidP="00EF4CB3">
      <w:pPr>
        <w:rPr>
          <w:rFonts w:ascii="Times New Roman" w:eastAsia="MS Mincho" w:hAnsi="Times New Roman"/>
          <w:iCs/>
          <w:color w:val="000000"/>
          <w:lang w:eastAsia="ja-JP"/>
        </w:rPr>
      </w:pPr>
      <w:r w:rsidRPr="00961E0F">
        <w:rPr>
          <w:rFonts w:ascii="Times New Roman" w:eastAsia="MS Mincho" w:hAnsi="Times New Roman"/>
          <w:iCs/>
          <w:color w:val="000000"/>
          <w:lang w:eastAsia="ja-JP"/>
        </w:rPr>
        <w:t>Un traitement par imatinib pendant 36 mois était supérieur à un traitement pendant 12 mois, selon l’analyse en ITT, c’est-à-dire en incluant la population entière de l’étude. Dans l’analyse planifiée par sous-groupes par type de mutation, chez les patients ayant des mutations de l’exon 11, le hazard ratio de la survie sans rechute était de 0,35 [95% IC :0,22, 0,56] en faveur d’un traitement pendant 36 mois. On ne peut pas tirer de conclusion pour les autres sous-groupes ayant des mutations moins fréquentes en raison du faible nombre d’évènements observés.</w:t>
      </w:r>
    </w:p>
    <w:p w14:paraId="6DE15216" w14:textId="77777777" w:rsidR="00EF4CB3" w:rsidRPr="00961E0F" w:rsidRDefault="00EF4CB3" w:rsidP="00EF4CB3">
      <w:pPr>
        <w:rPr>
          <w:rFonts w:ascii="Times New Roman" w:eastAsia="MS Mincho" w:hAnsi="Times New Roman"/>
          <w:iCs/>
          <w:szCs w:val="22"/>
          <w:lang w:eastAsia="ja-JP"/>
        </w:rPr>
      </w:pPr>
    </w:p>
    <w:p w14:paraId="7816F719" w14:textId="77777777" w:rsidR="00EF4CB3" w:rsidRPr="00961E0F" w:rsidRDefault="00EF4CB3" w:rsidP="000A7F49">
      <w:pPr>
        <w:keepNext/>
        <w:ind w:left="1134" w:hanging="1134"/>
        <w:rPr>
          <w:rFonts w:ascii="Times New Roman" w:eastAsia="MS Mincho" w:hAnsi="Times New Roman"/>
          <w:b/>
          <w:szCs w:val="22"/>
          <w:lang w:eastAsia="ja-JP"/>
        </w:rPr>
      </w:pPr>
      <w:r w:rsidRPr="00961E0F">
        <w:rPr>
          <w:rFonts w:ascii="Times New Roman" w:eastAsia="MS Mincho" w:hAnsi="Times New Roman"/>
          <w:b/>
          <w:szCs w:val="22"/>
        </w:rPr>
        <w:t>Tableau </w:t>
      </w:r>
      <w:r w:rsidR="00F542F3" w:rsidRPr="00961E0F">
        <w:rPr>
          <w:rFonts w:ascii="Times New Roman" w:eastAsia="MS Mincho" w:hAnsi="Times New Roman"/>
          <w:b/>
          <w:szCs w:val="22"/>
        </w:rPr>
        <w:t>8</w:t>
      </w:r>
      <w:r w:rsidRPr="00961E0F">
        <w:rPr>
          <w:rFonts w:ascii="Times New Roman" w:eastAsia="MS Mincho" w:hAnsi="Times New Roman"/>
          <w:szCs w:val="22"/>
        </w:rPr>
        <w:tab/>
      </w:r>
      <w:r w:rsidRPr="00961E0F">
        <w:rPr>
          <w:rFonts w:ascii="Times New Roman" w:eastAsia="MS Mincho" w:hAnsi="Times New Roman"/>
          <w:b/>
          <w:szCs w:val="22"/>
          <w:lang w:eastAsia="ja-JP"/>
        </w:rPr>
        <w:t>Traitement de 12 mois et de 36 mois par Glivec (essai SSGXVIII/AIO)</w:t>
      </w:r>
    </w:p>
    <w:p w14:paraId="24126382" w14:textId="77777777" w:rsidR="00EF4CB3" w:rsidRPr="00961E0F" w:rsidRDefault="00EF4CB3" w:rsidP="000A7F49">
      <w:pPr>
        <w:keepNext/>
        <w:rPr>
          <w:rFonts w:ascii="Times New Roman" w:eastAsia="MS Mincho" w:hAnsi="Times New Roman"/>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EF4CB3" w:rsidRPr="00961E0F" w14:paraId="6C8FD311" w14:textId="77777777" w:rsidTr="000A7F49">
        <w:trPr>
          <w:cantSplit/>
        </w:trPr>
        <w:tc>
          <w:tcPr>
            <w:tcW w:w="3099" w:type="dxa"/>
            <w:tcBorders>
              <w:top w:val="single" w:sz="4" w:space="0" w:color="auto"/>
              <w:bottom w:val="nil"/>
            </w:tcBorders>
            <w:shd w:val="clear" w:color="auto" w:fill="auto"/>
          </w:tcPr>
          <w:p w14:paraId="70803B94" w14:textId="77777777" w:rsidR="00EF4CB3" w:rsidRPr="00961E0F" w:rsidRDefault="00EF4CB3" w:rsidP="000A7F49">
            <w:pPr>
              <w:keepNext/>
              <w:tabs>
                <w:tab w:val="left" w:pos="284"/>
              </w:tabs>
              <w:rPr>
                <w:rFonts w:ascii="Times New Roman" w:eastAsia="MS Mincho" w:hAnsi="Times New Roman"/>
                <w:szCs w:val="22"/>
              </w:rPr>
            </w:pPr>
          </w:p>
        </w:tc>
        <w:tc>
          <w:tcPr>
            <w:tcW w:w="3100" w:type="dxa"/>
            <w:tcBorders>
              <w:top w:val="single" w:sz="4" w:space="0" w:color="auto"/>
              <w:bottom w:val="nil"/>
            </w:tcBorders>
            <w:shd w:val="clear" w:color="auto" w:fill="auto"/>
          </w:tcPr>
          <w:p w14:paraId="027A964E"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Groupe de traitement de 12 mois</w:t>
            </w:r>
          </w:p>
        </w:tc>
        <w:tc>
          <w:tcPr>
            <w:tcW w:w="3100" w:type="dxa"/>
            <w:tcBorders>
              <w:top w:val="single" w:sz="4" w:space="0" w:color="auto"/>
              <w:bottom w:val="nil"/>
            </w:tcBorders>
            <w:shd w:val="clear" w:color="auto" w:fill="auto"/>
          </w:tcPr>
          <w:p w14:paraId="33E4D36D"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Groupe de traitement de 36 mois</w:t>
            </w:r>
          </w:p>
        </w:tc>
      </w:tr>
      <w:tr w:rsidR="00EF4CB3" w:rsidRPr="00961E0F" w14:paraId="7147C2C7" w14:textId="77777777" w:rsidTr="000A7F49">
        <w:trPr>
          <w:cantSplit/>
        </w:trPr>
        <w:tc>
          <w:tcPr>
            <w:tcW w:w="3099" w:type="dxa"/>
            <w:tcBorders>
              <w:top w:val="nil"/>
            </w:tcBorders>
            <w:shd w:val="clear" w:color="auto" w:fill="auto"/>
          </w:tcPr>
          <w:p w14:paraId="64A1152E"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Survie sans rechute</w:t>
            </w:r>
          </w:p>
        </w:tc>
        <w:tc>
          <w:tcPr>
            <w:tcW w:w="3100" w:type="dxa"/>
            <w:tcBorders>
              <w:top w:val="nil"/>
            </w:tcBorders>
            <w:shd w:val="clear" w:color="auto" w:fill="auto"/>
          </w:tcPr>
          <w:p w14:paraId="12B67608"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 (IC)</w:t>
            </w:r>
          </w:p>
        </w:tc>
        <w:tc>
          <w:tcPr>
            <w:tcW w:w="3100" w:type="dxa"/>
            <w:tcBorders>
              <w:top w:val="nil"/>
            </w:tcBorders>
            <w:shd w:val="clear" w:color="auto" w:fill="auto"/>
          </w:tcPr>
          <w:p w14:paraId="7CDACF18"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 (IC)</w:t>
            </w:r>
          </w:p>
        </w:tc>
      </w:tr>
      <w:tr w:rsidR="00EF4CB3" w:rsidRPr="00961E0F" w14:paraId="5B69D572" w14:textId="77777777" w:rsidTr="000A7F49">
        <w:trPr>
          <w:cantSplit/>
        </w:trPr>
        <w:tc>
          <w:tcPr>
            <w:tcW w:w="3099" w:type="dxa"/>
            <w:shd w:val="clear" w:color="auto" w:fill="auto"/>
          </w:tcPr>
          <w:p w14:paraId="69083E42"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12</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7C494E74"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93,7 (89,2</w:t>
            </w:r>
            <w:r w:rsidRPr="00961E0F">
              <w:rPr>
                <w:rFonts w:ascii="Times New Roman" w:eastAsia="MS Mincho" w:hAnsi="Times New Roman"/>
                <w:szCs w:val="22"/>
              </w:rPr>
              <w:noBreakHyphen/>
              <w:t>96,4)</w:t>
            </w:r>
          </w:p>
        </w:tc>
        <w:tc>
          <w:tcPr>
            <w:tcW w:w="3100" w:type="dxa"/>
            <w:shd w:val="clear" w:color="auto" w:fill="auto"/>
          </w:tcPr>
          <w:p w14:paraId="2353A83C"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95,9 (91,9</w:t>
            </w:r>
            <w:r w:rsidRPr="00961E0F">
              <w:rPr>
                <w:rFonts w:ascii="Times New Roman" w:eastAsia="MS Mincho" w:hAnsi="Times New Roman"/>
                <w:szCs w:val="22"/>
              </w:rPr>
              <w:noBreakHyphen/>
              <w:t>97,9)</w:t>
            </w:r>
          </w:p>
        </w:tc>
      </w:tr>
      <w:tr w:rsidR="00EF4CB3" w:rsidRPr="00961E0F" w14:paraId="632C0D96" w14:textId="77777777" w:rsidTr="000A7F49">
        <w:trPr>
          <w:cantSplit/>
        </w:trPr>
        <w:tc>
          <w:tcPr>
            <w:tcW w:w="3099" w:type="dxa"/>
            <w:shd w:val="clear" w:color="auto" w:fill="auto"/>
          </w:tcPr>
          <w:p w14:paraId="062E537B"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24</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3A4539BA"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75,4 (68,6</w:t>
            </w:r>
            <w:r w:rsidRPr="00961E0F">
              <w:rPr>
                <w:rFonts w:ascii="Times New Roman" w:eastAsia="MS Mincho" w:hAnsi="Times New Roman"/>
                <w:szCs w:val="22"/>
              </w:rPr>
              <w:noBreakHyphen/>
              <w:t>81,0)</w:t>
            </w:r>
          </w:p>
        </w:tc>
        <w:tc>
          <w:tcPr>
            <w:tcW w:w="3100" w:type="dxa"/>
            <w:shd w:val="clear" w:color="auto" w:fill="auto"/>
          </w:tcPr>
          <w:p w14:paraId="0CC45636"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90,7 (85,6</w:t>
            </w:r>
            <w:r w:rsidRPr="00961E0F">
              <w:rPr>
                <w:rFonts w:ascii="Times New Roman" w:eastAsia="MS Mincho" w:hAnsi="Times New Roman"/>
                <w:szCs w:val="22"/>
              </w:rPr>
              <w:noBreakHyphen/>
              <w:t>94,0)</w:t>
            </w:r>
          </w:p>
        </w:tc>
      </w:tr>
      <w:tr w:rsidR="00EF4CB3" w:rsidRPr="00961E0F" w14:paraId="4BA2DD6E" w14:textId="77777777" w:rsidTr="000A7F49">
        <w:trPr>
          <w:cantSplit/>
        </w:trPr>
        <w:tc>
          <w:tcPr>
            <w:tcW w:w="3099" w:type="dxa"/>
            <w:shd w:val="clear" w:color="auto" w:fill="auto"/>
          </w:tcPr>
          <w:p w14:paraId="2C1227A2"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36</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4F873A28"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60,1 (52,5</w:t>
            </w:r>
            <w:r w:rsidRPr="00961E0F">
              <w:rPr>
                <w:rFonts w:ascii="Times New Roman" w:eastAsia="MS Mincho" w:hAnsi="Times New Roman"/>
                <w:szCs w:val="22"/>
              </w:rPr>
              <w:noBreakHyphen/>
              <w:t>66,9)</w:t>
            </w:r>
          </w:p>
        </w:tc>
        <w:tc>
          <w:tcPr>
            <w:tcW w:w="3100" w:type="dxa"/>
            <w:shd w:val="clear" w:color="auto" w:fill="auto"/>
          </w:tcPr>
          <w:p w14:paraId="11CEF53D"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86,6 (80,8</w:t>
            </w:r>
            <w:r w:rsidRPr="00961E0F">
              <w:rPr>
                <w:rFonts w:ascii="Times New Roman" w:eastAsia="MS Mincho" w:hAnsi="Times New Roman"/>
                <w:szCs w:val="22"/>
              </w:rPr>
              <w:noBreakHyphen/>
              <w:t>90,8)</w:t>
            </w:r>
          </w:p>
        </w:tc>
      </w:tr>
      <w:tr w:rsidR="00EF4CB3" w:rsidRPr="00961E0F" w14:paraId="3B869863" w14:textId="77777777" w:rsidTr="000A7F49">
        <w:trPr>
          <w:cantSplit/>
        </w:trPr>
        <w:tc>
          <w:tcPr>
            <w:tcW w:w="3099" w:type="dxa"/>
            <w:shd w:val="clear" w:color="auto" w:fill="auto"/>
          </w:tcPr>
          <w:p w14:paraId="4215AE9C"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48</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54D874DB"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52,3 (44,0</w:t>
            </w:r>
            <w:r w:rsidRPr="00961E0F">
              <w:rPr>
                <w:rFonts w:ascii="Times New Roman" w:eastAsia="MS Mincho" w:hAnsi="Times New Roman"/>
                <w:szCs w:val="22"/>
              </w:rPr>
              <w:noBreakHyphen/>
              <w:t>59,8)</w:t>
            </w:r>
          </w:p>
        </w:tc>
        <w:tc>
          <w:tcPr>
            <w:tcW w:w="3100" w:type="dxa"/>
            <w:shd w:val="clear" w:color="auto" w:fill="auto"/>
          </w:tcPr>
          <w:p w14:paraId="0F07DBC4"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78,3 (70,8</w:t>
            </w:r>
            <w:r w:rsidRPr="00961E0F">
              <w:rPr>
                <w:rFonts w:ascii="Times New Roman" w:eastAsia="MS Mincho" w:hAnsi="Times New Roman"/>
                <w:szCs w:val="22"/>
              </w:rPr>
              <w:noBreakHyphen/>
              <w:t>84,1)</w:t>
            </w:r>
          </w:p>
        </w:tc>
      </w:tr>
      <w:tr w:rsidR="00EF4CB3" w:rsidRPr="00961E0F" w14:paraId="0B22FE00" w14:textId="77777777" w:rsidTr="000A7F49">
        <w:trPr>
          <w:cantSplit/>
        </w:trPr>
        <w:tc>
          <w:tcPr>
            <w:tcW w:w="3099" w:type="dxa"/>
            <w:shd w:val="clear" w:color="auto" w:fill="auto"/>
          </w:tcPr>
          <w:p w14:paraId="3590F1EC"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60</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149DAA0D"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47,9 (39,0</w:t>
            </w:r>
            <w:r w:rsidRPr="00961E0F">
              <w:rPr>
                <w:rFonts w:ascii="Times New Roman" w:eastAsia="MS Mincho" w:hAnsi="Times New Roman"/>
                <w:szCs w:val="22"/>
              </w:rPr>
              <w:noBreakHyphen/>
              <w:t>56,3)</w:t>
            </w:r>
          </w:p>
        </w:tc>
        <w:tc>
          <w:tcPr>
            <w:tcW w:w="3100" w:type="dxa"/>
            <w:shd w:val="clear" w:color="auto" w:fill="auto"/>
          </w:tcPr>
          <w:p w14:paraId="7F917ADA"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65,6 (56,1</w:t>
            </w:r>
            <w:r w:rsidRPr="00961E0F">
              <w:rPr>
                <w:rFonts w:ascii="Times New Roman" w:eastAsia="MS Mincho" w:hAnsi="Times New Roman"/>
                <w:szCs w:val="22"/>
              </w:rPr>
              <w:noBreakHyphen/>
              <w:t>73,4)</w:t>
            </w:r>
          </w:p>
        </w:tc>
      </w:tr>
      <w:tr w:rsidR="00EF4CB3" w:rsidRPr="00961E0F" w14:paraId="73EC4420" w14:textId="77777777" w:rsidTr="000A7F49">
        <w:trPr>
          <w:cantSplit/>
        </w:trPr>
        <w:tc>
          <w:tcPr>
            <w:tcW w:w="3099" w:type="dxa"/>
            <w:shd w:val="clear" w:color="auto" w:fill="auto"/>
          </w:tcPr>
          <w:p w14:paraId="587702C4" w14:textId="77777777" w:rsidR="00EF4CB3" w:rsidRPr="00961E0F" w:rsidRDefault="00EF4CB3" w:rsidP="000A7F49">
            <w:pPr>
              <w:keepNext/>
              <w:tabs>
                <w:tab w:val="left" w:pos="284"/>
              </w:tabs>
              <w:rPr>
                <w:rFonts w:ascii="Times New Roman" w:eastAsia="MS Mincho" w:hAnsi="Times New Roman"/>
                <w:b/>
                <w:szCs w:val="22"/>
              </w:rPr>
            </w:pPr>
            <w:r w:rsidRPr="00961E0F">
              <w:rPr>
                <w:rFonts w:ascii="Times New Roman" w:eastAsia="MS Mincho" w:hAnsi="Times New Roman"/>
                <w:b/>
                <w:szCs w:val="22"/>
              </w:rPr>
              <w:t>Survie</w:t>
            </w:r>
          </w:p>
        </w:tc>
        <w:tc>
          <w:tcPr>
            <w:tcW w:w="3100" w:type="dxa"/>
            <w:shd w:val="clear" w:color="auto" w:fill="auto"/>
          </w:tcPr>
          <w:p w14:paraId="68B1FEF4" w14:textId="77777777" w:rsidR="00EF4CB3" w:rsidRPr="00961E0F" w:rsidRDefault="00EF4CB3" w:rsidP="000A7F49">
            <w:pPr>
              <w:keepNext/>
              <w:tabs>
                <w:tab w:val="left" w:pos="284"/>
              </w:tabs>
              <w:rPr>
                <w:rFonts w:ascii="Times New Roman" w:eastAsia="MS Mincho" w:hAnsi="Times New Roman"/>
                <w:szCs w:val="22"/>
              </w:rPr>
            </w:pPr>
          </w:p>
        </w:tc>
        <w:tc>
          <w:tcPr>
            <w:tcW w:w="3100" w:type="dxa"/>
            <w:shd w:val="clear" w:color="auto" w:fill="auto"/>
          </w:tcPr>
          <w:p w14:paraId="0F8ECA1C" w14:textId="77777777" w:rsidR="00EF4CB3" w:rsidRPr="00961E0F" w:rsidRDefault="00EF4CB3" w:rsidP="000A7F49">
            <w:pPr>
              <w:keepNext/>
              <w:tabs>
                <w:tab w:val="left" w:pos="284"/>
              </w:tabs>
              <w:rPr>
                <w:rFonts w:ascii="Times New Roman" w:eastAsia="MS Mincho" w:hAnsi="Times New Roman"/>
                <w:szCs w:val="22"/>
              </w:rPr>
            </w:pPr>
          </w:p>
        </w:tc>
      </w:tr>
      <w:tr w:rsidR="00EF4CB3" w:rsidRPr="00961E0F" w14:paraId="638D76C4" w14:textId="77777777" w:rsidTr="000A7F49">
        <w:trPr>
          <w:cantSplit/>
        </w:trPr>
        <w:tc>
          <w:tcPr>
            <w:tcW w:w="3099" w:type="dxa"/>
            <w:shd w:val="clear" w:color="auto" w:fill="auto"/>
          </w:tcPr>
          <w:p w14:paraId="49FE630E"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36</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3F2AEB6D"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94,0 (89,5</w:t>
            </w:r>
            <w:r w:rsidRPr="00961E0F">
              <w:rPr>
                <w:rFonts w:ascii="Times New Roman" w:eastAsia="MS Mincho" w:hAnsi="Times New Roman"/>
                <w:szCs w:val="22"/>
              </w:rPr>
              <w:noBreakHyphen/>
              <w:t>96,7)</w:t>
            </w:r>
          </w:p>
        </w:tc>
        <w:tc>
          <w:tcPr>
            <w:tcW w:w="3100" w:type="dxa"/>
            <w:shd w:val="clear" w:color="auto" w:fill="auto"/>
          </w:tcPr>
          <w:p w14:paraId="6C96782E"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96,3 (92,4</w:t>
            </w:r>
            <w:r w:rsidRPr="00961E0F">
              <w:rPr>
                <w:rFonts w:ascii="Times New Roman" w:eastAsia="MS Mincho" w:hAnsi="Times New Roman"/>
                <w:szCs w:val="22"/>
              </w:rPr>
              <w:noBreakHyphen/>
              <w:t>98,2)</w:t>
            </w:r>
          </w:p>
        </w:tc>
      </w:tr>
      <w:tr w:rsidR="00EF4CB3" w:rsidRPr="00961E0F" w14:paraId="3A20C3AF" w14:textId="77777777" w:rsidTr="000A7F49">
        <w:trPr>
          <w:cantSplit/>
        </w:trPr>
        <w:tc>
          <w:tcPr>
            <w:tcW w:w="3099" w:type="dxa"/>
            <w:shd w:val="clear" w:color="auto" w:fill="auto"/>
          </w:tcPr>
          <w:p w14:paraId="4512395C" w14:textId="77777777" w:rsidR="00EF4CB3" w:rsidRPr="00961E0F" w:rsidRDefault="00EF4CB3" w:rsidP="000A7F49">
            <w:pPr>
              <w:keepNext/>
              <w:ind w:left="284"/>
              <w:rPr>
                <w:rFonts w:ascii="Times New Roman" w:eastAsia="MS Mincho" w:hAnsi="Times New Roman"/>
                <w:szCs w:val="22"/>
              </w:rPr>
            </w:pPr>
            <w:r w:rsidRPr="00961E0F">
              <w:rPr>
                <w:rFonts w:ascii="Times New Roman" w:eastAsia="MS Mincho" w:hAnsi="Times New Roman"/>
                <w:szCs w:val="22"/>
              </w:rPr>
              <w:t>48</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672F576F"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87,9 (81,1</w:t>
            </w:r>
            <w:r w:rsidRPr="00961E0F">
              <w:rPr>
                <w:rFonts w:ascii="Times New Roman" w:eastAsia="MS Mincho" w:hAnsi="Times New Roman"/>
                <w:szCs w:val="22"/>
              </w:rPr>
              <w:noBreakHyphen/>
              <w:t>92,3)</w:t>
            </w:r>
          </w:p>
        </w:tc>
        <w:tc>
          <w:tcPr>
            <w:tcW w:w="3100" w:type="dxa"/>
            <w:shd w:val="clear" w:color="auto" w:fill="auto"/>
          </w:tcPr>
          <w:p w14:paraId="1E3A3570" w14:textId="77777777" w:rsidR="00EF4CB3" w:rsidRPr="00961E0F" w:rsidRDefault="00EF4CB3" w:rsidP="000A7F49">
            <w:pPr>
              <w:keepNext/>
              <w:tabs>
                <w:tab w:val="left" w:pos="284"/>
              </w:tabs>
              <w:rPr>
                <w:rFonts w:ascii="Times New Roman" w:eastAsia="MS Mincho" w:hAnsi="Times New Roman"/>
                <w:szCs w:val="22"/>
              </w:rPr>
            </w:pPr>
            <w:r w:rsidRPr="00961E0F">
              <w:rPr>
                <w:rFonts w:ascii="Times New Roman" w:eastAsia="MS Mincho" w:hAnsi="Times New Roman"/>
                <w:szCs w:val="22"/>
              </w:rPr>
              <w:t>95,6 (91,2</w:t>
            </w:r>
            <w:r w:rsidRPr="00961E0F">
              <w:rPr>
                <w:rFonts w:ascii="Times New Roman" w:eastAsia="MS Mincho" w:hAnsi="Times New Roman"/>
                <w:szCs w:val="22"/>
              </w:rPr>
              <w:noBreakHyphen/>
              <w:t>97,8)</w:t>
            </w:r>
          </w:p>
        </w:tc>
      </w:tr>
      <w:tr w:rsidR="00EF4CB3" w:rsidRPr="00961E0F" w14:paraId="2C13D517" w14:textId="77777777" w:rsidTr="000A7F49">
        <w:trPr>
          <w:cantSplit/>
        </w:trPr>
        <w:tc>
          <w:tcPr>
            <w:tcW w:w="3099" w:type="dxa"/>
            <w:shd w:val="clear" w:color="auto" w:fill="auto"/>
          </w:tcPr>
          <w:p w14:paraId="15FFDAAE" w14:textId="77777777" w:rsidR="00EF4CB3" w:rsidRPr="00961E0F" w:rsidRDefault="00EF4CB3" w:rsidP="000A7F49">
            <w:pPr>
              <w:ind w:left="284"/>
              <w:rPr>
                <w:rFonts w:ascii="Times New Roman" w:eastAsia="MS Mincho" w:hAnsi="Times New Roman"/>
                <w:szCs w:val="22"/>
              </w:rPr>
            </w:pPr>
            <w:r w:rsidRPr="00961E0F">
              <w:rPr>
                <w:rFonts w:ascii="Times New Roman" w:eastAsia="MS Mincho" w:hAnsi="Times New Roman"/>
                <w:szCs w:val="22"/>
              </w:rPr>
              <w:t>60</w:t>
            </w:r>
            <w:r w:rsidRPr="00961E0F">
              <w:rPr>
                <w:rFonts w:ascii="Times New Roman" w:eastAsia="MS Mincho" w:hAnsi="Times New Roman"/>
                <w:szCs w:val="22"/>
                <w:lang w:eastAsia="ja-JP"/>
              </w:rPr>
              <w:t> </w:t>
            </w:r>
            <w:r w:rsidRPr="00961E0F">
              <w:rPr>
                <w:rFonts w:ascii="Times New Roman" w:eastAsia="MS Mincho" w:hAnsi="Times New Roman"/>
                <w:szCs w:val="22"/>
              </w:rPr>
              <w:t>mois</w:t>
            </w:r>
          </w:p>
        </w:tc>
        <w:tc>
          <w:tcPr>
            <w:tcW w:w="3100" w:type="dxa"/>
            <w:shd w:val="clear" w:color="auto" w:fill="auto"/>
          </w:tcPr>
          <w:p w14:paraId="13751157" w14:textId="77777777" w:rsidR="00EF4CB3" w:rsidRPr="00961E0F" w:rsidRDefault="00EF4CB3" w:rsidP="000A7F49">
            <w:pPr>
              <w:tabs>
                <w:tab w:val="left" w:pos="284"/>
              </w:tabs>
              <w:rPr>
                <w:rFonts w:ascii="Times New Roman" w:eastAsia="MS Mincho" w:hAnsi="Times New Roman"/>
                <w:szCs w:val="22"/>
              </w:rPr>
            </w:pPr>
            <w:r w:rsidRPr="00961E0F">
              <w:rPr>
                <w:rFonts w:ascii="Times New Roman" w:eastAsia="MS Mincho" w:hAnsi="Times New Roman"/>
                <w:szCs w:val="22"/>
              </w:rPr>
              <w:t>81,7 (73,0</w:t>
            </w:r>
            <w:r w:rsidRPr="00961E0F">
              <w:rPr>
                <w:rFonts w:ascii="Times New Roman" w:eastAsia="MS Mincho" w:hAnsi="Times New Roman"/>
                <w:szCs w:val="22"/>
              </w:rPr>
              <w:noBreakHyphen/>
              <w:t>87,8)</w:t>
            </w:r>
          </w:p>
        </w:tc>
        <w:tc>
          <w:tcPr>
            <w:tcW w:w="3100" w:type="dxa"/>
            <w:shd w:val="clear" w:color="auto" w:fill="auto"/>
          </w:tcPr>
          <w:p w14:paraId="0D26FF11" w14:textId="77777777" w:rsidR="00EF4CB3" w:rsidRPr="00961E0F" w:rsidRDefault="00EF4CB3" w:rsidP="000A7F49">
            <w:pPr>
              <w:tabs>
                <w:tab w:val="left" w:pos="284"/>
              </w:tabs>
              <w:rPr>
                <w:rFonts w:ascii="Times New Roman" w:eastAsia="MS Mincho" w:hAnsi="Times New Roman"/>
                <w:szCs w:val="22"/>
              </w:rPr>
            </w:pPr>
            <w:r w:rsidRPr="00961E0F">
              <w:rPr>
                <w:rFonts w:ascii="Times New Roman" w:eastAsia="MS Mincho" w:hAnsi="Times New Roman"/>
                <w:szCs w:val="22"/>
              </w:rPr>
              <w:t>92,0 (85,3</w:t>
            </w:r>
            <w:r w:rsidRPr="00961E0F">
              <w:rPr>
                <w:rFonts w:ascii="Times New Roman" w:eastAsia="MS Mincho" w:hAnsi="Times New Roman"/>
                <w:szCs w:val="22"/>
              </w:rPr>
              <w:noBreakHyphen/>
              <w:t>95,7)</w:t>
            </w:r>
          </w:p>
        </w:tc>
      </w:tr>
    </w:tbl>
    <w:p w14:paraId="0FE2A9C0" w14:textId="77777777" w:rsidR="00EF4CB3" w:rsidRPr="00961E0F" w:rsidRDefault="00EF4CB3" w:rsidP="00EF4CB3">
      <w:pPr>
        <w:rPr>
          <w:rFonts w:ascii="Times New Roman" w:eastAsia="MS Mincho" w:hAnsi="Times New Roman"/>
          <w:szCs w:val="22"/>
        </w:rPr>
      </w:pPr>
    </w:p>
    <w:p w14:paraId="0596EECA" w14:textId="77777777" w:rsidR="00EF4CB3" w:rsidRPr="00961E0F" w:rsidRDefault="00351949" w:rsidP="000A7F49">
      <w:pPr>
        <w:keepNext/>
        <w:keepLines/>
        <w:tabs>
          <w:tab w:val="left" w:pos="1134"/>
        </w:tabs>
        <w:ind w:left="1134" w:hanging="1134"/>
        <w:outlineLvl w:val="6"/>
        <w:rPr>
          <w:rFonts w:ascii="Times New Roman" w:eastAsia="MS Mincho" w:hAnsi="Times New Roman"/>
          <w:b/>
          <w:szCs w:val="22"/>
        </w:rPr>
      </w:pPr>
      <w:r w:rsidRPr="00961E0F">
        <w:rPr>
          <w:noProof/>
          <w:lang w:val="en-US"/>
        </w:rPr>
        <mc:AlternateContent>
          <mc:Choice Requires="wps">
            <w:drawing>
              <wp:anchor distT="0" distB="0" distL="114300" distR="114300" simplePos="0" relativeHeight="251658240" behindDoc="0" locked="0" layoutInCell="1" allowOverlap="1" wp14:anchorId="21B38D71" wp14:editId="0045FDB3">
                <wp:simplePos x="0" y="0"/>
                <wp:positionH relativeFrom="column">
                  <wp:posOffset>-297815</wp:posOffset>
                </wp:positionH>
                <wp:positionV relativeFrom="paragraph">
                  <wp:posOffset>284480</wp:posOffset>
                </wp:positionV>
                <wp:extent cx="335915" cy="25558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555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3DBE3" w14:textId="77777777" w:rsidR="002D746F" w:rsidRDefault="002D746F" w:rsidP="00EF4CB3">
                            <w:pPr>
                              <w:rPr>
                                <w:rFonts w:ascii="Arial" w:hAnsi="Arial" w:cs="Arial"/>
                                <w:sz w:val="20"/>
                              </w:rPr>
                            </w:pPr>
                            <w:r>
                              <w:rPr>
                                <w:rFonts w:ascii="Arial" w:hAnsi="Arial" w:cs="Arial"/>
                                <w:sz w:val="20"/>
                              </w:rPr>
                              <w:t>Probabilité de survie sans rechute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38D71" id="_x0000_s1032" type="#_x0000_t202" style="position:absolute;left:0;text-align:left;margin-left:-23.45pt;margin-top:22.4pt;width:26.45pt;height:2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" stroked="f">
                <v:fill opacity="0"/>
                <v:textbox style="layout-flow:vertical;mso-layout-flow-alt:bottom-to-top">
                  <w:txbxContent>
                    <w:p w14:paraId="6673DBE3" w14:textId="77777777" w:rsidR="002D746F" w:rsidRDefault="002D746F" w:rsidP="00EF4CB3">
                      <w:pPr>
                        <w:rPr>
                          <w:rFonts w:ascii="Arial" w:hAnsi="Arial" w:cs="Arial"/>
                          <w:sz w:val="20"/>
                        </w:rPr>
                      </w:pPr>
                      <w:r>
                        <w:rPr>
                          <w:rFonts w:ascii="Arial" w:hAnsi="Arial" w:cs="Arial"/>
                          <w:sz w:val="20"/>
                        </w:rPr>
                        <w:t>Probabilité de survie sans rechute</w:t>
                      </w:r>
                    </w:p>
                  </w:txbxContent>
                </v:textbox>
              </v:shape>
            </w:pict>
          </mc:Fallback>
        </mc:AlternateContent>
      </w:r>
      <w:r w:rsidR="00EF4CB3" w:rsidRPr="00961E0F">
        <w:rPr>
          <w:rFonts w:ascii="Times New Roman" w:eastAsia="MS Mincho" w:hAnsi="Times New Roman"/>
          <w:b/>
          <w:szCs w:val="22"/>
        </w:rPr>
        <w:t>Figure 1</w:t>
      </w:r>
      <w:r w:rsidR="00EF4CB3" w:rsidRPr="00961E0F">
        <w:rPr>
          <w:rFonts w:ascii="Times New Roman" w:eastAsia="MS Mincho" w:hAnsi="Times New Roman"/>
          <w:b/>
          <w:szCs w:val="22"/>
        </w:rPr>
        <w:tab/>
        <w:t>Estimations de Kaplan-Meier pour le critère principal d'évaluation : la survie sans rechute (population ITT)</w:t>
      </w:r>
    </w:p>
    <w:p w14:paraId="0A536C2A" w14:textId="77777777" w:rsidR="00EF4CB3" w:rsidRPr="00961E0F" w:rsidRDefault="00EF4CB3" w:rsidP="00EF4CB3">
      <w:pPr>
        <w:pStyle w:val="EndnoteText"/>
        <w:keepNext/>
        <w:widowControl w:val="0"/>
        <w:tabs>
          <w:tab w:val="clear" w:pos="567"/>
        </w:tabs>
        <w:rPr>
          <w:color w:val="000000"/>
          <w:szCs w:val="22"/>
          <w:lang w:val="fr-FR"/>
        </w:rPr>
      </w:pPr>
    </w:p>
    <w:p w14:paraId="3D694440" w14:textId="77777777" w:rsidR="00EF4CB3" w:rsidRPr="00961E0F" w:rsidRDefault="00351949" w:rsidP="00EF4CB3">
      <w:pPr>
        <w:pStyle w:val="EndnoteText"/>
        <w:widowControl w:val="0"/>
        <w:tabs>
          <w:tab w:val="clear" w:pos="567"/>
        </w:tabs>
        <w:rPr>
          <w:color w:val="000000"/>
          <w:szCs w:val="22"/>
          <w:lang w:val="fr-FR"/>
        </w:rPr>
      </w:pPr>
      <w:r w:rsidRPr="00961E0F">
        <w:rPr>
          <w:noProof/>
          <w:color w:val="000000"/>
          <w:szCs w:val="22"/>
          <w:lang w:val="en-US"/>
        </w:rPr>
        <mc:AlternateContent>
          <mc:Choice Requires="wps">
            <w:drawing>
              <wp:anchor distT="0" distB="0" distL="114300" distR="114300" simplePos="0" relativeHeight="251660288" behindDoc="0" locked="0" layoutInCell="1" allowOverlap="1" wp14:anchorId="182260BF" wp14:editId="79E63303">
                <wp:simplePos x="0" y="0"/>
                <wp:positionH relativeFrom="column">
                  <wp:posOffset>1871345</wp:posOffset>
                </wp:positionH>
                <wp:positionV relativeFrom="paragraph">
                  <wp:posOffset>2682875</wp:posOffset>
                </wp:positionV>
                <wp:extent cx="1638300" cy="2863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6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4E9448" w14:textId="77777777" w:rsidR="002D746F" w:rsidRDefault="002D746F" w:rsidP="00EF4CB3">
                            <w:pPr>
                              <w:rPr>
                                <w:rFonts w:ascii="Arial" w:hAnsi="Arial" w:cs="Arial"/>
                                <w:sz w:val="20"/>
                              </w:rPr>
                            </w:pPr>
                            <w:r>
                              <w:rPr>
                                <w:rFonts w:ascii="Arial" w:hAnsi="Arial" w:cs="Arial"/>
                                <w:sz w:val="20"/>
                              </w:rPr>
                              <w:t>Délai de survie en mois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2260BF" id="_x0000_s1033" type="#_x0000_t202" style="position:absolute;margin-left:147.35pt;margin-top:211.25pt;width:129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" stroked="f">
                <v:fill opacity="0"/>
                <v:textbox>
                  <w:txbxContent>
                    <w:p w14:paraId="4F4E9448" w14:textId="77777777" w:rsidR="002D746F" w:rsidRDefault="002D746F" w:rsidP="00EF4CB3">
                      <w:pPr>
                        <w:rPr>
                          <w:rFonts w:ascii="Arial" w:hAnsi="Arial" w:cs="Arial"/>
                          <w:sz w:val="20"/>
                        </w:rPr>
                      </w:pPr>
                      <w:r>
                        <w:rPr>
                          <w:rFonts w:ascii="Arial" w:hAnsi="Arial" w:cs="Arial"/>
                          <w:sz w:val="20"/>
                        </w:rPr>
                        <w:t>Délai de survie en mois</w:t>
                      </w:r>
                    </w:p>
                  </w:txbxContent>
                </v:textbox>
              </v:shape>
            </w:pict>
          </mc:Fallback>
        </mc:AlternateContent>
      </w:r>
      <w:r w:rsidRPr="00961E0F">
        <w:rPr>
          <w:noProof/>
          <w:lang w:val="en-US"/>
        </w:rPr>
        <mc:AlternateContent>
          <mc:Choice Requires="wps">
            <w:drawing>
              <wp:anchor distT="0" distB="0" distL="114300" distR="114300" simplePos="0" relativeHeight="251659264" behindDoc="0" locked="0" layoutInCell="1" allowOverlap="1" wp14:anchorId="0F3FE812" wp14:editId="21B6A879">
                <wp:simplePos x="0" y="0"/>
                <wp:positionH relativeFrom="column">
                  <wp:posOffset>360045</wp:posOffset>
                </wp:positionH>
                <wp:positionV relativeFrom="paragraph">
                  <wp:posOffset>1196975</wp:posOffset>
                </wp:positionV>
                <wp:extent cx="4585335" cy="12192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2D746F" w14:paraId="36D91CE5" w14:textId="77777777">
                              <w:trPr>
                                <w:gridAfter w:val="3"/>
                                <w:wAfter w:w="2410" w:type="dxa"/>
                              </w:trPr>
                              <w:tc>
                                <w:tcPr>
                                  <w:tcW w:w="3281" w:type="dxa"/>
                                  <w:gridSpan w:val="2"/>
                                  <w:shd w:val="clear" w:color="auto" w:fill="auto"/>
                                </w:tcPr>
                                <w:p w14:paraId="2B4198AB" w14:textId="77777777" w:rsidR="002D746F" w:rsidRDefault="002D746F">
                                  <w:pPr>
                                    <w:rPr>
                                      <w:rFonts w:ascii="Arial" w:hAnsi="Arial" w:cs="Arial"/>
                                      <w:sz w:val="20"/>
                                    </w:rPr>
                                  </w:pPr>
                                  <w:r>
                                    <w:rPr>
                                      <w:rFonts w:ascii="Arial" w:hAnsi="Arial" w:cs="Arial"/>
                                      <w:sz w:val="20"/>
                                    </w:rPr>
                                    <w:t>P &lt; 0,0001</w:t>
                                  </w:r>
                                </w:p>
                                <w:p w14:paraId="0E8AAC92" w14:textId="77777777" w:rsidR="002D746F" w:rsidRDefault="002D746F">
                                  <w:pPr>
                                    <w:rPr>
                                      <w:rFonts w:ascii="Arial" w:hAnsi="Arial" w:cs="Arial"/>
                                      <w:sz w:val="20"/>
                                    </w:rPr>
                                  </w:pPr>
                                  <w:r>
                                    <w:rPr>
                                      <w:rFonts w:ascii="Arial" w:hAnsi="Arial" w:cs="Arial"/>
                                      <w:sz w:val="20"/>
                                      <w:lang w:val="en-US"/>
                                    </w:rPr>
                                    <w:t>Hazard ratio</w:t>
                                  </w:r>
                                  <w:r>
                                    <w:rPr>
                                      <w:rFonts w:ascii="Arial" w:hAnsi="Arial" w:cs="Arial"/>
                                      <w:sz w:val="20"/>
                                    </w:rPr>
                                    <w:t xml:space="preserve"> 0,46</w:t>
                                  </w:r>
                                </w:p>
                                <w:p w14:paraId="790B0559" w14:textId="77777777" w:rsidR="002D746F" w:rsidRDefault="002D746F">
                                  <w:pPr>
                                    <w:rPr>
                                      <w:rFonts w:ascii="Arial" w:hAnsi="Arial" w:cs="Arial"/>
                                      <w:sz w:val="20"/>
                                      <w:lang w:val="de-DE"/>
                                    </w:rPr>
                                  </w:pPr>
                                  <w:r>
                                    <w:rPr>
                                      <w:rFonts w:ascii="Arial" w:hAnsi="Arial" w:cs="Arial"/>
                                      <w:sz w:val="20"/>
                                    </w:rPr>
                                    <w:t>(</w:t>
                                  </w:r>
                                  <w:r>
                                    <w:rPr>
                                      <w:rFonts w:ascii="Arial" w:hAnsi="Arial" w:cs="Arial"/>
                                      <w:sz w:val="20"/>
                                      <w:lang w:val="en-US"/>
                                    </w:rPr>
                                    <w:t>95% IC</w:t>
                                  </w:r>
                                  <w:r>
                                    <w:rPr>
                                      <w:rFonts w:ascii="Arial" w:hAnsi="Arial" w:cs="Arial"/>
                                      <w:sz w:val="20"/>
                                    </w:rPr>
                                    <w:t>, 0,32</w:t>
                                  </w:r>
                                  <w:r>
                                    <w:rPr>
                                      <w:rFonts w:ascii="Arial" w:hAnsi="Arial" w:cs="Arial"/>
                                      <w:sz w:val="20"/>
                                    </w:rPr>
                                    <w:noBreakHyphen/>
                                    <w:t>0,65)</w:t>
                                  </w:r>
                                </w:p>
                              </w:tc>
                            </w:tr>
                            <w:tr w:rsidR="002D746F" w14:paraId="3037E199" w14:textId="77777777">
                              <w:tc>
                                <w:tcPr>
                                  <w:tcW w:w="817" w:type="dxa"/>
                                  <w:shd w:val="clear" w:color="auto" w:fill="auto"/>
                                </w:tcPr>
                                <w:p w14:paraId="423656E1" w14:textId="77777777" w:rsidR="002D746F" w:rsidRDefault="002D746F">
                                  <w:pPr>
                                    <w:rPr>
                                      <w:rFonts w:ascii="Arial" w:hAnsi="Arial" w:cs="Arial"/>
                                      <w:sz w:val="20"/>
                                    </w:rPr>
                                  </w:pPr>
                                </w:p>
                              </w:tc>
                              <w:tc>
                                <w:tcPr>
                                  <w:tcW w:w="2464" w:type="dxa"/>
                                  <w:shd w:val="clear" w:color="auto" w:fill="auto"/>
                                </w:tcPr>
                                <w:p w14:paraId="39AFDFD6"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2B2AF660"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2A3A8E5A"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2373E57E" w14:textId="77777777" w:rsidR="002D746F" w:rsidRDefault="002D746F">
                                  <w:pPr>
                                    <w:rPr>
                                      <w:rFonts w:ascii="Arial" w:hAnsi="Arial" w:cs="Arial"/>
                                      <w:sz w:val="20"/>
                                    </w:rPr>
                                  </w:pPr>
                                  <w:r>
                                    <w:rPr>
                                      <w:rFonts w:ascii="Arial" w:hAnsi="Arial" w:cs="Arial"/>
                                      <w:sz w:val="20"/>
                                      <w:lang w:val="de-DE"/>
                                    </w:rPr>
                                    <w:t>Cen</w:t>
                                  </w:r>
                                </w:p>
                              </w:tc>
                            </w:tr>
                            <w:tr w:rsidR="002D746F" w14:paraId="34CDBD05" w14:textId="77777777">
                              <w:tc>
                                <w:tcPr>
                                  <w:tcW w:w="817" w:type="dxa"/>
                                  <w:shd w:val="clear" w:color="auto" w:fill="auto"/>
                                </w:tcPr>
                                <w:p w14:paraId="6AD687B7"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43216F37"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74B47502"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49F9BA5F" w14:textId="77777777" w:rsidR="002D746F" w:rsidRDefault="002D746F">
                                  <w:pPr>
                                    <w:rPr>
                                      <w:rFonts w:ascii="Arial" w:hAnsi="Arial" w:cs="Arial"/>
                                      <w:sz w:val="20"/>
                                    </w:rPr>
                                  </w:pPr>
                                  <w:r>
                                    <w:rPr>
                                      <w:rFonts w:ascii="Arial" w:hAnsi="Arial" w:cs="Arial"/>
                                      <w:sz w:val="20"/>
                                    </w:rPr>
                                    <w:t>84</w:t>
                                  </w:r>
                                </w:p>
                              </w:tc>
                              <w:tc>
                                <w:tcPr>
                                  <w:tcW w:w="850" w:type="dxa"/>
                                  <w:tcBorders>
                                    <w:top w:val="single" w:sz="4" w:space="0" w:color="auto"/>
                                  </w:tcBorders>
                                  <w:shd w:val="clear" w:color="auto" w:fill="auto"/>
                                </w:tcPr>
                                <w:p w14:paraId="0C6FB70A" w14:textId="77777777" w:rsidR="002D746F" w:rsidRDefault="002D746F">
                                  <w:pPr>
                                    <w:rPr>
                                      <w:rFonts w:ascii="Arial" w:hAnsi="Arial" w:cs="Arial"/>
                                      <w:sz w:val="20"/>
                                    </w:rPr>
                                  </w:pPr>
                                  <w:r>
                                    <w:rPr>
                                      <w:rFonts w:ascii="Arial" w:hAnsi="Arial" w:cs="Arial"/>
                                      <w:sz w:val="20"/>
                                    </w:rPr>
                                    <w:t>115</w:t>
                                  </w:r>
                                </w:p>
                              </w:tc>
                            </w:tr>
                            <w:tr w:rsidR="002D746F" w14:paraId="6312E775" w14:textId="77777777">
                              <w:tc>
                                <w:tcPr>
                                  <w:tcW w:w="817" w:type="dxa"/>
                                  <w:shd w:val="clear" w:color="auto" w:fill="auto"/>
                                </w:tcPr>
                                <w:p w14:paraId="53D9401B"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507D3D19"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6F9DDA7F"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15D421FE" w14:textId="77777777" w:rsidR="002D746F" w:rsidRDefault="002D746F">
                                  <w:pPr>
                                    <w:rPr>
                                      <w:rFonts w:ascii="Arial" w:hAnsi="Arial" w:cs="Arial"/>
                                      <w:sz w:val="20"/>
                                    </w:rPr>
                                  </w:pPr>
                                  <w:r>
                                    <w:rPr>
                                      <w:rFonts w:ascii="Arial" w:hAnsi="Arial" w:cs="Arial"/>
                                      <w:sz w:val="20"/>
                                    </w:rPr>
                                    <w:t>50</w:t>
                                  </w:r>
                                </w:p>
                              </w:tc>
                              <w:tc>
                                <w:tcPr>
                                  <w:tcW w:w="850" w:type="dxa"/>
                                  <w:tcBorders>
                                    <w:bottom w:val="single" w:sz="4" w:space="0" w:color="auto"/>
                                  </w:tcBorders>
                                  <w:shd w:val="clear" w:color="auto" w:fill="auto"/>
                                </w:tcPr>
                                <w:p w14:paraId="0628B776" w14:textId="77777777" w:rsidR="002D746F" w:rsidRDefault="002D746F">
                                  <w:pPr>
                                    <w:rPr>
                                      <w:rFonts w:ascii="Arial" w:hAnsi="Arial" w:cs="Arial"/>
                                      <w:sz w:val="20"/>
                                    </w:rPr>
                                  </w:pPr>
                                  <w:r>
                                    <w:rPr>
                                      <w:rFonts w:ascii="Arial" w:hAnsi="Arial" w:cs="Arial"/>
                                      <w:sz w:val="20"/>
                                    </w:rPr>
                                    <w:t>148</w:t>
                                  </w:r>
                                </w:p>
                              </w:tc>
                            </w:tr>
                            <w:tr w:rsidR="002D746F" w14:paraId="332B7AB1" w14:textId="77777777">
                              <w:tc>
                                <w:tcPr>
                                  <w:tcW w:w="817" w:type="dxa"/>
                                  <w:shd w:val="clear" w:color="auto" w:fill="auto"/>
                                </w:tcPr>
                                <w:p w14:paraId="6746592E"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10D82636"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4F3E99B1"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2F9AFE5B"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681CC7D7" w14:textId="77777777" w:rsidR="002D746F" w:rsidRDefault="002D746F">
                                  <w:pPr>
                                    <w:rPr>
                                      <w:rFonts w:ascii="Arial" w:hAnsi="Arial" w:cs="Arial"/>
                                      <w:sz w:val="20"/>
                                    </w:rPr>
                                  </w:pPr>
                                </w:p>
                              </w:tc>
                            </w:tr>
                          </w:tbl>
                          <w:p w14:paraId="260EAE3F" w14:textId="77777777" w:rsidR="002D746F" w:rsidRDefault="002D746F" w:rsidP="00EF4CB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FE812" id="_x0000_s1034" type="#_x0000_t202" style="position:absolute;margin-left:28.35pt;margin-top:94.25pt;width:361.0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6P9gEAAM8DAAAOAAAAZHJzL2Uyb0RvYy54bWysU9uO0zAQfUfiHyy/0zTdFrp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709"/>
                        <w:gridCol w:w="850"/>
                      </w:tblGrid>
                      <w:tr w:rsidR="002D746F" w14:paraId="36D91CE5" w14:textId="77777777">
                        <w:trPr>
                          <w:gridAfter w:val="3"/>
                          <w:wAfter w:w="2410" w:type="dxa"/>
                        </w:trPr>
                        <w:tc>
                          <w:tcPr>
                            <w:tcW w:w="3281" w:type="dxa"/>
                            <w:gridSpan w:val="2"/>
                            <w:shd w:val="clear" w:color="auto" w:fill="auto"/>
                          </w:tcPr>
                          <w:p w14:paraId="2B4198AB" w14:textId="77777777" w:rsidR="002D746F" w:rsidRDefault="002D746F">
                            <w:pPr>
                              <w:rPr>
                                <w:rFonts w:ascii="Arial" w:hAnsi="Arial" w:cs="Arial"/>
                                <w:sz w:val="20"/>
                              </w:rPr>
                            </w:pPr>
                            <w:r>
                              <w:rPr>
                                <w:rFonts w:ascii="Arial" w:hAnsi="Arial" w:cs="Arial"/>
                                <w:sz w:val="20"/>
                              </w:rPr>
                              <w:t>P &lt; 0,0001</w:t>
                            </w:r>
                          </w:p>
                          <w:p w14:paraId="0E8AAC92" w14:textId="77777777" w:rsidR="002D746F" w:rsidRDefault="002D746F">
                            <w:pPr>
                              <w:rPr>
                                <w:rFonts w:ascii="Arial" w:hAnsi="Arial" w:cs="Arial"/>
                                <w:sz w:val="20"/>
                              </w:rPr>
                            </w:pPr>
                            <w:r>
                              <w:rPr>
                                <w:rFonts w:ascii="Arial" w:hAnsi="Arial" w:cs="Arial"/>
                                <w:sz w:val="20"/>
                                <w:lang w:val="en-US"/>
                              </w:rPr>
                              <w:t>Hazard ratio</w:t>
                            </w:r>
                            <w:r>
                              <w:rPr>
                                <w:rFonts w:ascii="Arial" w:hAnsi="Arial" w:cs="Arial"/>
                                <w:sz w:val="20"/>
                              </w:rPr>
                              <w:t xml:space="preserve"> 0,46</w:t>
                            </w:r>
                          </w:p>
                          <w:p w14:paraId="790B0559" w14:textId="77777777" w:rsidR="002D746F" w:rsidRDefault="002D746F">
                            <w:pPr>
                              <w:rPr>
                                <w:rFonts w:ascii="Arial" w:hAnsi="Arial" w:cs="Arial"/>
                                <w:sz w:val="20"/>
                                <w:lang w:val="de-DE"/>
                              </w:rPr>
                            </w:pPr>
                            <w:r>
                              <w:rPr>
                                <w:rFonts w:ascii="Arial" w:hAnsi="Arial" w:cs="Arial"/>
                                <w:sz w:val="20"/>
                              </w:rPr>
                              <w:t>(</w:t>
                            </w:r>
                            <w:r>
                              <w:rPr>
                                <w:rFonts w:ascii="Arial" w:hAnsi="Arial" w:cs="Arial"/>
                                <w:sz w:val="20"/>
                                <w:lang w:val="en-US"/>
                              </w:rPr>
                              <w:t>95% IC</w:t>
                            </w:r>
                            <w:r>
                              <w:rPr>
                                <w:rFonts w:ascii="Arial" w:hAnsi="Arial" w:cs="Arial"/>
                                <w:sz w:val="20"/>
                              </w:rPr>
                              <w:t>, 0,32</w:t>
                            </w:r>
                            <w:r>
                              <w:rPr>
                                <w:rFonts w:ascii="Arial" w:hAnsi="Arial" w:cs="Arial"/>
                                <w:sz w:val="20"/>
                              </w:rPr>
                              <w:noBreakHyphen/>
                              <w:t>0,65)</w:t>
                            </w:r>
                          </w:p>
                        </w:tc>
                      </w:tr>
                      <w:tr w:rsidR="002D746F" w14:paraId="3037E199" w14:textId="77777777">
                        <w:tc>
                          <w:tcPr>
                            <w:tcW w:w="817" w:type="dxa"/>
                            <w:shd w:val="clear" w:color="auto" w:fill="auto"/>
                          </w:tcPr>
                          <w:p w14:paraId="423656E1" w14:textId="77777777" w:rsidR="002D746F" w:rsidRDefault="002D746F">
                            <w:pPr>
                              <w:rPr>
                                <w:rFonts w:ascii="Arial" w:hAnsi="Arial" w:cs="Arial"/>
                                <w:sz w:val="20"/>
                              </w:rPr>
                            </w:pPr>
                          </w:p>
                        </w:tc>
                        <w:tc>
                          <w:tcPr>
                            <w:tcW w:w="2464" w:type="dxa"/>
                            <w:shd w:val="clear" w:color="auto" w:fill="auto"/>
                          </w:tcPr>
                          <w:p w14:paraId="39AFDFD6"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2B2AF660"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2A3A8E5A"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2373E57E" w14:textId="77777777" w:rsidR="002D746F" w:rsidRDefault="002D746F">
                            <w:pPr>
                              <w:rPr>
                                <w:rFonts w:ascii="Arial" w:hAnsi="Arial" w:cs="Arial"/>
                                <w:sz w:val="20"/>
                              </w:rPr>
                            </w:pPr>
                            <w:r>
                              <w:rPr>
                                <w:rFonts w:ascii="Arial" w:hAnsi="Arial" w:cs="Arial"/>
                                <w:sz w:val="20"/>
                                <w:lang w:val="de-DE"/>
                              </w:rPr>
                              <w:t>Cen</w:t>
                            </w:r>
                          </w:p>
                        </w:tc>
                      </w:tr>
                      <w:tr w:rsidR="002D746F" w14:paraId="34CDBD05" w14:textId="77777777">
                        <w:tc>
                          <w:tcPr>
                            <w:tcW w:w="817" w:type="dxa"/>
                            <w:shd w:val="clear" w:color="auto" w:fill="auto"/>
                          </w:tcPr>
                          <w:p w14:paraId="6AD687B7"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43216F37"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74B47502"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49F9BA5F" w14:textId="77777777" w:rsidR="002D746F" w:rsidRDefault="002D746F">
                            <w:pPr>
                              <w:rPr>
                                <w:rFonts w:ascii="Arial" w:hAnsi="Arial" w:cs="Arial"/>
                                <w:sz w:val="20"/>
                              </w:rPr>
                            </w:pPr>
                            <w:r>
                              <w:rPr>
                                <w:rFonts w:ascii="Arial" w:hAnsi="Arial" w:cs="Arial"/>
                                <w:sz w:val="20"/>
                              </w:rPr>
                              <w:t>84</w:t>
                            </w:r>
                          </w:p>
                        </w:tc>
                        <w:tc>
                          <w:tcPr>
                            <w:tcW w:w="850" w:type="dxa"/>
                            <w:tcBorders>
                              <w:top w:val="single" w:sz="4" w:space="0" w:color="auto"/>
                            </w:tcBorders>
                            <w:shd w:val="clear" w:color="auto" w:fill="auto"/>
                          </w:tcPr>
                          <w:p w14:paraId="0C6FB70A" w14:textId="77777777" w:rsidR="002D746F" w:rsidRDefault="002D746F">
                            <w:pPr>
                              <w:rPr>
                                <w:rFonts w:ascii="Arial" w:hAnsi="Arial" w:cs="Arial"/>
                                <w:sz w:val="20"/>
                              </w:rPr>
                            </w:pPr>
                            <w:r>
                              <w:rPr>
                                <w:rFonts w:ascii="Arial" w:hAnsi="Arial" w:cs="Arial"/>
                                <w:sz w:val="20"/>
                              </w:rPr>
                              <w:t>115</w:t>
                            </w:r>
                          </w:p>
                        </w:tc>
                      </w:tr>
                      <w:tr w:rsidR="002D746F" w14:paraId="6312E775" w14:textId="77777777">
                        <w:tc>
                          <w:tcPr>
                            <w:tcW w:w="817" w:type="dxa"/>
                            <w:shd w:val="clear" w:color="auto" w:fill="auto"/>
                          </w:tcPr>
                          <w:p w14:paraId="53D9401B"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507D3D19"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6F9DDA7F"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15D421FE" w14:textId="77777777" w:rsidR="002D746F" w:rsidRDefault="002D746F">
                            <w:pPr>
                              <w:rPr>
                                <w:rFonts w:ascii="Arial" w:hAnsi="Arial" w:cs="Arial"/>
                                <w:sz w:val="20"/>
                              </w:rPr>
                            </w:pPr>
                            <w:r>
                              <w:rPr>
                                <w:rFonts w:ascii="Arial" w:hAnsi="Arial" w:cs="Arial"/>
                                <w:sz w:val="20"/>
                              </w:rPr>
                              <w:t>50</w:t>
                            </w:r>
                          </w:p>
                        </w:tc>
                        <w:tc>
                          <w:tcPr>
                            <w:tcW w:w="850" w:type="dxa"/>
                            <w:tcBorders>
                              <w:bottom w:val="single" w:sz="4" w:space="0" w:color="auto"/>
                            </w:tcBorders>
                            <w:shd w:val="clear" w:color="auto" w:fill="auto"/>
                          </w:tcPr>
                          <w:p w14:paraId="0628B776" w14:textId="77777777" w:rsidR="002D746F" w:rsidRDefault="002D746F">
                            <w:pPr>
                              <w:rPr>
                                <w:rFonts w:ascii="Arial" w:hAnsi="Arial" w:cs="Arial"/>
                                <w:sz w:val="20"/>
                              </w:rPr>
                            </w:pPr>
                            <w:r>
                              <w:rPr>
                                <w:rFonts w:ascii="Arial" w:hAnsi="Arial" w:cs="Arial"/>
                                <w:sz w:val="20"/>
                              </w:rPr>
                              <w:t>148</w:t>
                            </w:r>
                          </w:p>
                        </w:tc>
                      </w:tr>
                      <w:tr w:rsidR="002D746F" w14:paraId="332B7AB1" w14:textId="77777777">
                        <w:tc>
                          <w:tcPr>
                            <w:tcW w:w="817" w:type="dxa"/>
                            <w:shd w:val="clear" w:color="auto" w:fill="auto"/>
                          </w:tcPr>
                          <w:p w14:paraId="6746592E"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10D82636"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4F3E99B1"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2F9AFE5B"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681CC7D7" w14:textId="77777777" w:rsidR="002D746F" w:rsidRDefault="002D746F">
                            <w:pPr>
                              <w:rPr>
                                <w:rFonts w:ascii="Arial" w:hAnsi="Arial" w:cs="Arial"/>
                                <w:sz w:val="20"/>
                              </w:rPr>
                            </w:pPr>
                          </w:p>
                        </w:tc>
                      </w:tr>
                    </w:tbl>
                    <w:p w14:paraId="260EAE3F" w14:textId="77777777" w:rsidR="002D746F" w:rsidRDefault="002D746F" w:rsidP="00EF4CB3">
                      <w:pPr>
                        <w:rPr>
                          <w:rFonts w:ascii="Arial" w:hAnsi="Arial" w:cs="Arial"/>
                          <w:sz w:val="20"/>
                        </w:rPr>
                      </w:pPr>
                    </w:p>
                  </w:txbxContent>
                </v:textbox>
              </v:shape>
            </w:pict>
          </mc:Fallback>
        </mc:AlternateContent>
      </w:r>
      <w:r w:rsidRPr="00961E0F">
        <w:rPr>
          <w:noProof/>
          <w:lang w:val="en-US"/>
        </w:rPr>
        <w:drawing>
          <wp:inline distT="0" distB="0" distL="0" distR="0" wp14:anchorId="7769EAB1" wp14:editId="355D861B">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0A6C1F8C" w14:textId="77777777" w:rsidR="00EF4CB3" w:rsidRPr="00961E0F" w:rsidRDefault="00EF4CB3" w:rsidP="00EF4CB3">
      <w:pPr>
        <w:pStyle w:val="EndnoteText"/>
        <w:widowControl w:val="0"/>
        <w:tabs>
          <w:tab w:val="clear" w:pos="567"/>
        </w:tabs>
        <w:rPr>
          <w:color w:val="000000"/>
          <w:szCs w:val="22"/>
          <w:lang w:val="fr-FR"/>
        </w:rPr>
      </w:pPr>
    </w:p>
    <w:p w14:paraId="7102FE98" w14:textId="77777777" w:rsidR="00EF4CB3" w:rsidRPr="00961E0F" w:rsidRDefault="00EF4CB3" w:rsidP="00EF4CB3">
      <w:pPr>
        <w:rPr>
          <w:rFonts w:ascii="Times New Roman" w:hAnsi="Times New Roman"/>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EF4CB3" w:rsidRPr="00961E0F" w14:paraId="3929BE1F" w14:textId="77777777">
        <w:tc>
          <w:tcPr>
            <w:tcW w:w="10599" w:type="dxa"/>
            <w:gridSpan w:val="16"/>
            <w:shd w:val="clear" w:color="auto" w:fill="auto"/>
          </w:tcPr>
          <w:p w14:paraId="1AEE0B07" w14:textId="77777777" w:rsidR="00EF4CB3" w:rsidRPr="00961E0F" w:rsidRDefault="00EF4CB3" w:rsidP="00F84278">
            <w:pPr>
              <w:ind w:left="-27"/>
              <w:rPr>
                <w:rFonts w:ascii="Arial" w:hAnsi="Arial" w:cs="Arial"/>
                <w:sz w:val="16"/>
                <w:szCs w:val="16"/>
              </w:rPr>
            </w:pPr>
            <w:r w:rsidRPr="00961E0F">
              <w:rPr>
                <w:rFonts w:ascii="Arial" w:hAnsi="Arial" w:cs="Arial"/>
                <w:sz w:val="20"/>
              </w:rPr>
              <w:t>Patients à risque : Evènements</w:t>
            </w:r>
          </w:p>
        </w:tc>
      </w:tr>
      <w:tr w:rsidR="00EF4CB3" w:rsidRPr="00961E0F" w14:paraId="3D4F4770" w14:textId="77777777">
        <w:tc>
          <w:tcPr>
            <w:tcW w:w="450" w:type="dxa"/>
            <w:shd w:val="clear" w:color="auto" w:fill="auto"/>
          </w:tcPr>
          <w:p w14:paraId="116F760B" w14:textId="77777777" w:rsidR="00EF4CB3" w:rsidRPr="00961E0F" w:rsidRDefault="00EF4CB3" w:rsidP="00F84278">
            <w:pPr>
              <w:rPr>
                <w:rFonts w:ascii="Times New Roman" w:hAnsi="Times New Roman"/>
                <w:sz w:val="20"/>
              </w:rPr>
            </w:pPr>
            <w:r w:rsidRPr="00961E0F">
              <w:rPr>
                <w:rFonts w:ascii="Times New Roman" w:hAnsi="Times New Roman"/>
                <w:sz w:val="20"/>
              </w:rPr>
              <w:t>(1)</w:t>
            </w:r>
          </w:p>
        </w:tc>
        <w:tc>
          <w:tcPr>
            <w:tcW w:w="646" w:type="dxa"/>
            <w:shd w:val="clear" w:color="auto" w:fill="auto"/>
          </w:tcPr>
          <w:p w14:paraId="7C10421C"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199:0</w:t>
            </w:r>
          </w:p>
        </w:tc>
        <w:tc>
          <w:tcPr>
            <w:tcW w:w="645" w:type="dxa"/>
            <w:shd w:val="clear" w:color="auto" w:fill="auto"/>
          </w:tcPr>
          <w:p w14:paraId="16C51C44"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182:8</w:t>
            </w:r>
          </w:p>
        </w:tc>
        <w:tc>
          <w:tcPr>
            <w:tcW w:w="745" w:type="dxa"/>
            <w:shd w:val="clear" w:color="auto" w:fill="auto"/>
          </w:tcPr>
          <w:p w14:paraId="22DA2C5B"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177:12</w:t>
            </w:r>
          </w:p>
        </w:tc>
        <w:tc>
          <w:tcPr>
            <w:tcW w:w="745" w:type="dxa"/>
            <w:shd w:val="clear" w:color="auto" w:fill="auto"/>
          </w:tcPr>
          <w:p w14:paraId="26E455C2"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163:25</w:t>
            </w:r>
          </w:p>
        </w:tc>
        <w:tc>
          <w:tcPr>
            <w:tcW w:w="745" w:type="dxa"/>
            <w:shd w:val="clear" w:color="auto" w:fill="auto"/>
          </w:tcPr>
          <w:p w14:paraId="20BABDE2"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137:46</w:t>
            </w:r>
          </w:p>
        </w:tc>
        <w:tc>
          <w:tcPr>
            <w:tcW w:w="752" w:type="dxa"/>
            <w:shd w:val="clear" w:color="auto" w:fill="auto"/>
          </w:tcPr>
          <w:p w14:paraId="371348BD"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105:65</w:t>
            </w:r>
          </w:p>
        </w:tc>
        <w:tc>
          <w:tcPr>
            <w:tcW w:w="745" w:type="dxa"/>
            <w:shd w:val="clear" w:color="auto" w:fill="auto"/>
          </w:tcPr>
          <w:p w14:paraId="79DA58FE" w14:textId="77777777" w:rsidR="00EF4CB3" w:rsidRPr="00961E0F" w:rsidRDefault="00EF4CB3" w:rsidP="00F84278">
            <w:pPr>
              <w:ind w:left="-27"/>
              <w:rPr>
                <w:rFonts w:ascii="Times New Roman" w:hAnsi="Times New Roman"/>
                <w:sz w:val="20"/>
              </w:rPr>
            </w:pPr>
            <w:r w:rsidRPr="00961E0F">
              <w:rPr>
                <w:rFonts w:ascii="Times New Roman" w:hAnsi="Times New Roman"/>
                <w:sz w:val="20"/>
              </w:rPr>
              <w:t>88:72</w:t>
            </w:r>
          </w:p>
        </w:tc>
        <w:tc>
          <w:tcPr>
            <w:tcW w:w="745" w:type="dxa"/>
            <w:shd w:val="clear" w:color="auto" w:fill="auto"/>
          </w:tcPr>
          <w:p w14:paraId="4894FC69" w14:textId="77777777" w:rsidR="00EF4CB3" w:rsidRPr="00961E0F" w:rsidRDefault="00EF4CB3" w:rsidP="00F84278">
            <w:pPr>
              <w:ind w:left="-27"/>
              <w:rPr>
                <w:rFonts w:ascii="Times New Roman" w:hAnsi="Times New Roman"/>
                <w:sz w:val="20"/>
              </w:rPr>
            </w:pPr>
            <w:r w:rsidRPr="00961E0F">
              <w:rPr>
                <w:rFonts w:ascii="Times New Roman" w:hAnsi="Times New Roman"/>
                <w:sz w:val="20"/>
              </w:rPr>
              <w:t>61:77</w:t>
            </w:r>
          </w:p>
        </w:tc>
        <w:tc>
          <w:tcPr>
            <w:tcW w:w="652" w:type="dxa"/>
            <w:shd w:val="clear" w:color="auto" w:fill="auto"/>
          </w:tcPr>
          <w:p w14:paraId="16A436F7" w14:textId="77777777" w:rsidR="00EF4CB3" w:rsidRPr="00961E0F" w:rsidRDefault="00EF4CB3" w:rsidP="00F84278">
            <w:pPr>
              <w:ind w:left="-27"/>
              <w:rPr>
                <w:rFonts w:ascii="Times New Roman" w:hAnsi="Times New Roman"/>
                <w:sz w:val="20"/>
              </w:rPr>
            </w:pPr>
            <w:r w:rsidRPr="00961E0F">
              <w:rPr>
                <w:rFonts w:ascii="Times New Roman" w:hAnsi="Times New Roman"/>
                <w:sz w:val="20"/>
              </w:rPr>
              <w:t>49:81</w:t>
            </w:r>
          </w:p>
        </w:tc>
        <w:tc>
          <w:tcPr>
            <w:tcW w:w="652" w:type="dxa"/>
            <w:shd w:val="clear" w:color="auto" w:fill="auto"/>
          </w:tcPr>
          <w:p w14:paraId="34DD6E02" w14:textId="77777777" w:rsidR="00EF4CB3" w:rsidRPr="00961E0F" w:rsidRDefault="00EF4CB3" w:rsidP="00F84278">
            <w:pPr>
              <w:ind w:left="-27"/>
              <w:rPr>
                <w:rFonts w:ascii="Times New Roman" w:hAnsi="Times New Roman"/>
                <w:sz w:val="20"/>
              </w:rPr>
            </w:pPr>
            <w:r w:rsidRPr="00961E0F">
              <w:rPr>
                <w:rFonts w:ascii="Times New Roman" w:hAnsi="Times New Roman"/>
                <w:sz w:val="20"/>
              </w:rPr>
              <w:t>36:83</w:t>
            </w:r>
          </w:p>
        </w:tc>
        <w:tc>
          <w:tcPr>
            <w:tcW w:w="649" w:type="dxa"/>
            <w:shd w:val="clear" w:color="auto" w:fill="auto"/>
          </w:tcPr>
          <w:p w14:paraId="2DD2191F" w14:textId="77777777" w:rsidR="00EF4CB3" w:rsidRPr="00961E0F" w:rsidRDefault="00EF4CB3" w:rsidP="00F84278">
            <w:pPr>
              <w:ind w:left="-27"/>
              <w:rPr>
                <w:rFonts w:ascii="Times New Roman" w:hAnsi="Times New Roman"/>
                <w:sz w:val="20"/>
              </w:rPr>
            </w:pPr>
            <w:r w:rsidRPr="00961E0F">
              <w:rPr>
                <w:rFonts w:ascii="Times New Roman" w:hAnsi="Times New Roman"/>
                <w:sz w:val="20"/>
              </w:rPr>
              <w:t>27:84</w:t>
            </w:r>
          </w:p>
        </w:tc>
        <w:tc>
          <w:tcPr>
            <w:tcW w:w="660" w:type="dxa"/>
            <w:shd w:val="clear" w:color="auto" w:fill="auto"/>
          </w:tcPr>
          <w:p w14:paraId="701A7E4B"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14:84</w:t>
            </w:r>
          </w:p>
        </w:tc>
        <w:tc>
          <w:tcPr>
            <w:tcW w:w="649" w:type="dxa"/>
            <w:shd w:val="clear" w:color="auto" w:fill="auto"/>
          </w:tcPr>
          <w:p w14:paraId="436C00C0"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10:84</w:t>
            </w:r>
          </w:p>
        </w:tc>
        <w:tc>
          <w:tcPr>
            <w:tcW w:w="564" w:type="dxa"/>
            <w:shd w:val="clear" w:color="auto" w:fill="auto"/>
          </w:tcPr>
          <w:p w14:paraId="2165A92F" w14:textId="77777777" w:rsidR="00EF4CB3" w:rsidRPr="00961E0F" w:rsidRDefault="00EF4CB3" w:rsidP="00F84278">
            <w:pPr>
              <w:ind w:left="-27"/>
              <w:rPr>
                <w:rFonts w:ascii="Times New Roman" w:hAnsi="Times New Roman"/>
                <w:sz w:val="20"/>
              </w:rPr>
            </w:pPr>
            <w:r w:rsidRPr="00961E0F">
              <w:rPr>
                <w:rFonts w:ascii="Times New Roman" w:hAnsi="Times New Roman"/>
                <w:sz w:val="20"/>
              </w:rPr>
              <w:t>2:84</w:t>
            </w:r>
          </w:p>
        </w:tc>
        <w:tc>
          <w:tcPr>
            <w:tcW w:w="555" w:type="dxa"/>
            <w:shd w:val="clear" w:color="auto" w:fill="auto"/>
          </w:tcPr>
          <w:p w14:paraId="541824F9" w14:textId="77777777" w:rsidR="00EF4CB3" w:rsidRPr="00961E0F" w:rsidRDefault="00EF4CB3" w:rsidP="00F84278">
            <w:pPr>
              <w:ind w:left="-27"/>
              <w:rPr>
                <w:rFonts w:ascii="Times New Roman" w:hAnsi="Times New Roman"/>
                <w:sz w:val="20"/>
              </w:rPr>
            </w:pPr>
            <w:r w:rsidRPr="00961E0F">
              <w:rPr>
                <w:rFonts w:ascii="Times New Roman" w:hAnsi="Times New Roman"/>
                <w:sz w:val="20"/>
              </w:rPr>
              <w:t>0:84</w:t>
            </w:r>
          </w:p>
        </w:tc>
      </w:tr>
      <w:tr w:rsidR="00EF4CB3" w:rsidRPr="00961E0F" w14:paraId="3062B7E3" w14:textId="77777777">
        <w:tc>
          <w:tcPr>
            <w:tcW w:w="450" w:type="dxa"/>
            <w:shd w:val="clear" w:color="auto" w:fill="auto"/>
          </w:tcPr>
          <w:p w14:paraId="25746B81" w14:textId="77777777" w:rsidR="00EF4CB3" w:rsidRPr="00961E0F" w:rsidRDefault="00EF4CB3" w:rsidP="00F84278">
            <w:pPr>
              <w:rPr>
                <w:rFonts w:ascii="Times New Roman" w:hAnsi="Times New Roman"/>
                <w:sz w:val="20"/>
              </w:rPr>
            </w:pPr>
            <w:r w:rsidRPr="00961E0F">
              <w:rPr>
                <w:rFonts w:ascii="Times New Roman" w:hAnsi="Times New Roman"/>
                <w:sz w:val="20"/>
              </w:rPr>
              <w:t>(2)</w:t>
            </w:r>
          </w:p>
        </w:tc>
        <w:tc>
          <w:tcPr>
            <w:tcW w:w="646" w:type="dxa"/>
            <w:shd w:val="clear" w:color="auto" w:fill="auto"/>
          </w:tcPr>
          <w:p w14:paraId="7E4D0934"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198:0</w:t>
            </w:r>
          </w:p>
        </w:tc>
        <w:tc>
          <w:tcPr>
            <w:tcW w:w="645" w:type="dxa"/>
            <w:shd w:val="clear" w:color="auto" w:fill="auto"/>
          </w:tcPr>
          <w:p w14:paraId="6C670BD2"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189:5</w:t>
            </w:r>
          </w:p>
        </w:tc>
        <w:tc>
          <w:tcPr>
            <w:tcW w:w="745" w:type="dxa"/>
            <w:shd w:val="clear" w:color="auto" w:fill="auto"/>
          </w:tcPr>
          <w:p w14:paraId="483D61E9"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184:8</w:t>
            </w:r>
          </w:p>
        </w:tc>
        <w:tc>
          <w:tcPr>
            <w:tcW w:w="745" w:type="dxa"/>
            <w:shd w:val="clear" w:color="auto" w:fill="auto"/>
          </w:tcPr>
          <w:p w14:paraId="75E213C3"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181:11</w:t>
            </w:r>
          </w:p>
        </w:tc>
        <w:tc>
          <w:tcPr>
            <w:tcW w:w="745" w:type="dxa"/>
            <w:shd w:val="clear" w:color="auto" w:fill="auto"/>
          </w:tcPr>
          <w:p w14:paraId="7D1D2429"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173:18</w:t>
            </w:r>
          </w:p>
        </w:tc>
        <w:tc>
          <w:tcPr>
            <w:tcW w:w="752" w:type="dxa"/>
            <w:shd w:val="clear" w:color="auto" w:fill="auto"/>
          </w:tcPr>
          <w:p w14:paraId="620130B4"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152:22</w:t>
            </w:r>
          </w:p>
        </w:tc>
        <w:tc>
          <w:tcPr>
            <w:tcW w:w="745" w:type="dxa"/>
            <w:shd w:val="clear" w:color="auto" w:fill="auto"/>
          </w:tcPr>
          <w:p w14:paraId="62B65450"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133:25</w:t>
            </w:r>
          </w:p>
        </w:tc>
        <w:tc>
          <w:tcPr>
            <w:tcW w:w="745" w:type="dxa"/>
            <w:shd w:val="clear" w:color="auto" w:fill="auto"/>
          </w:tcPr>
          <w:p w14:paraId="07CD629F" w14:textId="77777777" w:rsidR="00EF4CB3" w:rsidRPr="00961E0F" w:rsidRDefault="00EF4CB3" w:rsidP="00F84278">
            <w:pPr>
              <w:ind w:left="-27"/>
              <w:rPr>
                <w:rFonts w:ascii="Times New Roman" w:hAnsi="Times New Roman"/>
                <w:sz w:val="20"/>
              </w:rPr>
            </w:pPr>
            <w:r w:rsidRPr="00961E0F">
              <w:rPr>
                <w:rFonts w:ascii="Times New Roman" w:hAnsi="Times New Roman"/>
                <w:sz w:val="20"/>
              </w:rPr>
              <w:t>102:29</w:t>
            </w:r>
          </w:p>
        </w:tc>
        <w:tc>
          <w:tcPr>
            <w:tcW w:w="652" w:type="dxa"/>
            <w:shd w:val="clear" w:color="auto" w:fill="auto"/>
          </w:tcPr>
          <w:p w14:paraId="6D4D3444" w14:textId="77777777" w:rsidR="00EF4CB3" w:rsidRPr="00961E0F" w:rsidRDefault="00EF4CB3" w:rsidP="00F84278">
            <w:pPr>
              <w:ind w:left="-27"/>
              <w:rPr>
                <w:rFonts w:ascii="Times New Roman" w:hAnsi="Times New Roman"/>
                <w:sz w:val="20"/>
              </w:rPr>
            </w:pPr>
            <w:r w:rsidRPr="00961E0F">
              <w:rPr>
                <w:rFonts w:ascii="Times New Roman" w:hAnsi="Times New Roman"/>
                <w:sz w:val="20"/>
              </w:rPr>
              <w:t>82:35</w:t>
            </w:r>
          </w:p>
        </w:tc>
        <w:tc>
          <w:tcPr>
            <w:tcW w:w="652" w:type="dxa"/>
            <w:shd w:val="clear" w:color="auto" w:fill="auto"/>
          </w:tcPr>
          <w:p w14:paraId="45DB11FC" w14:textId="77777777" w:rsidR="00EF4CB3" w:rsidRPr="00961E0F" w:rsidRDefault="00EF4CB3" w:rsidP="00F84278">
            <w:pPr>
              <w:ind w:left="-27"/>
              <w:rPr>
                <w:rFonts w:ascii="Times New Roman" w:hAnsi="Times New Roman"/>
                <w:sz w:val="20"/>
              </w:rPr>
            </w:pPr>
            <w:r w:rsidRPr="00961E0F">
              <w:rPr>
                <w:rFonts w:ascii="Times New Roman" w:hAnsi="Times New Roman"/>
                <w:sz w:val="20"/>
              </w:rPr>
              <w:t>54:46</w:t>
            </w:r>
          </w:p>
        </w:tc>
        <w:tc>
          <w:tcPr>
            <w:tcW w:w="649" w:type="dxa"/>
            <w:shd w:val="clear" w:color="auto" w:fill="auto"/>
          </w:tcPr>
          <w:p w14:paraId="004DBF00" w14:textId="77777777" w:rsidR="00EF4CB3" w:rsidRPr="00961E0F" w:rsidRDefault="00EF4CB3" w:rsidP="00F84278">
            <w:pPr>
              <w:ind w:left="-27"/>
              <w:rPr>
                <w:rFonts w:ascii="Times New Roman" w:hAnsi="Times New Roman"/>
                <w:sz w:val="20"/>
              </w:rPr>
            </w:pPr>
            <w:r w:rsidRPr="00961E0F">
              <w:rPr>
                <w:rFonts w:ascii="Times New Roman" w:hAnsi="Times New Roman"/>
                <w:sz w:val="20"/>
              </w:rPr>
              <w:t>39:47</w:t>
            </w:r>
          </w:p>
        </w:tc>
        <w:tc>
          <w:tcPr>
            <w:tcW w:w="660" w:type="dxa"/>
            <w:shd w:val="clear" w:color="auto" w:fill="auto"/>
          </w:tcPr>
          <w:p w14:paraId="41A51D4B" w14:textId="77777777" w:rsidR="00EF4CB3" w:rsidRPr="00961E0F" w:rsidRDefault="00EF4CB3" w:rsidP="00F84278">
            <w:pPr>
              <w:ind w:left="-27"/>
              <w:rPr>
                <w:rFonts w:ascii="Times New Roman" w:hAnsi="Times New Roman"/>
                <w:sz w:val="20"/>
              </w:rPr>
            </w:pPr>
            <w:r w:rsidRPr="00961E0F">
              <w:rPr>
                <w:rFonts w:ascii="Times New Roman" w:hAnsi="Times New Roman"/>
                <w:sz w:val="20"/>
              </w:rPr>
              <w:t>21:49</w:t>
            </w:r>
          </w:p>
        </w:tc>
        <w:tc>
          <w:tcPr>
            <w:tcW w:w="649" w:type="dxa"/>
            <w:shd w:val="clear" w:color="auto" w:fill="auto"/>
          </w:tcPr>
          <w:p w14:paraId="7661AC39" w14:textId="77777777" w:rsidR="00EF4CB3" w:rsidRPr="00961E0F" w:rsidRDefault="00EF4CB3" w:rsidP="00F84278">
            <w:pPr>
              <w:ind w:left="-27"/>
              <w:rPr>
                <w:rFonts w:ascii="Times New Roman" w:hAnsi="Times New Roman"/>
                <w:sz w:val="20"/>
              </w:rPr>
            </w:pPr>
            <w:r w:rsidRPr="00961E0F">
              <w:rPr>
                <w:rFonts w:ascii="Times New Roman" w:hAnsi="Times New Roman"/>
                <w:sz w:val="20"/>
              </w:rPr>
              <w:t>8:50</w:t>
            </w:r>
          </w:p>
        </w:tc>
        <w:tc>
          <w:tcPr>
            <w:tcW w:w="564" w:type="dxa"/>
            <w:shd w:val="clear" w:color="auto" w:fill="auto"/>
          </w:tcPr>
          <w:p w14:paraId="1C18F71A" w14:textId="77777777" w:rsidR="00EF4CB3" w:rsidRPr="00961E0F" w:rsidRDefault="00EF4CB3" w:rsidP="00F84278">
            <w:pPr>
              <w:ind w:left="-27"/>
              <w:rPr>
                <w:rFonts w:ascii="Times New Roman" w:hAnsi="Times New Roman"/>
                <w:sz w:val="20"/>
              </w:rPr>
            </w:pPr>
            <w:r w:rsidRPr="00961E0F">
              <w:rPr>
                <w:rFonts w:ascii="Times New Roman" w:hAnsi="Times New Roman"/>
                <w:sz w:val="20"/>
              </w:rPr>
              <w:t>0:50</w:t>
            </w:r>
          </w:p>
        </w:tc>
        <w:tc>
          <w:tcPr>
            <w:tcW w:w="555" w:type="dxa"/>
            <w:shd w:val="clear" w:color="auto" w:fill="auto"/>
          </w:tcPr>
          <w:p w14:paraId="04CC659C" w14:textId="77777777" w:rsidR="00EF4CB3" w:rsidRPr="00961E0F" w:rsidRDefault="00EF4CB3" w:rsidP="00F84278">
            <w:pPr>
              <w:ind w:left="-27"/>
              <w:rPr>
                <w:rFonts w:ascii="Times New Roman" w:hAnsi="Times New Roman"/>
                <w:sz w:val="20"/>
              </w:rPr>
            </w:pPr>
          </w:p>
        </w:tc>
      </w:tr>
    </w:tbl>
    <w:p w14:paraId="56354B5E" w14:textId="77777777" w:rsidR="00EF4CB3" w:rsidRPr="00961E0F" w:rsidRDefault="00EF4CB3" w:rsidP="00EF4CB3">
      <w:pPr>
        <w:pStyle w:val="EndnoteText"/>
        <w:widowControl w:val="0"/>
        <w:tabs>
          <w:tab w:val="clear" w:pos="567"/>
        </w:tabs>
        <w:rPr>
          <w:color w:val="000000"/>
          <w:szCs w:val="22"/>
          <w:lang w:val="fr-FR"/>
        </w:rPr>
      </w:pPr>
    </w:p>
    <w:p w14:paraId="55992F10" w14:textId="77777777" w:rsidR="00EF4CB3" w:rsidRPr="00961E0F" w:rsidRDefault="00EF4CB3" w:rsidP="00EF4CB3">
      <w:pPr>
        <w:keepNext/>
        <w:ind w:left="1134" w:hanging="1134"/>
        <w:outlineLvl w:val="6"/>
        <w:rPr>
          <w:rFonts w:ascii="Times New Roman" w:eastAsia="MS Mincho" w:hAnsi="Times New Roman"/>
          <w:b/>
          <w:szCs w:val="22"/>
        </w:rPr>
      </w:pPr>
      <w:r w:rsidRPr="00961E0F">
        <w:rPr>
          <w:rFonts w:ascii="Times New Roman" w:eastAsia="MS Mincho" w:hAnsi="Times New Roman"/>
          <w:b/>
          <w:szCs w:val="22"/>
        </w:rPr>
        <w:lastRenderedPageBreak/>
        <w:t>Figure 2</w:t>
      </w:r>
      <w:r w:rsidRPr="00961E0F">
        <w:rPr>
          <w:rFonts w:ascii="Times New Roman" w:eastAsia="MS Mincho" w:hAnsi="Times New Roman"/>
          <w:b/>
          <w:szCs w:val="22"/>
        </w:rPr>
        <w:tab/>
        <w:t>Estimations de Kaplan-Meier pour la survie globale (population ITT)</w:t>
      </w:r>
    </w:p>
    <w:p w14:paraId="70AF5173" w14:textId="77777777" w:rsidR="00EF4CB3" w:rsidRPr="00961E0F" w:rsidRDefault="00351949" w:rsidP="000A7F49">
      <w:pPr>
        <w:pStyle w:val="EndnoteText"/>
        <w:keepNext/>
        <w:widowControl w:val="0"/>
        <w:tabs>
          <w:tab w:val="clear" w:pos="567"/>
        </w:tabs>
        <w:rPr>
          <w:color w:val="000000"/>
          <w:szCs w:val="22"/>
          <w:lang w:val="fr-FR"/>
        </w:rPr>
      </w:pPr>
      <w:r w:rsidRPr="00961E0F">
        <w:rPr>
          <w:noProof/>
          <w:lang w:val="en-US"/>
        </w:rPr>
        <mc:AlternateContent>
          <mc:Choice Requires="wps">
            <w:drawing>
              <wp:anchor distT="0" distB="0" distL="114300" distR="114300" simplePos="0" relativeHeight="251661312" behindDoc="0" locked="0" layoutInCell="1" allowOverlap="1" wp14:anchorId="5FEE92BF" wp14:editId="5E809A87">
                <wp:simplePos x="0" y="0"/>
                <wp:positionH relativeFrom="column">
                  <wp:posOffset>-293370</wp:posOffset>
                </wp:positionH>
                <wp:positionV relativeFrom="paragraph">
                  <wp:posOffset>122555</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17CD3" w14:textId="77777777" w:rsidR="002D746F" w:rsidRDefault="002D746F" w:rsidP="00EF4CB3">
                            <w:pPr>
                              <w:rPr>
                                <w:rFonts w:ascii="Arial" w:hAnsi="Arial" w:cs="Arial"/>
                                <w:sz w:val="20"/>
                              </w:rPr>
                            </w:pPr>
                            <w:r>
                              <w:rPr>
                                <w:rFonts w:ascii="Arial" w:hAnsi="Arial" w:cs="Arial"/>
                                <w:sz w:val="20"/>
                              </w:rPr>
                              <w:t>Probabilité de survie globale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E92BF" id="_x0000_s1035" type="#_x0000_t202" style="position:absolute;margin-left:-23.1pt;margin-top:9.6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" stroked="f">
                <v:fill opacity="0"/>
                <v:textbox style="layout-flow:vertical;mso-layout-flow-alt:bottom-to-top">
                  <w:txbxContent>
                    <w:p w14:paraId="47717CD3" w14:textId="77777777" w:rsidR="002D746F" w:rsidRDefault="002D746F" w:rsidP="00EF4CB3">
                      <w:pPr>
                        <w:rPr>
                          <w:rFonts w:ascii="Arial" w:hAnsi="Arial" w:cs="Arial"/>
                          <w:sz w:val="20"/>
                        </w:rPr>
                      </w:pPr>
                      <w:r>
                        <w:rPr>
                          <w:rFonts w:ascii="Arial" w:hAnsi="Arial" w:cs="Arial"/>
                          <w:sz w:val="20"/>
                        </w:rPr>
                        <w:t>Probabilité de survie globale</w:t>
                      </w:r>
                    </w:p>
                  </w:txbxContent>
                </v:textbox>
              </v:shape>
            </w:pict>
          </mc:Fallback>
        </mc:AlternateContent>
      </w:r>
    </w:p>
    <w:p w14:paraId="10D4A46A" w14:textId="77777777" w:rsidR="00EF4CB3" w:rsidRPr="00961E0F" w:rsidRDefault="00351949" w:rsidP="00EF4CB3">
      <w:pPr>
        <w:pStyle w:val="EndnoteText"/>
        <w:widowControl w:val="0"/>
        <w:tabs>
          <w:tab w:val="clear" w:pos="567"/>
        </w:tabs>
        <w:rPr>
          <w:color w:val="000000"/>
          <w:szCs w:val="22"/>
          <w:lang w:val="fr-FR"/>
        </w:rPr>
      </w:pPr>
      <w:r w:rsidRPr="00961E0F">
        <w:rPr>
          <w:noProof/>
          <w:color w:val="000000"/>
          <w:szCs w:val="22"/>
          <w:lang w:val="en-US"/>
        </w:rPr>
        <mc:AlternateContent>
          <mc:Choice Requires="wps">
            <w:drawing>
              <wp:anchor distT="0" distB="0" distL="114300" distR="114300" simplePos="0" relativeHeight="251663360" behindDoc="0" locked="0" layoutInCell="1" allowOverlap="1" wp14:anchorId="06B51187" wp14:editId="6B6E0B68">
                <wp:simplePos x="0" y="0"/>
                <wp:positionH relativeFrom="column">
                  <wp:posOffset>2186940</wp:posOffset>
                </wp:positionH>
                <wp:positionV relativeFrom="paragraph">
                  <wp:posOffset>2646045</wp:posOffset>
                </wp:positionV>
                <wp:extent cx="1619250" cy="3238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47AE6" w14:textId="77777777" w:rsidR="002D746F" w:rsidRDefault="002D746F" w:rsidP="00EF4CB3">
                            <w:pPr>
                              <w:rPr>
                                <w:rFonts w:ascii="Arial" w:hAnsi="Arial" w:cs="Arial"/>
                                <w:sz w:val="20"/>
                              </w:rPr>
                            </w:pPr>
                            <w:r>
                              <w:rPr>
                                <w:rFonts w:ascii="Arial" w:hAnsi="Arial" w:cs="Arial"/>
                                <w:sz w:val="20"/>
                                <w:lang w:val="de-DE"/>
                              </w:rPr>
                              <w:t>Délai de survie en mois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B51187" id="_x0000_s1036" type="#_x0000_t202" style="position:absolute;margin-left:172.2pt;margin-top:208.35pt;width:12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" stroked="f">
                <v:fill opacity="0"/>
                <v:textbox>
                  <w:txbxContent>
                    <w:p w14:paraId="79D47AE6" w14:textId="77777777" w:rsidR="002D746F" w:rsidRDefault="002D746F" w:rsidP="00EF4CB3">
                      <w:pPr>
                        <w:rPr>
                          <w:rFonts w:ascii="Arial" w:hAnsi="Arial" w:cs="Arial"/>
                          <w:sz w:val="20"/>
                        </w:rPr>
                      </w:pPr>
                      <w:r>
                        <w:rPr>
                          <w:rFonts w:ascii="Arial" w:hAnsi="Arial" w:cs="Arial"/>
                          <w:sz w:val="20"/>
                          <w:lang w:val="de-DE"/>
                        </w:rPr>
                        <w:t>Délai de survie en mois</w:t>
                      </w:r>
                    </w:p>
                  </w:txbxContent>
                </v:textbox>
              </v:shape>
            </w:pict>
          </mc:Fallback>
        </mc:AlternateContent>
      </w:r>
      <w:r w:rsidRPr="00961E0F">
        <w:rPr>
          <w:noProof/>
          <w:lang w:val="en-US"/>
        </w:rPr>
        <mc:AlternateContent>
          <mc:Choice Requires="wps">
            <w:drawing>
              <wp:anchor distT="0" distB="0" distL="114300" distR="114300" simplePos="0" relativeHeight="251662336" behindDoc="0" locked="0" layoutInCell="1" allowOverlap="1" wp14:anchorId="77B88ACA" wp14:editId="7DB16AE1">
                <wp:simplePos x="0" y="0"/>
                <wp:positionH relativeFrom="column">
                  <wp:posOffset>340995</wp:posOffset>
                </wp:positionH>
                <wp:positionV relativeFrom="paragraph">
                  <wp:posOffset>899160</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CA5E2" w14:textId="77777777" w:rsidR="002D746F" w:rsidRDefault="002D746F" w:rsidP="00EF4CB3">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2D746F" w14:paraId="03F62206" w14:textId="77777777">
                              <w:tc>
                                <w:tcPr>
                                  <w:tcW w:w="5691" w:type="dxa"/>
                                  <w:gridSpan w:val="5"/>
                                  <w:shd w:val="clear" w:color="auto" w:fill="auto"/>
                                </w:tcPr>
                                <w:p w14:paraId="18F4861A" w14:textId="77777777" w:rsidR="002D746F" w:rsidRDefault="002D746F">
                                  <w:pPr>
                                    <w:rPr>
                                      <w:rFonts w:ascii="Arial" w:hAnsi="Arial" w:cs="Arial"/>
                                      <w:sz w:val="20"/>
                                      <w:lang w:val="en-US"/>
                                    </w:rPr>
                                  </w:pPr>
                                  <w:r>
                                    <w:rPr>
                                      <w:rFonts w:ascii="Arial" w:hAnsi="Arial" w:cs="Arial"/>
                                      <w:sz w:val="20"/>
                                      <w:lang w:val="en-US"/>
                                    </w:rPr>
                                    <w:t>P = 0,019</w:t>
                                  </w:r>
                                </w:p>
                                <w:p w14:paraId="77C9535B" w14:textId="77777777" w:rsidR="002D746F" w:rsidRDefault="002D746F">
                                  <w:pPr>
                                    <w:rPr>
                                      <w:rFonts w:ascii="Arial" w:hAnsi="Arial" w:cs="Arial"/>
                                      <w:sz w:val="20"/>
                                      <w:lang w:val="en-US"/>
                                    </w:rPr>
                                  </w:pPr>
                                  <w:r>
                                    <w:rPr>
                                      <w:rFonts w:ascii="Arial" w:hAnsi="Arial" w:cs="Arial"/>
                                      <w:sz w:val="20"/>
                                      <w:lang w:val="en-US"/>
                                    </w:rPr>
                                    <w:t>Hazard ratio 0,45</w:t>
                                  </w:r>
                                </w:p>
                                <w:p w14:paraId="018FC7F1" w14:textId="77777777" w:rsidR="002D746F" w:rsidRDefault="002D746F">
                                  <w:pPr>
                                    <w:rPr>
                                      <w:rFonts w:ascii="Arial" w:hAnsi="Arial" w:cs="Arial"/>
                                      <w:sz w:val="20"/>
                                      <w:lang w:val="de-DE"/>
                                    </w:rPr>
                                  </w:pPr>
                                  <w:r>
                                    <w:rPr>
                                      <w:rFonts w:ascii="Arial" w:hAnsi="Arial" w:cs="Arial"/>
                                      <w:sz w:val="20"/>
                                      <w:lang w:val="en-US"/>
                                    </w:rPr>
                                    <w:t>(95% IC, 0,22</w:t>
                                  </w:r>
                                  <w:r>
                                    <w:rPr>
                                      <w:rFonts w:ascii="Arial" w:hAnsi="Arial" w:cs="Arial"/>
                                      <w:sz w:val="20"/>
                                      <w:lang w:val="en-US"/>
                                    </w:rPr>
                                    <w:noBreakHyphen/>
                                    <w:t>0,89)</w:t>
                                  </w:r>
                                </w:p>
                              </w:tc>
                            </w:tr>
                            <w:tr w:rsidR="002D746F" w14:paraId="6C8DF673" w14:textId="77777777">
                              <w:tc>
                                <w:tcPr>
                                  <w:tcW w:w="817" w:type="dxa"/>
                                  <w:shd w:val="clear" w:color="auto" w:fill="auto"/>
                                </w:tcPr>
                                <w:p w14:paraId="1483FFDF" w14:textId="77777777" w:rsidR="002D746F" w:rsidRDefault="002D746F">
                                  <w:pPr>
                                    <w:rPr>
                                      <w:rFonts w:ascii="Arial" w:hAnsi="Arial" w:cs="Arial"/>
                                      <w:sz w:val="20"/>
                                    </w:rPr>
                                  </w:pPr>
                                </w:p>
                              </w:tc>
                              <w:tc>
                                <w:tcPr>
                                  <w:tcW w:w="2464" w:type="dxa"/>
                                  <w:shd w:val="clear" w:color="auto" w:fill="auto"/>
                                </w:tcPr>
                                <w:p w14:paraId="26FBDC1F"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27385E1F"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387F948B"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117264B4" w14:textId="77777777" w:rsidR="002D746F" w:rsidRDefault="002D746F">
                                  <w:pPr>
                                    <w:rPr>
                                      <w:rFonts w:ascii="Arial" w:hAnsi="Arial" w:cs="Arial"/>
                                      <w:sz w:val="20"/>
                                    </w:rPr>
                                  </w:pPr>
                                  <w:r>
                                    <w:rPr>
                                      <w:rFonts w:ascii="Arial" w:hAnsi="Arial" w:cs="Arial"/>
                                      <w:sz w:val="20"/>
                                      <w:lang w:val="de-DE"/>
                                    </w:rPr>
                                    <w:t>Cen</w:t>
                                  </w:r>
                                </w:p>
                              </w:tc>
                            </w:tr>
                            <w:tr w:rsidR="002D746F" w14:paraId="3417FFD3" w14:textId="77777777">
                              <w:tc>
                                <w:tcPr>
                                  <w:tcW w:w="817" w:type="dxa"/>
                                  <w:shd w:val="clear" w:color="auto" w:fill="auto"/>
                                </w:tcPr>
                                <w:p w14:paraId="1D34884D"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035DA275"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3A2E039F"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124DCF8B" w14:textId="77777777" w:rsidR="002D746F" w:rsidRDefault="002D746F">
                                  <w:pPr>
                                    <w:rPr>
                                      <w:rFonts w:ascii="Arial" w:hAnsi="Arial" w:cs="Arial"/>
                                      <w:sz w:val="20"/>
                                    </w:rPr>
                                  </w:pPr>
                                  <w:r>
                                    <w:rPr>
                                      <w:rFonts w:ascii="Arial" w:hAnsi="Arial" w:cs="Arial"/>
                                      <w:sz w:val="20"/>
                                    </w:rPr>
                                    <w:t>25</w:t>
                                  </w:r>
                                </w:p>
                              </w:tc>
                              <w:tc>
                                <w:tcPr>
                                  <w:tcW w:w="850" w:type="dxa"/>
                                  <w:tcBorders>
                                    <w:top w:val="single" w:sz="4" w:space="0" w:color="auto"/>
                                  </w:tcBorders>
                                  <w:shd w:val="clear" w:color="auto" w:fill="auto"/>
                                </w:tcPr>
                                <w:p w14:paraId="4E1FC6BC" w14:textId="77777777" w:rsidR="002D746F" w:rsidRDefault="002D746F">
                                  <w:pPr>
                                    <w:rPr>
                                      <w:rFonts w:ascii="Arial" w:hAnsi="Arial" w:cs="Arial"/>
                                      <w:sz w:val="20"/>
                                    </w:rPr>
                                  </w:pPr>
                                  <w:r>
                                    <w:rPr>
                                      <w:rFonts w:ascii="Arial" w:hAnsi="Arial" w:cs="Arial"/>
                                      <w:sz w:val="20"/>
                                    </w:rPr>
                                    <w:t>174</w:t>
                                  </w:r>
                                </w:p>
                              </w:tc>
                            </w:tr>
                            <w:tr w:rsidR="002D746F" w14:paraId="735D47A0" w14:textId="77777777">
                              <w:tc>
                                <w:tcPr>
                                  <w:tcW w:w="817" w:type="dxa"/>
                                  <w:shd w:val="clear" w:color="auto" w:fill="auto"/>
                                </w:tcPr>
                                <w:p w14:paraId="17BE2037"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3E69A4B"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70BA37EA"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32FFF1D6" w14:textId="77777777" w:rsidR="002D746F" w:rsidRDefault="002D746F">
                                  <w:pPr>
                                    <w:rPr>
                                      <w:rFonts w:ascii="Arial" w:hAnsi="Arial" w:cs="Arial"/>
                                      <w:sz w:val="20"/>
                                    </w:rPr>
                                  </w:pPr>
                                  <w:r>
                                    <w:rPr>
                                      <w:rFonts w:ascii="Arial" w:hAnsi="Arial" w:cs="Arial"/>
                                      <w:sz w:val="20"/>
                                    </w:rPr>
                                    <w:t>12</w:t>
                                  </w:r>
                                </w:p>
                              </w:tc>
                              <w:tc>
                                <w:tcPr>
                                  <w:tcW w:w="850" w:type="dxa"/>
                                  <w:tcBorders>
                                    <w:bottom w:val="single" w:sz="4" w:space="0" w:color="auto"/>
                                  </w:tcBorders>
                                  <w:shd w:val="clear" w:color="auto" w:fill="auto"/>
                                </w:tcPr>
                                <w:p w14:paraId="1FED72E4" w14:textId="77777777" w:rsidR="002D746F" w:rsidRDefault="002D746F">
                                  <w:pPr>
                                    <w:rPr>
                                      <w:rFonts w:ascii="Arial" w:hAnsi="Arial" w:cs="Arial"/>
                                      <w:sz w:val="20"/>
                                    </w:rPr>
                                  </w:pPr>
                                  <w:r>
                                    <w:rPr>
                                      <w:rFonts w:ascii="Arial" w:hAnsi="Arial" w:cs="Arial"/>
                                      <w:sz w:val="20"/>
                                    </w:rPr>
                                    <w:t>186</w:t>
                                  </w:r>
                                </w:p>
                              </w:tc>
                            </w:tr>
                            <w:tr w:rsidR="002D746F" w14:paraId="261A8DD8" w14:textId="77777777">
                              <w:tc>
                                <w:tcPr>
                                  <w:tcW w:w="817" w:type="dxa"/>
                                  <w:shd w:val="clear" w:color="auto" w:fill="auto"/>
                                </w:tcPr>
                                <w:p w14:paraId="5C91CB2C"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02C2F2C"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1A1AA32C"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0AF28FF3"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16892343" w14:textId="77777777" w:rsidR="002D746F" w:rsidRDefault="002D746F">
                                  <w:pPr>
                                    <w:rPr>
                                      <w:rFonts w:ascii="Arial" w:hAnsi="Arial" w:cs="Arial"/>
                                      <w:sz w:val="20"/>
                                    </w:rPr>
                                  </w:pPr>
                                </w:p>
                              </w:tc>
                            </w:tr>
                          </w:tbl>
                          <w:p w14:paraId="63C05C67" w14:textId="77777777" w:rsidR="002D746F" w:rsidRDefault="002D746F" w:rsidP="00EF4CB3">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88ACA" id="_x0000_s1037" type="#_x0000_t202" style="position:absolute;margin-left:26.85pt;margin-top:70.8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" filled="f" stroked="f">
                <v:textbox>
                  <w:txbxContent>
                    <w:p w14:paraId="107CA5E2" w14:textId="77777777" w:rsidR="002D746F" w:rsidRDefault="002D746F" w:rsidP="00EF4CB3">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2D746F" w14:paraId="03F62206" w14:textId="77777777">
                        <w:tc>
                          <w:tcPr>
                            <w:tcW w:w="5691" w:type="dxa"/>
                            <w:gridSpan w:val="5"/>
                            <w:shd w:val="clear" w:color="auto" w:fill="auto"/>
                          </w:tcPr>
                          <w:p w14:paraId="18F4861A" w14:textId="77777777" w:rsidR="002D746F" w:rsidRDefault="002D746F">
                            <w:pPr>
                              <w:rPr>
                                <w:rFonts w:ascii="Arial" w:hAnsi="Arial" w:cs="Arial"/>
                                <w:sz w:val="20"/>
                                <w:lang w:val="en-US"/>
                              </w:rPr>
                            </w:pPr>
                            <w:r>
                              <w:rPr>
                                <w:rFonts w:ascii="Arial" w:hAnsi="Arial" w:cs="Arial"/>
                                <w:sz w:val="20"/>
                                <w:lang w:val="en-US"/>
                              </w:rPr>
                              <w:t>P = 0,019</w:t>
                            </w:r>
                          </w:p>
                          <w:p w14:paraId="77C9535B" w14:textId="77777777" w:rsidR="002D746F" w:rsidRDefault="002D746F">
                            <w:pPr>
                              <w:rPr>
                                <w:rFonts w:ascii="Arial" w:hAnsi="Arial" w:cs="Arial"/>
                                <w:sz w:val="20"/>
                                <w:lang w:val="en-US"/>
                              </w:rPr>
                            </w:pPr>
                            <w:r>
                              <w:rPr>
                                <w:rFonts w:ascii="Arial" w:hAnsi="Arial" w:cs="Arial"/>
                                <w:sz w:val="20"/>
                                <w:lang w:val="en-US"/>
                              </w:rPr>
                              <w:t>Hazard ratio 0,45</w:t>
                            </w:r>
                          </w:p>
                          <w:p w14:paraId="018FC7F1" w14:textId="77777777" w:rsidR="002D746F" w:rsidRDefault="002D746F">
                            <w:pPr>
                              <w:rPr>
                                <w:rFonts w:ascii="Arial" w:hAnsi="Arial" w:cs="Arial"/>
                                <w:sz w:val="20"/>
                                <w:lang w:val="de-DE"/>
                              </w:rPr>
                            </w:pPr>
                            <w:r>
                              <w:rPr>
                                <w:rFonts w:ascii="Arial" w:hAnsi="Arial" w:cs="Arial"/>
                                <w:sz w:val="20"/>
                                <w:lang w:val="en-US"/>
                              </w:rPr>
                              <w:t>(95% IC, 0,22</w:t>
                            </w:r>
                            <w:r>
                              <w:rPr>
                                <w:rFonts w:ascii="Arial" w:hAnsi="Arial" w:cs="Arial"/>
                                <w:sz w:val="20"/>
                                <w:lang w:val="en-US"/>
                              </w:rPr>
                              <w:noBreakHyphen/>
                              <w:t>0,89)</w:t>
                            </w:r>
                          </w:p>
                        </w:tc>
                      </w:tr>
                      <w:tr w:rsidR="002D746F" w14:paraId="6C8DF673" w14:textId="77777777">
                        <w:tc>
                          <w:tcPr>
                            <w:tcW w:w="817" w:type="dxa"/>
                            <w:shd w:val="clear" w:color="auto" w:fill="auto"/>
                          </w:tcPr>
                          <w:p w14:paraId="1483FFDF" w14:textId="77777777" w:rsidR="002D746F" w:rsidRDefault="002D746F">
                            <w:pPr>
                              <w:rPr>
                                <w:rFonts w:ascii="Arial" w:hAnsi="Arial" w:cs="Arial"/>
                                <w:sz w:val="20"/>
                              </w:rPr>
                            </w:pPr>
                          </w:p>
                        </w:tc>
                        <w:tc>
                          <w:tcPr>
                            <w:tcW w:w="2464" w:type="dxa"/>
                            <w:shd w:val="clear" w:color="auto" w:fill="auto"/>
                          </w:tcPr>
                          <w:p w14:paraId="26FBDC1F" w14:textId="77777777" w:rsidR="002D746F" w:rsidRDefault="002D746F">
                            <w:pPr>
                              <w:rPr>
                                <w:rFonts w:ascii="Arial" w:hAnsi="Arial" w:cs="Arial"/>
                                <w:sz w:val="20"/>
                              </w:rPr>
                            </w:pPr>
                          </w:p>
                        </w:tc>
                        <w:tc>
                          <w:tcPr>
                            <w:tcW w:w="851" w:type="dxa"/>
                            <w:tcBorders>
                              <w:bottom w:val="single" w:sz="4" w:space="0" w:color="auto"/>
                            </w:tcBorders>
                            <w:shd w:val="clear" w:color="auto" w:fill="auto"/>
                          </w:tcPr>
                          <w:p w14:paraId="27385E1F" w14:textId="77777777" w:rsidR="002D746F" w:rsidRDefault="002D746F">
                            <w:pPr>
                              <w:rPr>
                                <w:rFonts w:ascii="Arial" w:hAnsi="Arial" w:cs="Arial"/>
                                <w:sz w:val="20"/>
                              </w:rPr>
                            </w:pPr>
                            <w:r>
                              <w:rPr>
                                <w:rFonts w:ascii="Arial" w:hAnsi="Arial" w:cs="Arial"/>
                                <w:sz w:val="20"/>
                                <w:lang w:val="de-DE"/>
                              </w:rPr>
                              <w:t>N</w:t>
                            </w:r>
                          </w:p>
                        </w:tc>
                        <w:tc>
                          <w:tcPr>
                            <w:tcW w:w="709" w:type="dxa"/>
                            <w:tcBorders>
                              <w:bottom w:val="single" w:sz="4" w:space="0" w:color="auto"/>
                            </w:tcBorders>
                            <w:shd w:val="clear" w:color="auto" w:fill="auto"/>
                          </w:tcPr>
                          <w:p w14:paraId="387F948B" w14:textId="77777777" w:rsidR="002D746F" w:rsidRDefault="002D746F">
                            <w:pPr>
                              <w:rPr>
                                <w:rFonts w:ascii="Arial" w:hAnsi="Arial" w:cs="Arial"/>
                                <w:sz w:val="20"/>
                              </w:rPr>
                            </w:pPr>
                            <w:r>
                              <w:rPr>
                                <w:rFonts w:ascii="Arial" w:hAnsi="Arial" w:cs="Arial"/>
                                <w:sz w:val="20"/>
                                <w:lang w:val="de-DE"/>
                              </w:rPr>
                              <w:t>Evt</w:t>
                            </w:r>
                          </w:p>
                        </w:tc>
                        <w:tc>
                          <w:tcPr>
                            <w:tcW w:w="850" w:type="dxa"/>
                            <w:tcBorders>
                              <w:bottom w:val="single" w:sz="4" w:space="0" w:color="auto"/>
                            </w:tcBorders>
                            <w:shd w:val="clear" w:color="auto" w:fill="auto"/>
                          </w:tcPr>
                          <w:p w14:paraId="117264B4" w14:textId="77777777" w:rsidR="002D746F" w:rsidRDefault="002D746F">
                            <w:pPr>
                              <w:rPr>
                                <w:rFonts w:ascii="Arial" w:hAnsi="Arial" w:cs="Arial"/>
                                <w:sz w:val="20"/>
                              </w:rPr>
                            </w:pPr>
                            <w:r>
                              <w:rPr>
                                <w:rFonts w:ascii="Arial" w:hAnsi="Arial" w:cs="Arial"/>
                                <w:sz w:val="20"/>
                                <w:lang w:val="de-DE"/>
                              </w:rPr>
                              <w:t>Cen</w:t>
                            </w:r>
                          </w:p>
                        </w:tc>
                      </w:tr>
                      <w:tr w:rsidR="002D746F" w14:paraId="3417FFD3" w14:textId="77777777">
                        <w:tc>
                          <w:tcPr>
                            <w:tcW w:w="817" w:type="dxa"/>
                            <w:shd w:val="clear" w:color="auto" w:fill="auto"/>
                          </w:tcPr>
                          <w:p w14:paraId="1D34884D" w14:textId="77777777" w:rsidR="002D746F" w:rsidRDefault="002D746F">
                            <w:pPr>
                              <w:rPr>
                                <w:rFonts w:ascii="Arial" w:hAnsi="Arial" w:cs="Arial"/>
                                <w:sz w:val="20"/>
                              </w:rPr>
                            </w:pPr>
                            <w:r>
                              <w:rPr>
                                <w:rFonts w:ascii="Arial" w:hAnsi="Arial" w:cs="Arial"/>
                                <w:b/>
                                <w:sz w:val="20"/>
                              </w:rPr>
                              <w:t>——</w:t>
                            </w:r>
                          </w:p>
                        </w:tc>
                        <w:tc>
                          <w:tcPr>
                            <w:tcW w:w="2464" w:type="dxa"/>
                            <w:shd w:val="clear" w:color="auto" w:fill="auto"/>
                          </w:tcPr>
                          <w:p w14:paraId="035DA275" w14:textId="77777777" w:rsidR="002D746F" w:rsidRDefault="002D746F">
                            <w:pPr>
                              <w:rPr>
                                <w:rFonts w:ascii="Arial" w:hAnsi="Arial" w:cs="Arial"/>
                                <w:sz w:val="20"/>
                              </w:rPr>
                            </w:pPr>
                            <w:r>
                              <w:rPr>
                                <w:rFonts w:ascii="Arial" w:hAnsi="Arial" w:cs="Arial"/>
                                <w:sz w:val="20"/>
                              </w:rPr>
                              <w:t>(1) Imatinib 12 mois :</w:t>
                            </w:r>
                          </w:p>
                        </w:tc>
                        <w:tc>
                          <w:tcPr>
                            <w:tcW w:w="851" w:type="dxa"/>
                            <w:tcBorders>
                              <w:top w:val="single" w:sz="4" w:space="0" w:color="auto"/>
                            </w:tcBorders>
                            <w:shd w:val="clear" w:color="auto" w:fill="auto"/>
                          </w:tcPr>
                          <w:p w14:paraId="3A2E039F" w14:textId="77777777" w:rsidR="002D746F" w:rsidRDefault="002D746F">
                            <w:pPr>
                              <w:rPr>
                                <w:rFonts w:ascii="Arial" w:hAnsi="Arial" w:cs="Arial"/>
                                <w:sz w:val="20"/>
                              </w:rPr>
                            </w:pPr>
                            <w:r>
                              <w:rPr>
                                <w:rFonts w:ascii="Arial" w:hAnsi="Arial" w:cs="Arial"/>
                                <w:sz w:val="20"/>
                              </w:rPr>
                              <w:t>199</w:t>
                            </w:r>
                          </w:p>
                        </w:tc>
                        <w:tc>
                          <w:tcPr>
                            <w:tcW w:w="709" w:type="dxa"/>
                            <w:tcBorders>
                              <w:top w:val="single" w:sz="4" w:space="0" w:color="auto"/>
                            </w:tcBorders>
                            <w:shd w:val="clear" w:color="auto" w:fill="auto"/>
                          </w:tcPr>
                          <w:p w14:paraId="124DCF8B" w14:textId="77777777" w:rsidR="002D746F" w:rsidRDefault="002D746F">
                            <w:pPr>
                              <w:rPr>
                                <w:rFonts w:ascii="Arial" w:hAnsi="Arial" w:cs="Arial"/>
                                <w:sz w:val="20"/>
                              </w:rPr>
                            </w:pPr>
                            <w:r>
                              <w:rPr>
                                <w:rFonts w:ascii="Arial" w:hAnsi="Arial" w:cs="Arial"/>
                                <w:sz w:val="20"/>
                              </w:rPr>
                              <w:t>25</w:t>
                            </w:r>
                          </w:p>
                        </w:tc>
                        <w:tc>
                          <w:tcPr>
                            <w:tcW w:w="850" w:type="dxa"/>
                            <w:tcBorders>
                              <w:top w:val="single" w:sz="4" w:space="0" w:color="auto"/>
                            </w:tcBorders>
                            <w:shd w:val="clear" w:color="auto" w:fill="auto"/>
                          </w:tcPr>
                          <w:p w14:paraId="4E1FC6BC" w14:textId="77777777" w:rsidR="002D746F" w:rsidRDefault="002D746F">
                            <w:pPr>
                              <w:rPr>
                                <w:rFonts w:ascii="Arial" w:hAnsi="Arial" w:cs="Arial"/>
                                <w:sz w:val="20"/>
                              </w:rPr>
                            </w:pPr>
                            <w:r>
                              <w:rPr>
                                <w:rFonts w:ascii="Arial" w:hAnsi="Arial" w:cs="Arial"/>
                                <w:sz w:val="20"/>
                              </w:rPr>
                              <w:t>174</w:t>
                            </w:r>
                          </w:p>
                        </w:tc>
                      </w:tr>
                      <w:tr w:rsidR="002D746F" w14:paraId="735D47A0" w14:textId="77777777">
                        <w:tc>
                          <w:tcPr>
                            <w:tcW w:w="817" w:type="dxa"/>
                            <w:shd w:val="clear" w:color="auto" w:fill="auto"/>
                          </w:tcPr>
                          <w:p w14:paraId="17BE2037"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73E69A4B" w14:textId="77777777" w:rsidR="002D746F" w:rsidRDefault="002D746F">
                            <w:pPr>
                              <w:rPr>
                                <w:rFonts w:ascii="Arial" w:hAnsi="Arial" w:cs="Arial"/>
                                <w:sz w:val="20"/>
                              </w:rPr>
                            </w:pPr>
                            <w:r>
                              <w:rPr>
                                <w:rFonts w:ascii="Arial" w:hAnsi="Arial" w:cs="Arial"/>
                                <w:sz w:val="20"/>
                              </w:rPr>
                              <w:t>(2) Imatinib 36 mois :</w:t>
                            </w:r>
                          </w:p>
                        </w:tc>
                        <w:tc>
                          <w:tcPr>
                            <w:tcW w:w="851" w:type="dxa"/>
                            <w:tcBorders>
                              <w:bottom w:val="single" w:sz="4" w:space="0" w:color="auto"/>
                            </w:tcBorders>
                            <w:shd w:val="clear" w:color="auto" w:fill="auto"/>
                          </w:tcPr>
                          <w:p w14:paraId="70BA37EA" w14:textId="77777777" w:rsidR="002D746F" w:rsidRDefault="002D746F">
                            <w:pPr>
                              <w:rPr>
                                <w:rFonts w:ascii="Arial" w:hAnsi="Arial" w:cs="Arial"/>
                                <w:sz w:val="20"/>
                              </w:rPr>
                            </w:pPr>
                            <w:r>
                              <w:rPr>
                                <w:rFonts w:ascii="Arial" w:hAnsi="Arial" w:cs="Arial"/>
                                <w:sz w:val="20"/>
                              </w:rPr>
                              <w:t>198</w:t>
                            </w:r>
                          </w:p>
                        </w:tc>
                        <w:tc>
                          <w:tcPr>
                            <w:tcW w:w="709" w:type="dxa"/>
                            <w:tcBorders>
                              <w:bottom w:val="single" w:sz="4" w:space="0" w:color="auto"/>
                            </w:tcBorders>
                            <w:shd w:val="clear" w:color="auto" w:fill="auto"/>
                          </w:tcPr>
                          <w:p w14:paraId="32FFF1D6" w14:textId="77777777" w:rsidR="002D746F" w:rsidRDefault="002D746F">
                            <w:pPr>
                              <w:rPr>
                                <w:rFonts w:ascii="Arial" w:hAnsi="Arial" w:cs="Arial"/>
                                <w:sz w:val="20"/>
                              </w:rPr>
                            </w:pPr>
                            <w:r>
                              <w:rPr>
                                <w:rFonts w:ascii="Arial" w:hAnsi="Arial" w:cs="Arial"/>
                                <w:sz w:val="20"/>
                              </w:rPr>
                              <w:t>12</w:t>
                            </w:r>
                          </w:p>
                        </w:tc>
                        <w:tc>
                          <w:tcPr>
                            <w:tcW w:w="850" w:type="dxa"/>
                            <w:tcBorders>
                              <w:bottom w:val="single" w:sz="4" w:space="0" w:color="auto"/>
                            </w:tcBorders>
                            <w:shd w:val="clear" w:color="auto" w:fill="auto"/>
                          </w:tcPr>
                          <w:p w14:paraId="1FED72E4" w14:textId="77777777" w:rsidR="002D746F" w:rsidRDefault="002D746F">
                            <w:pPr>
                              <w:rPr>
                                <w:rFonts w:ascii="Arial" w:hAnsi="Arial" w:cs="Arial"/>
                                <w:sz w:val="20"/>
                              </w:rPr>
                            </w:pPr>
                            <w:r>
                              <w:rPr>
                                <w:rFonts w:ascii="Arial" w:hAnsi="Arial" w:cs="Arial"/>
                                <w:sz w:val="20"/>
                              </w:rPr>
                              <w:t>186</w:t>
                            </w:r>
                          </w:p>
                        </w:tc>
                      </w:tr>
                      <w:tr w:rsidR="002D746F" w14:paraId="261A8DD8" w14:textId="77777777">
                        <w:tc>
                          <w:tcPr>
                            <w:tcW w:w="817" w:type="dxa"/>
                            <w:shd w:val="clear" w:color="auto" w:fill="auto"/>
                          </w:tcPr>
                          <w:p w14:paraId="5C91CB2C" w14:textId="77777777" w:rsidR="002D746F" w:rsidRDefault="002D746F">
                            <w:pPr>
                              <w:rPr>
                                <w:rFonts w:ascii="Arial" w:hAnsi="Arial" w:cs="Arial"/>
                                <w:sz w:val="20"/>
                              </w:rPr>
                            </w:pPr>
                            <w:r>
                              <w:rPr>
                                <w:rFonts w:ascii="Arial" w:hAnsi="Arial" w:cs="Arial"/>
                                <w:sz w:val="20"/>
                              </w:rPr>
                              <w:t>│││</w:t>
                            </w:r>
                          </w:p>
                        </w:tc>
                        <w:tc>
                          <w:tcPr>
                            <w:tcW w:w="2464" w:type="dxa"/>
                            <w:shd w:val="clear" w:color="auto" w:fill="auto"/>
                          </w:tcPr>
                          <w:p w14:paraId="602C2F2C" w14:textId="77777777" w:rsidR="002D746F" w:rsidRDefault="002D746F">
                            <w:pPr>
                              <w:rPr>
                                <w:rFonts w:ascii="Arial" w:hAnsi="Arial" w:cs="Arial"/>
                                <w:sz w:val="20"/>
                              </w:rPr>
                            </w:pPr>
                            <w:r>
                              <w:rPr>
                                <w:rFonts w:ascii="Arial" w:hAnsi="Arial" w:cs="Arial"/>
                                <w:sz w:val="20"/>
                              </w:rPr>
                              <w:t>Données censurées</w:t>
                            </w:r>
                          </w:p>
                        </w:tc>
                        <w:tc>
                          <w:tcPr>
                            <w:tcW w:w="851" w:type="dxa"/>
                            <w:tcBorders>
                              <w:top w:val="single" w:sz="4" w:space="0" w:color="auto"/>
                            </w:tcBorders>
                            <w:shd w:val="clear" w:color="auto" w:fill="auto"/>
                          </w:tcPr>
                          <w:p w14:paraId="1A1AA32C" w14:textId="77777777" w:rsidR="002D746F" w:rsidRDefault="002D746F">
                            <w:pPr>
                              <w:rPr>
                                <w:rFonts w:ascii="Arial" w:hAnsi="Arial" w:cs="Arial"/>
                                <w:sz w:val="20"/>
                              </w:rPr>
                            </w:pPr>
                          </w:p>
                        </w:tc>
                        <w:tc>
                          <w:tcPr>
                            <w:tcW w:w="709" w:type="dxa"/>
                            <w:tcBorders>
                              <w:top w:val="single" w:sz="4" w:space="0" w:color="auto"/>
                            </w:tcBorders>
                            <w:shd w:val="clear" w:color="auto" w:fill="auto"/>
                          </w:tcPr>
                          <w:p w14:paraId="0AF28FF3" w14:textId="77777777" w:rsidR="002D746F" w:rsidRDefault="002D746F">
                            <w:pPr>
                              <w:rPr>
                                <w:rFonts w:ascii="Arial" w:hAnsi="Arial" w:cs="Arial"/>
                                <w:sz w:val="20"/>
                              </w:rPr>
                            </w:pPr>
                          </w:p>
                        </w:tc>
                        <w:tc>
                          <w:tcPr>
                            <w:tcW w:w="850" w:type="dxa"/>
                            <w:tcBorders>
                              <w:top w:val="single" w:sz="4" w:space="0" w:color="auto"/>
                            </w:tcBorders>
                            <w:shd w:val="clear" w:color="auto" w:fill="auto"/>
                          </w:tcPr>
                          <w:p w14:paraId="16892343" w14:textId="77777777" w:rsidR="002D746F" w:rsidRDefault="002D746F">
                            <w:pPr>
                              <w:rPr>
                                <w:rFonts w:ascii="Arial" w:hAnsi="Arial" w:cs="Arial"/>
                                <w:sz w:val="20"/>
                              </w:rPr>
                            </w:pPr>
                          </w:p>
                        </w:tc>
                      </w:tr>
                    </w:tbl>
                    <w:p w14:paraId="63C05C67" w14:textId="77777777" w:rsidR="002D746F" w:rsidRDefault="002D746F" w:rsidP="00EF4CB3">
                      <w:pPr>
                        <w:rPr>
                          <w:rFonts w:ascii="Arial" w:hAnsi="Arial" w:cs="Arial"/>
                          <w:sz w:val="20"/>
                        </w:rPr>
                      </w:pPr>
                    </w:p>
                  </w:txbxContent>
                </v:textbox>
              </v:shape>
            </w:pict>
          </mc:Fallback>
        </mc:AlternateContent>
      </w:r>
      <w:r w:rsidRPr="00961E0F">
        <w:rPr>
          <w:noProof/>
          <w:lang w:val="en-US"/>
        </w:rPr>
        <w:drawing>
          <wp:inline distT="0" distB="0" distL="0" distR="0" wp14:anchorId="1A5E318D" wp14:editId="2A9FB2C9">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48B41EE5" w14:textId="77777777" w:rsidR="00EF4CB3" w:rsidRPr="00961E0F" w:rsidRDefault="00EF4CB3" w:rsidP="00EF4CB3">
      <w:pPr>
        <w:pStyle w:val="EndnoteText"/>
        <w:widowControl w:val="0"/>
        <w:tabs>
          <w:tab w:val="clear" w:pos="567"/>
        </w:tabs>
        <w:rPr>
          <w:color w:val="000000"/>
          <w:szCs w:val="22"/>
          <w:lang w:val="fr-FR"/>
        </w:rPr>
      </w:pPr>
    </w:p>
    <w:p w14:paraId="41120D5C" w14:textId="77777777" w:rsidR="00EF4CB3" w:rsidRPr="00961E0F" w:rsidRDefault="00EF4CB3" w:rsidP="00EF4CB3">
      <w:pPr>
        <w:rPr>
          <w:rFonts w:ascii="Times New Roman" w:hAnsi="Times New Roman"/>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EF4CB3" w:rsidRPr="00961E0F" w14:paraId="05148F84" w14:textId="77777777">
        <w:tc>
          <w:tcPr>
            <w:tcW w:w="10632" w:type="dxa"/>
            <w:gridSpan w:val="16"/>
            <w:shd w:val="clear" w:color="auto" w:fill="auto"/>
          </w:tcPr>
          <w:p w14:paraId="6C9757EA" w14:textId="77777777" w:rsidR="00EF4CB3" w:rsidRPr="00961E0F" w:rsidRDefault="00EF4CB3" w:rsidP="00F84278">
            <w:pPr>
              <w:ind w:left="-27"/>
              <w:rPr>
                <w:rFonts w:ascii="Arial" w:hAnsi="Arial" w:cs="Arial"/>
                <w:sz w:val="16"/>
                <w:szCs w:val="16"/>
              </w:rPr>
            </w:pPr>
            <w:r w:rsidRPr="00961E0F">
              <w:rPr>
                <w:rFonts w:ascii="Arial" w:hAnsi="Arial" w:cs="Arial"/>
                <w:sz w:val="20"/>
              </w:rPr>
              <w:t>Patients à risque : Evènements</w:t>
            </w:r>
          </w:p>
        </w:tc>
      </w:tr>
      <w:tr w:rsidR="00EF4CB3" w:rsidRPr="00961E0F" w14:paraId="2D9CBD99" w14:textId="77777777">
        <w:tc>
          <w:tcPr>
            <w:tcW w:w="450" w:type="dxa"/>
            <w:shd w:val="clear" w:color="auto" w:fill="auto"/>
          </w:tcPr>
          <w:p w14:paraId="00D276D3" w14:textId="77777777" w:rsidR="00EF4CB3" w:rsidRPr="00961E0F" w:rsidRDefault="00EF4CB3" w:rsidP="00F84278">
            <w:pPr>
              <w:rPr>
                <w:rFonts w:ascii="Times New Roman" w:hAnsi="Times New Roman"/>
                <w:sz w:val="20"/>
              </w:rPr>
            </w:pPr>
            <w:r w:rsidRPr="00961E0F">
              <w:rPr>
                <w:rFonts w:ascii="Times New Roman" w:hAnsi="Times New Roman"/>
                <w:sz w:val="20"/>
              </w:rPr>
              <w:t>(1)</w:t>
            </w:r>
          </w:p>
        </w:tc>
        <w:tc>
          <w:tcPr>
            <w:tcW w:w="691" w:type="dxa"/>
            <w:shd w:val="clear" w:color="auto" w:fill="auto"/>
          </w:tcPr>
          <w:p w14:paraId="25253526"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199:0</w:t>
            </w:r>
          </w:p>
        </w:tc>
        <w:tc>
          <w:tcPr>
            <w:tcW w:w="672" w:type="dxa"/>
            <w:shd w:val="clear" w:color="auto" w:fill="auto"/>
          </w:tcPr>
          <w:p w14:paraId="1F74CB00"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190:2</w:t>
            </w:r>
          </w:p>
        </w:tc>
        <w:tc>
          <w:tcPr>
            <w:tcW w:w="714" w:type="dxa"/>
            <w:shd w:val="clear" w:color="auto" w:fill="auto"/>
          </w:tcPr>
          <w:p w14:paraId="5E9C75F5"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188:2</w:t>
            </w:r>
          </w:p>
        </w:tc>
        <w:tc>
          <w:tcPr>
            <w:tcW w:w="722" w:type="dxa"/>
            <w:shd w:val="clear" w:color="auto" w:fill="auto"/>
          </w:tcPr>
          <w:p w14:paraId="33662DFB"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183:6</w:t>
            </w:r>
          </w:p>
        </w:tc>
        <w:tc>
          <w:tcPr>
            <w:tcW w:w="694" w:type="dxa"/>
            <w:shd w:val="clear" w:color="auto" w:fill="auto"/>
          </w:tcPr>
          <w:p w14:paraId="71FEBC9D"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176:8</w:t>
            </w:r>
          </w:p>
        </w:tc>
        <w:tc>
          <w:tcPr>
            <w:tcW w:w="772" w:type="dxa"/>
            <w:shd w:val="clear" w:color="auto" w:fill="auto"/>
          </w:tcPr>
          <w:p w14:paraId="5496C959"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156:10</w:t>
            </w:r>
          </w:p>
        </w:tc>
        <w:tc>
          <w:tcPr>
            <w:tcW w:w="782" w:type="dxa"/>
            <w:shd w:val="clear" w:color="auto" w:fill="auto"/>
          </w:tcPr>
          <w:p w14:paraId="37B72DFB"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140:11</w:t>
            </w:r>
          </w:p>
        </w:tc>
        <w:tc>
          <w:tcPr>
            <w:tcW w:w="798" w:type="dxa"/>
            <w:shd w:val="clear" w:color="auto" w:fill="auto"/>
          </w:tcPr>
          <w:p w14:paraId="096BB713"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105:14</w:t>
            </w:r>
          </w:p>
        </w:tc>
        <w:tc>
          <w:tcPr>
            <w:tcW w:w="654" w:type="dxa"/>
            <w:shd w:val="clear" w:color="auto" w:fill="auto"/>
          </w:tcPr>
          <w:p w14:paraId="045B12EC" w14:textId="77777777" w:rsidR="00EF4CB3" w:rsidRPr="00961E0F" w:rsidRDefault="00EF4CB3" w:rsidP="00F84278">
            <w:pPr>
              <w:ind w:left="-45"/>
              <w:rPr>
                <w:rFonts w:ascii="Times New Roman" w:hAnsi="Times New Roman"/>
                <w:sz w:val="20"/>
              </w:rPr>
            </w:pPr>
            <w:r w:rsidRPr="00961E0F">
              <w:rPr>
                <w:rFonts w:ascii="Times New Roman" w:hAnsi="Times New Roman"/>
                <w:sz w:val="20"/>
              </w:rPr>
              <w:t>87:18</w:t>
            </w:r>
          </w:p>
        </w:tc>
        <w:tc>
          <w:tcPr>
            <w:tcW w:w="630" w:type="dxa"/>
            <w:shd w:val="clear" w:color="auto" w:fill="auto"/>
          </w:tcPr>
          <w:p w14:paraId="34F191FF" w14:textId="77777777" w:rsidR="00EF4CB3" w:rsidRPr="00961E0F" w:rsidRDefault="00EF4CB3" w:rsidP="00F84278">
            <w:pPr>
              <w:ind w:left="-45"/>
              <w:rPr>
                <w:rFonts w:ascii="Times New Roman" w:hAnsi="Times New Roman"/>
                <w:sz w:val="20"/>
              </w:rPr>
            </w:pPr>
            <w:r w:rsidRPr="00961E0F">
              <w:rPr>
                <w:rFonts w:ascii="Times New Roman" w:hAnsi="Times New Roman"/>
                <w:sz w:val="20"/>
              </w:rPr>
              <w:t>64:22</w:t>
            </w:r>
          </w:p>
        </w:tc>
        <w:tc>
          <w:tcPr>
            <w:tcW w:w="644" w:type="dxa"/>
            <w:shd w:val="clear" w:color="auto" w:fill="auto"/>
          </w:tcPr>
          <w:p w14:paraId="327AA832" w14:textId="77777777" w:rsidR="00EF4CB3" w:rsidRPr="00961E0F" w:rsidRDefault="00EF4CB3" w:rsidP="00F84278">
            <w:pPr>
              <w:ind w:left="-45"/>
              <w:rPr>
                <w:rFonts w:ascii="Times New Roman" w:hAnsi="Times New Roman"/>
                <w:sz w:val="20"/>
              </w:rPr>
            </w:pPr>
            <w:r w:rsidRPr="00961E0F">
              <w:rPr>
                <w:rFonts w:ascii="Times New Roman" w:hAnsi="Times New Roman"/>
                <w:sz w:val="20"/>
              </w:rPr>
              <w:t>46:23</w:t>
            </w:r>
          </w:p>
        </w:tc>
        <w:tc>
          <w:tcPr>
            <w:tcW w:w="672" w:type="dxa"/>
            <w:shd w:val="clear" w:color="auto" w:fill="auto"/>
          </w:tcPr>
          <w:p w14:paraId="269367B9" w14:textId="77777777" w:rsidR="00EF4CB3" w:rsidRPr="00961E0F" w:rsidRDefault="00EF4CB3" w:rsidP="00F84278">
            <w:pPr>
              <w:ind w:left="-45"/>
              <w:rPr>
                <w:rFonts w:ascii="Times New Roman" w:hAnsi="Times New Roman"/>
                <w:sz w:val="20"/>
              </w:rPr>
            </w:pPr>
            <w:r w:rsidRPr="00961E0F">
              <w:rPr>
                <w:rFonts w:ascii="Times New Roman" w:hAnsi="Times New Roman"/>
                <w:sz w:val="20"/>
              </w:rPr>
              <w:t>27:25</w:t>
            </w:r>
          </w:p>
        </w:tc>
        <w:tc>
          <w:tcPr>
            <w:tcW w:w="686" w:type="dxa"/>
            <w:shd w:val="clear" w:color="auto" w:fill="auto"/>
          </w:tcPr>
          <w:p w14:paraId="7FFEEAB6" w14:textId="77777777" w:rsidR="00EF4CB3" w:rsidRPr="00961E0F" w:rsidRDefault="00EF4CB3" w:rsidP="00F84278">
            <w:pPr>
              <w:ind w:left="-45"/>
              <w:rPr>
                <w:rFonts w:ascii="Times New Roman" w:hAnsi="Times New Roman"/>
                <w:sz w:val="20"/>
              </w:rPr>
            </w:pPr>
            <w:r w:rsidRPr="00961E0F">
              <w:rPr>
                <w:rFonts w:ascii="Times New Roman" w:hAnsi="Times New Roman"/>
                <w:sz w:val="20"/>
              </w:rPr>
              <w:t>20:25</w:t>
            </w:r>
          </w:p>
        </w:tc>
        <w:tc>
          <w:tcPr>
            <w:tcW w:w="560" w:type="dxa"/>
            <w:shd w:val="clear" w:color="auto" w:fill="auto"/>
          </w:tcPr>
          <w:p w14:paraId="717F4565" w14:textId="77777777" w:rsidR="00EF4CB3" w:rsidRPr="00961E0F" w:rsidRDefault="00EF4CB3" w:rsidP="00F84278">
            <w:pPr>
              <w:ind w:left="-45"/>
              <w:rPr>
                <w:rFonts w:ascii="Times New Roman" w:hAnsi="Times New Roman"/>
                <w:sz w:val="20"/>
              </w:rPr>
            </w:pPr>
            <w:r w:rsidRPr="00961E0F">
              <w:rPr>
                <w:rFonts w:ascii="Times New Roman" w:hAnsi="Times New Roman"/>
                <w:sz w:val="20"/>
              </w:rPr>
              <w:t>2:25</w:t>
            </w:r>
          </w:p>
        </w:tc>
        <w:tc>
          <w:tcPr>
            <w:tcW w:w="491" w:type="dxa"/>
            <w:shd w:val="clear" w:color="auto" w:fill="auto"/>
          </w:tcPr>
          <w:p w14:paraId="3A962881" w14:textId="77777777" w:rsidR="00EF4CB3" w:rsidRPr="00961E0F" w:rsidRDefault="00EF4CB3" w:rsidP="00F84278">
            <w:pPr>
              <w:ind w:left="-45"/>
              <w:rPr>
                <w:rFonts w:ascii="Times New Roman" w:hAnsi="Times New Roman"/>
                <w:sz w:val="20"/>
              </w:rPr>
            </w:pPr>
            <w:r w:rsidRPr="00961E0F">
              <w:rPr>
                <w:rFonts w:ascii="Times New Roman" w:hAnsi="Times New Roman"/>
                <w:sz w:val="20"/>
              </w:rPr>
              <w:t>0:25</w:t>
            </w:r>
          </w:p>
        </w:tc>
      </w:tr>
      <w:tr w:rsidR="00EF4CB3" w:rsidRPr="00961E0F" w14:paraId="0D73F33F" w14:textId="77777777">
        <w:tc>
          <w:tcPr>
            <w:tcW w:w="450" w:type="dxa"/>
            <w:shd w:val="clear" w:color="auto" w:fill="auto"/>
          </w:tcPr>
          <w:p w14:paraId="71225D29" w14:textId="77777777" w:rsidR="00EF4CB3" w:rsidRPr="00961E0F" w:rsidRDefault="00EF4CB3" w:rsidP="00F84278">
            <w:pPr>
              <w:rPr>
                <w:rFonts w:ascii="Times New Roman" w:hAnsi="Times New Roman"/>
                <w:sz w:val="20"/>
              </w:rPr>
            </w:pPr>
            <w:r w:rsidRPr="00961E0F">
              <w:rPr>
                <w:rFonts w:ascii="Times New Roman" w:hAnsi="Times New Roman"/>
                <w:sz w:val="20"/>
              </w:rPr>
              <w:t>(2)</w:t>
            </w:r>
          </w:p>
        </w:tc>
        <w:tc>
          <w:tcPr>
            <w:tcW w:w="691" w:type="dxa"/>
            <w:shd w:val="clear" w:color="auto" w:fill="auto"/>
          </w:tcPr>
          <w:p w14:paraId="4E5CF224"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198:0</w:t>
            </w:r>
          </w:p>
        </w:tc>
        <w:tc>
          <w:tcPr>
            <w:tcW w:w="672" w:type="dxa"/>
            <w:shd w:val="clear" w:color="auto" w:fill="auto"/>
          </w:tcPr>
          <w:p w14:paraId="5EC23FD8"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196:0</w:t>
            </w:r>
          </w:p>
        </w:tc>
        <w:tc>
          <w:tcPr>
            <w:tcW w:w="714" w:type="dxa"/>
            <w:shd w:val="clear" w:color="auto" w:fill="auto"/>
          </w:tcPr>
          <w:p w14:paraId="5D182978"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192:0</w:t>
            </w:r>
          </w:p>
        </w:tc>
        <w:tc>
          <w:tcPr>
            <w:tcW w:w="722" w:type="dxa"/>
            <w:shd w:val="clear" w:color="auto" w:fill="auto"/>
          </w:tcPr>
          <w:p w14:paraId="02FBBEEF"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187:4</w:t>
            </w:r>
          </w:p>
        </w:tc>
        <w:tc>
          <w:tcPr>
            <w:tcW w:w="694" w:type="dxa"/>
            <w:shd w:val="clear" w:color="auto" w:fill="auto"/>
          </w:tcPr>
          <w:p w14:paraId="0ED87E3D"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184:5</w:t>
            </w:r>
          </w:p>
        </w:tc>
        <w:tc>
          <w:tcPr>
            <w:tcW w:w="772" w:type="dxa"/>
            <w:shd w:val="clear" w:color="auto" w:fill="auto"/>
          </w:tcPr>
          <w:p w14:paraId="226FB278"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164:7</w:t>
            </w:r>
          </w:p>
        </w:tc>
        <w:tc>
          <w:tcPr>
            <w:tcW w:w="782" w:type="dxa"/>
            <w:shd w:val="clear" w:color="auto" w:fill="auto"/>
          </w:tcPr>
          <w:p w14:paraId="321E7AF0"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152:7</w:t>
            </w:r>
          </w:p>
        </w:tc>
        <w:tc>
          <w:tcPr>
            <w:tcW w:w="798" w:type="dxa"/>
            <w:shd w:val="clear" w:color="auto" w:fill="auto"/>
          </w:tcPr>
          <w:p w14:paraId="565F1EC1"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119:8</w:t>
            </w:r>
          </w:p>
        </w:tc>
        <w:tc>
          <w:tcPr>
            <w:tcW w:w="654" w:type="dxa"/>
            <w:shd w:val="clear" w:color="auto" w:fill="auto"/>
          </w:tcPr>
          <w:p w14:paraId="1A2BBC97"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100:8</w:t>
            </w:r>
          </w:p>
        </w:tc>
        <w:tc>
          <w:tcPr>
            <w:tcW w:w="630" w:type="dxa"/>
            <w:shd w:val="clear" w:color="auto" w:fill="auto"/>
          </w:tcPr>
          <w:p w14:paraId="1AEEA49B" w14:textId="77777777" w:rsidR="00EF4CB3" w:rsidRPr="00961E0F" w:rsidRDefault="00EF4CB3" w:rsidP="00F84278">
            <w:pPr>
              <w:ind w:left="-45"/>
              <w:rPr>
                <w:rFonts w:ascii="Times New Roman" w:hAnsi="Times New Roman"/>
                <w:sz w:val="20"/>
              </w:rPr>
            </w:pPr>
            <w:r w:rsidRPr="00961E0F">
              <w:rPr>
                <w:rFonts w:ascii="Times New Roman" w:hAnsi="Times New Roman"/>
                <w:sz w:val="20"/>
              </w:rPr>
              <w:t>76:10</w:t>
            </w:r>
          </w:p>
        </w:tc>
        <w:tc>
          <w:tcPr>
            <w:tcW w:w="644" w:type="dxa"/>
            <w:shd w:val="clear" w:color="auto" w:fill="auto"/>
          </w:tcPr>
          <w:p w14:paraId="502D872E" w14:textId="77777777" w:rsidR="00EF4CB3" w:rsidRPr="00961E0F" w:rsidRDefault="00EF4CB3" w:rsidP="00F84278">
            <w:pPr>
              <w:ind w:left="-45"/>
              <w:rPr>
                <w:rFonts w:ascii="Times New Roman" w:hAnsi="Times New Roman"/>
                <w:sz w:val="20"/>
              </w:rPr>
            </w:pPr>
            <w:r w:rsidRPr="00961E0F">
              <w:rPr>
                <w:rFonts w:ascii="Times New Roman" w:hAnsi="Times New Roman"/>
                <w:sz w:val="20"/>
              </w:rPr>
              <w:t>56:11</w:t>
            </w:r>
          </w:p>
        </w:tc>
        <w:tc>
          <w:tcPr>
            <w:tcW w:w="672" w:type="dxa"/>
            <w:shd w:val="clear" w:color="auto" w:fill="auto"/>
          </w:tcPr>
          <w:p w14:paraId="7DA7C460" w14:textId="77777777" w:rsidR="00EF4CB3" w:rsidRPr="00961E0F" w:rsidRDefault="00EF4CB3" w:rsidP="00F84278">
            <w:pPr>
              <w:ind w:left="-45"/>
              <w:rPr>
                <w:rFonts w:ascii="Times New Roman" w:hAnsi="Times New Roman"/>
                <w:sz w:val="20"/>
              </w:rPr>
            </w:pPr>
            <w:r w:rsidRPr="00961E0F">
              <w:rPr>
                <w:rFonts w:ascii="Times New Roman" w:hAnsi="Times New Roman"/>
                <w:sz w:val="20"/>
              </w:rPr>
              <w:t>31:11</w:t>
            </w:r>
          </w:p>
        </w:tc>
        <w:tc>
          <w:tcPr>
            <w:tcW w:w="686" w:type="dxa"/>
            <w:shd w:val="clear" w:color="auto" w:fill="auto"/>
          </w:tcPr>
          <w:p w14:paraId="2825A0D2" w14:textId="77777777" w:rsidR="00EF4CB3" w:rsidRPr="00961E0F" w:rsidRDefault="00EF4CB3" w:rsidP="00F84278">
            <w:pPr>
              <w:ind w:left="-45"/>
              <w:rPr>
                <w:rFonts w:ascii="Times New Roman" w:hAnsi="Times New Roman"/>
                <w:sz w:val="20"/>
              </w:rPr>
            </w:pPr>
            <w:r w:rsidRPr="00961E0F">
              <w:rPr>
                <w:rFonts w:ascii="Times New Roman" w:hAnsi="Times New Roman"/>
                <w:sz w:val="20"/>
              </w:rPr>
              <w:t>13:12</w:t>
            </w:r>
          </w:p>
        </w:tc>
        <w:tc>
          <w:tcPr>
            <w:tcW w:w="560" w:type="dxa"/>
            <w:shd w:val="clear" w:color="auto" w:fill="auto"/>
          </w:tcPr>
          <w:p w14:paraId="46975B33" w14:textId="77777777" w:rsidR="00EF4CB3" w:rsidRPr="00961E0F" w:rsidRDefault="00EF4CB3" w:rsidP="00F84278">
            <w:pPr>
              <w:ind w:left="-45"/>
              <w:rPr>
                <w:rFonts w:ascii="Times New Roman" w:hAnsi="Times New Roman"/>
                <w:sz w:val="20"/>
              </w:rPr>
            </w:pPr>
            <w:r w:rsidRPr="00961E0F">
              <w:rPr>
                <w:rFonts w:ascii="Times New Roman" w:hAnsi="Times New Roman"/>
                <w:sz w:val="20"/>
              </w:rPr>
              <w:t>0:12</w:t>
            </w:r>
          </w:p>
        </w:tc>
        <w:tc>
          <w:tcPr>
            <w:tcW w:w="491" w:type="dxa"/>
            <w:shd w:val="clear" w:color="auto" w:fill="auto"/>
          </w:tcPr>
          <w:p w14:paraId="3792953C" w14:textId="77777777" w:rsidR="00EF4CB3" w:rsidRPr="00961E0F" w:rsidRDefault="00EF4CB3" w:rsidP="00F84278">
            <w:pPr>
              <w:ind w:left="-45"/>
              <w:rPr>
                <w:rFonts w:ascii="Times New Roman" w:hAnsi="Times New Roman"/>
                <w:sz w:val="20"/>
              </w:rPr>
            </w:pPr>
          </w:p>
        </w:tc>
      </w:tr>
    </w:tbl>
    <w:p w14:paraId="34476033" w14:textId="77777777" w:rsidR="00EF4CB3" w:rsidRPr="00961E0F" w:rsidRDefault="00EF4CB3" w:rsidP="00EF4CB3">
      <w:pPr>
        <w:pStyle w:val="EndnoteText"/>
        <w:widowControl w:val="0"/>
        <w:tabs>
          <w:tab w:val="clear" w:pos="567"/>
        </w:tabs>
        <w:rPr>
          <w:color w:val="000000"/>
          <w:szCs w:val="22"/>
          <w:lang w:val="fr-FR"/>
        </w:rPr>
      </w:pPr>
    </w:p>
    <w:p w14:paraId="314253BA"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Il n’existe pas d’étude clinique contrôlée chez les patients pédiatriques atteints de GIST c-Kit positive. Dix-sept (17) cas de patients atteints de GIST (avec ou sans mutation de Kit ou PDGFR) ont été rapportés dans 7 publications. L’âge de ces patients allait de 8 à 18 ans et l’imatinib était administré en adjuvant et en situation métastatique à une posologie comprise entre 300 et 800 mg par jour. Les données confirmant les mutations c-Kit ou PDGFR manquaient chez la majorité des patients pédiatriques, ce qui a pu conduire à des résultats cliniques mitigés.</w:t>
      </w:r>
    </w:p>
    <w:p w14:paraId="5892E02F" w14:textId="77777777" w:rsidR="00EF4CB3" w:rsidRPr="00961E0F" w:rsidRDefault="00EF4CB3" w:rsidP="00EF4CB3">
      <w:pPr>
        <w:pStyle w:val="EndnoteText"/>
        <w:widowControl w:val="0"/>
        <w:tabs>
          <w:tab w:val="clear" w:pos="567"/>
        </w:tabs>
        <w:rPr>
          <w:color w:val="000000"/>
          <w:szCs w:val="22"/>
          <w:lang w:val="fr-FR"/>
        </w:rPr>
      </w:pPr>
    </w:p>
    <w:p w14:paraId="15AF4E35" w14:textId="77777777" w:rsidR="00EF4CB3" w:rsidRPr="00961E0F" w:rsidRDefault="00EF4CB3" w:rsidP="000A7F49">
      <w:pPr>
        <w:pStyle w:val="EndnoteText"/>
        <w:keepNext/>
        <w:widowControl w:val="0"/>
        <w:tabs>
          <w:tab w:val="clear" w:pos="567"/>
        </w:tabs>
        <w:rPr>
          <w:color w:val="000000"/>
          <w:szCs w:val="22"/>
          <w:u w:val="single"/>
          <w:lang w:val="fr-FR"/>
        </w:rPr>
      </w:pPr>
      <w:r w:rsidRPr="00961E0F">
        <w:rPr>
          <w:color w:val="000000"/>
          <w:szCs w:val="22"/>
          <w:u w:val="single"/>
          <w:lang w:val="fr-FR"/>
        </w:rPr>
        <w:t>Etudes cliniques dans le DFSP</w:t>
      </w:r>
    </w:p>
    <w:p w14:paraId="015806A6"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Une étude ouverte multicentrique de phase II (étude B2225) a été menée incluant 12 patients atteints de DFSP traité par Glivec à 800 mg/jour. L’âge des patients atteints de DFSP allait de 23 à 75 ans ; leur maladie était métastatique ou en rechute locale après une chirurgie d’exérèse initiale et n’était pas considéré comme relevant d’une chirurgie d’exérèse supplémentaire au moment de l’entrée dans l’étude. Le critère primaire d’efficacité reposait sur les taux de réponse objective. Parmi les 12 patients inclus, 9 ont répondu, 1 réponse complète et 8 réponses partielles. Trois des répondeurs partiels ont été rendu indemnes de maladie par chirurgie. La durée médiane de traitement dans l’étude B2225 était de 6,2 mois, avec une durée maximale de 24,3 mois. 6 autres patients atteints de DFSP et traités par Glivec ont été rapportés sous la forme de 5 observations individuelles, leur âge allait de 18 mois à 49 ans. Les patients adultes rapportés dans la littérature ont été traités par Glivec soit à la posologie de 400 mg/jour (4 cas) soit par 800 mg/jour (1 cas). Cinq (5) patients ont répondu, 3 complètement et 2 partiellement. La durée médiane de traitement dans la littérature allait de 4 semaines à plus de 20 mois. La translocation t(17 :22)[(q22 :q13)], ou la protéine issue de ce gène hybride était présente chez pratiquement tous les répondeurs au traitement par Glivec.</w:t>
      </w:r>
    </w:p>
    <w:p w14:paraId="2903B50B" w14:textId="77777777" w:rsidR="00EF4CB3" w:rsidRPr="00961E0F" w:rsidRDefault="00EF4CB3" w:rsidP="00EF4CB3">
      <w:pPr>
        <w:pStyle w:val="EndnoteText"/>
        <w:widowControl w:val="0"/>
        <w:tabs>
          <w:tab w:val="clear" w:pos="567"/>
        </w:tabs>
        <w:rPr>
          <w:color w:val="000000"/>
          <w:szCs w:val="22"/>
          <w:lang w:val="fr-FR"/>
        </w:rPr>
      </w:pPr>
    </w:p>
    <w:p w14:paraId="0E453D51" w14:textId="77777777" w:rsidR="00EF4CB3" w:rsidRPr="00961E0F" w:rsidRDefault="00EF4CB3" w:rsidP="00EF4CB3">
      <w:pPr>
        <w:pStyle w:val="EndnoteText"/>
        <w:widowControl w:val="0"/>
        <w:tabs>
          <w:tab w:val="clear" w:pos="567"/>
        </w:tabs>
        <w:rPr>
          <w:color w:val="000000"/>
          <w:szCs w:val="22"/>
          <w:lang w:val="fr-FR"/>
        </w:rPr>
      </w:pPr>
      <w:r w:rsidRPr="00961E0F">
        <w:rPr>
          <w:color w:val="000000"/>
          <w:szCs w:val="22"/>
          <w:lang w:val="fr-FR"/>
        </w:rPr>
        <w:t>Il n’existe pas d’étude clinique chez les patients pédiatriques atteints de DFSP. Cinq (5) cas de patients atteints de DFSP associés à des réarrangements du gène PDGFR ont été rapportés dans 3 publications. L’âge de ces patients allait du nouveau-né à 14 ans et l’imatinib était administré à une posologie de 50 mg par jour ou comprise entre 400 et 520 mg/m² par jour. Tous les patients ont atteint une réponse partielle et/ou complète.</w:t>
      </w:r>
    </w:p>
    <w:p w14:paraId="114E14FF" w14:textId="77777777" w:rsidR="00EF4CB3" w:rsidRPr="00961E0F" w:rsidRDefault="00EF4CB3" w:rsidP="00EF4CB3">
      <w:pPr>
        <w:pStyle w:val="EndnoteText"/>
        <w:widowControl w:val="0"/>
        <w:tabs>
          <w:tab w:val="clear" w:pos="567"/>
        </w:tabs>
        <w:rPr>
          <w:color w:val="000000"/>
          <w:szCs w:val="22"/>
          <w:lang w:val="fr-FR"/>
        </w:rPr>
      </w:pPr>
    </w:p>
    <w:p w14:paraId="7B883E2E"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5.2</w:t>
      </w:r>
      <w:r w:rsidRPr="00961E0F">
        <w:rPr>
          <w:rFonts w:ascii="Times New Roman" w:hAnsi="Times New Roman"/>
          <w:b/>
          <w:color w:val="000000"/>
          <w:szCs w:val="22"/>
        </w:rPr>
        <w:tab/>
        <w:t>Propriétés pharmacocinétiques</w:t>
      </w:r>
    </w:p>
    <w:p w14:paraId="34C67478" w14:textId="77777777" w:rsidR="007D642D" w:rsidRPr="00961E0F" w:rsidRDefault="007D642D" w:rsidP="000A7F49">
      <w:pPr>
        <w:pStyle w:val="EndnoteText"/>
        <w:keepNext/>
        <w:widowControl w:val="0"/>
        <w:tabs>
          <w:tab w:val="clear" w:pos="567"/>
        </w:tabs>
        <w:rPr>
          <w:color w:val="000000"/>
          <w:szCs w:val="22"/>
          <w:lang w:val="fr-FR"/>
        </w:rPr>
      </w:pPr>
    </w:p>
    <w:p w14:paraId="3C6EE44E" w14:textId="77777777" w:rsidR="007D642D" w:rsidRPr="00961E0F" w:rsidRDefault="007D642D" w:rsidP="000A7F49">
      <w:pPr>
        <w:pStyle w:val="EndnoteText"/>
        <w:keepNext/>
        <w:widowControl w:val="0"/>
        <w:tabs>
          <w:tab w:val="clear" w:pos="567"/>
        </w:tabs>
        <w:rPr>
          <w:color w:val="000000"/>
          <w:szCs w:val="22"/>
          <w:u w:val="single"/>
          <w:lang w:val="fr-FR"/>
        </w:rPr>
      </w:pPr>
      <w:r w:rsidRPr="00961E0F">
        <w:rPr>
          <w:color w:val="000000"/>
          <w:szCs w:val="22"/>
          <w:u w:val="single"/>
          <w:lang w:val="fr-FR"/>
        </w:rPr>
        <w:t>Paramètres pharmacocinétiques de Glivec</w:t>
      </w:r>
    </w:p>
    <w:p w14:paraId="05394D7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pharmacocinétique de Glivec a été évaluée à des doses comprises entre 25 et 1 000 mg. Les profils </w:t>
      </w:r>
      <w:r w:rsidRPr="00961E0F">
        <w:rPr>
          <w:color w:val="000000"/>
          <w:szCs w:val="22"/>
          <w:lang w:val="fr-FR"/>
        </w:rPr>
        <w:lastRenderedPageBreak/>
        <w:t>pharmacocinétiques plasmatiques ont été analysés à J1, puis à J7 ou J28, au moment où les concentrations plasmatiques ont atteint un état d'équilibre.</w:t>
      </w:r>
    </w:p>
    <w:p w14:paraId="025DB2DD" w14:textId="77777777" w:rsidR="007D642D" w:rsidRPr="00961E0F" w:rsidRDefault="007D642D">
      <w:pPr>
        <w:pStyle w:val="EndnoteText"/>
        <w:widowControl w:val="0"/>
        <w:tabs>
          <w:tab w:val="clear" w:pos="567"/>
        </w:tabs>
        <w:rPr>
          <w:color w:val="000000"/>
          <w:szCs w:val="22"/>
          <w:lang w:val="fr-FR"/>
        </w:rPr>
      </w:pPr>
    </w:p>
    <w:p w14:paraId="5FA37996" w14:textId="77777777" w:rsidR="007D642D" w:rsidRPr="00961E0F" w:rsidRDefault="007D642D" w:rsidP="000A7F49">
      <w:pPr>
        <w:pStyle w:val="EndnoteText"/>
        <w:keepNext/>
        <w:widowControl w:val="0"/>
        <w:tabs>
          <w:tab w:val="clear" w:pos="567"/>
        </w:tabs>
        <w:rPr>
          <w:color w:val="000000"/>
          <w:szCs w:val="22"/>
          <w:lang w:val="fr-FR"/>
        </w:rPr>
      </w:pPr>
      <w:r w:rsidRPr="00961E0F">
        <w:rPr>
          <w:color w:val="000000"/>
          <w:szCs w:val="22"/>
          <w:u w:val="single"/>
          <w:lang w:val="fr-FR"/>
        </w:rPr>
        <w:t>Absorption</w:t>
      </w:r>
    </w:p>
    <w:p w14:paraId="1D7C5D44"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La biodisponibilité absolue moyenne de l’imatinib est de 98%. Il existe une forte variabilité inter-patient de l’ASC de l’imatinib plasmatique après une prise orale. Lorsqu’il est pris au cours d’un repas riche en lipides, le taux d'absorption de l'imatinib est peu réduit (diminution de 11% de </w:t>
      </w:r>
      <w:smartTag w:uri="urn:schemas-microsoft-com:office:smarttags" w:element="PersonName">
        <w:smartTagPr>
          <w:attr w:name="ProductID" w:val="la Cmax"/>
        </w:smartTagPr>
        <w:r w:rsidRPr="00961E0F">
          <w:rPr>
            <w:color w:val="000000"/>
            <w:szCs w:val="22"/>
            <w:lang w:val="fr-FR"/>
          </w:rPr>
          <w:t>la C</w:t>
        </w:r>
        <w:r w:rsidRPr="00961E0F">
          <w:rPr>
            <w:color w:val="000000"/>
            <w:szCs w:val="22"/>
            <w:vertAlign w:val="subscript"/>
            <w:lang w:val="fr-FR"/>
          </w:rPr>
          <w:t>max</w:t>
        </w:r>
      </w:smartTag>
      <w:r w:rsidRPr="00961E0F">
        <w:rPr>
          <w:color w:val="000000"/>
          <w:szCs w:val="22"/>
          <w:lang w:val="fr-FR"/>
        </w:rPr>
        <w:t xml:space="preserve"> et prolongation de 1,5 h de t</w:t>
      </w:r>
      <w:r w:rsidRPr="00961E0F">
        <w:rPr>
          <w:color w:val="000000"/>
          <w:szCs w:val="22"/>
          <w:vertAlign w:val="subscript"/>
          <w:lang w:val="fr-FR"/>
        </w:rPr>
        <w:t>max</w:t>
      </w:r>
      <w:r w:rsidRPr="00961E0F">
        <w:rPr>
          <w:color w:val="000000"/>
          <w:szCs w:val="22"/>
          <w:lang w:val="fr-FR"/>
        </w:rPr>
        <w:t>), avec une légère diminution de l’ASC (7,4%) comparée à une prise à jeun. L’effet d’une chirurgie gastro-intestinale antérieure sur l’absorption du produit n’a pas été étudiée.</w:t>
      </w:r>
    </w:p>
    <w:p w14:paraId="4712C827" w14:textId="77777777" w:rsidR="007D642D" w:rsidRPr="00961E0F" w:rsidRDefault="007D642D">
      <w:pPr>
        <w:pStyle w:val="EndnoteText"/>
        <w:widowControl w:val="0"/>
        <w:tabs>
          <w:tab w:val="clear" w:pos="567"/>
        </w:tabs>
        <w:rPr>
          <w:color w:val="000000"/>
          <w:szCs w:val="22"/>
          <w:lang w:val="fr-FR"/>
        </w:rPr>
      </w:pPr>
    </w:p>
    <w:p w14:paraId="369560D4" w14:textId="77777777" w:rsidR="007D642D" w:rsidRPr="00961E0F" w:rsidRDefault="007D642D" w:rsidP="000A7F49">
      <w:pPr>
        <w:pStyle w:val="EndnoteText"/>
        <w:keepNext/>
        <w:widowControl w:val="0"/>
        <w:tabs>
          <w:tab w:val="clear" w:pos="567"/>
        </w:tabs>
        <w:rPr>
          <w:color w:val="000000"/>
          <w:szCs w:val="22"/>
          <w:lang w:val="fr-FR"/>
        </w:rPr>
      </w:pPr>
      <w:r w:rsidRPr="00961E0F">
        <w:rPr>
          <w:color w:val="000000"/>
          <w:szCs w:val="22"/>
          <w:u w:val="single"/>
          <w:lang w:val="fr-FR"/>
        </w:rPr>
        <w:t>Distribution</w:t>
      </w:r>
    </w:p>
    <w:p w14:paraId="1BB064A2"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A des concentrations d’imatinib cliniquement significatives, la fraction liée aux protéines plasmatiques est approximativement de 95%, sur la base des études </w:t>
      </w:r>
      <w:r w:rsidRPr="00961E0F">
        <w:rPr>
          <w:i/>
          <w:color w:val="000000"/>
          <w:szCs w:val="22"/>
          <w:lang w:val="fr-FR"/>
        </w:rPr>
        <w:t>in vitro</w:t>
      </w:r>
      <w:r w:rsidRPr="00961E0F">
        <w:rPr>
          <w:color w:val="000000"/>
          <w:szCs w:val="22"/>
          <w:lang w:val="fr-FR"/>
        </w:rPr>
        <w:t> ; il s’agit principalement d’une liaison à l’albumine et aux alpha-glycoprotéines acides, et dans une faible mesure aux lipoprotéines.</w:t>
      </w:r>
    </w:p>
    <w:p w14:paraId="5911567E" w14:textId="77777777" w:rsidR="007D642D" w:rsidRPr="00961E0F" w:rsidRDefault="007D642D">
      <w:pPr>
        <w:pStyle w:val="EndnoteText"/>
        <w:widowControl w:val="0"/>
        <w:tabs>
          <w:tab w:val="clear" w:pos="567"/>
        </w:tabs>
        <w:rPr>
          <w:color w:val="000000"/>
          <w:szCs w:val="22"/>
          <w:lang w:val="fr-FR"/>
        </w:rPr>
      </w:pPr>
    </w:p>
    <w:p w14:paraId="09301018" w14:textId="77777777" w:rsidR="007D642D" w:rsidRPr="00961E0F" w:rsidRDefault="007D642D" w:rsidP="000A7F49">
      <w:pPr>
        <w:pStyle w:val="EndnoteText"/>
        <w:keepNext/>
        <w:widowControl w:val="0"/>
        <w:tabs>
          <w:tab w:val="clear" w:pos="567"/>
        </w:tabs>
        <w:rPr>
          <w:color w:val="000000"/>
          <w:szCs w:val="22"/>
          <w:lang w:val="fr-FR"/>
        </w:rPr>
      </w:pPr>
      <w:r w:rsidRPr="00961E0F">
        <w:rPr>
          <w:color w:val="000000"/>
          <w:szCs w:val="22"/>
          <w:u w:val="single"/>
          <w:lang w:val="fr-FR"/>
        </w:rPr>
        <w:t>Biotransformation</w:t>
      </w:r>
    </w:p>
    <w:p w14:paraId="13E626E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l’homme, le principal métabolite circulant est le dérivé pipérazine N-déméthylé qui présente </w:t>
      </w:r>
      <w:r w:rsidRPr="00961E0F">
        <w:rPr>
          <w:i/>
          <w:color w:val="000000"/>
          <w:szCs w:val="22"/>
          <w:lang w:val="fr-FR"/>
        </w:rPr>
        <w:t>in vitro</w:t>
      </w:r>
      <w:r w:rsidRPr="00961E0F">
        <w:rPr>
          <w:color w:val="000000"/>
          <w:szCs w:val="22"/>
          <w:lang w:val="fr-FR"/>
        </w:rPr>
        <w:t xml:space="preserve"> une activité similaire à l’imatinib. L'ASC plasmatique de ce métabolite n’atteint que 16% de l'ASC de l'imatinib. L’affinité pour les protéines plasmatiques du métabolite N-déméthylé est similaire à celle de la molécule mère.</w:t>
      </w:r>
    </w:p>
    <w:p w14:paraId="7F6F8957" w14:textId="77777777" w:rsidR="007D642D" w:rsidRPr="00961E0F" w:rsidRDefault="007D642D">
      <w:pPr>
        <w:pStyle w:val="EndnoteText"/>
        <w:widowControl w:val="0"/>
        <w:tabs>
          <w:tab w:val="clear" w:pos="567"/>
        </w:tabs>
        <w:rPr>
          <w:color w:val="000000"/>
          <w:szCs w:val="22"/>
          <w:lang w:val="fr-FR"/>
        </w:rPr>
      </w:pPr>
    </w:p>
    <w:p w14:paraId="74F4C07E"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et le métabolite N-déméthylé représentent au total environ 65% du taux circulant de radioactivité (ASC</w:t>
      </w:r>
      <w:r w:rsidRPr="00961E0F">
        <w:rPr>
          <w:color w:val="000000"/>
          <w:szCs w:val="22"/>
          <w:vertAlign w:val="subscript"/>
          <w:lang w:val="fr-FR"/>
        </w:rPr>
        <w:t>(0-48h)</w:t>
      </w:r>
      <w:r w:rsidRPr="00961E0F">
        <w:rPr>
          <w:color w:val="000000"/>
          <w:szCs w:val="22"/>
          <w:lang w:val="fr-FR"/>
        </w:rPr>
        <w:t>). Le taux circulant de radioactivité restant correspond à un nombre de métabolites mineurs.</w:t>
      </w:r>
    </w:p>
    <w:p w14:paraId="6C89A592" w14:textId="77777777" w:rsidR="007D642D" w:rsidRPr="00961E0F" w:rsidRDefault="007D642D">
      <w:pPr>
        <w:pStyle w:val="EndnoteText"/>
        <w:widowControl w:val="0"/>
        <w:tabs>
          <w:tab w:val="clear" w:pos="567"/>
        </w:tabs>
        <w:rPr>
          <w:color w:val="000000"/>
          <w:szCs w:val="22"/>
          <w:lang w:val="fr-FR"/>
        </w:rPr>
      </w:pPr>
    </w:p>
    <w:p w14:paraId="77A1BF5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Les tests </w:t>
      </w:r>
      <w:r w:rsidRPr="00961E0F">
        <w:rPr>
          <w:i/>
          <w:color w:val="000000"/>
          <w:szCs w:val="22"/>
          <w:lang w:val="fr-FR"/>
        </w:rPr>
        <w:t>in vitro</w:t>
      </w:r>
      <w:r w:rsidRPr="00961E0F">
        <w:rPr>
          <w:color w:val="000000"/>
          <w:szCs w:val="22"/>
          <w:lang w:val="fr-FR"/>
        </w:rPr>
        <w:t xml:space="preserve"> montrent que le CYP3A4 est le principal enzyme du cytochrome P450 humain catalysant la biotransformation de l’imatinib. Parmi un éventail de médicaments potentiellement co-administrés (paracétamol, aciclovir, allopurinol, amphotéricine, cytarabine, érythromycine, fluconazole, hydroxyurée, norfloxacine, pénicilline V) seuls l’érythromycine (IC</w:t>
      </w:r>
      <w:r w:rsidRPr="00961E0F">
        <w:rPr>
          <w:color w:val="000000"/>
          <w:szCs w:val="22"/>
          <w:vertAlign w:val="subscript"/>
          <w:lang w:val="fr-FR"/>
        </w:rPr>
        <w:t>50</w:t>
      </w:r>
      <w:r w:rsidRPr="00961E0F">
        <w:rPr>
          <w:color w:val="000000"/>
          <w:szCs w:val="22"/>
          <w:lang w:val="fr-FR"/>
        </w:rPr>
        <w:t xml:space="preserve"> 50 µM) et le fluconazole (IC</w:t>
      </w:r>
      <w:r w:rsidRPr="00961E0F">
        <w:rPr>
          <w:color w:val="000000"/>
          <w:szCs w:val="22"/>
          <w:vertAlign w:val="subscript"/>
          <w:lang w:val="fr-FR"/>
        </w:rPr>
        <w:t>50</w:t>
      </w:r>
      <w:r w:rsidRPr="00961E0F">
        <w:rPr>
          <w:color w:val="000000"/>
          <w:szCs w:val="22"/>
          <w:lang w:val="fr-FR"/>
        </w:rPr>
        <w:t xml:space="preserve"> 118 µM) ont montré une inhibition du métabolisme de l’imatinib pouvant être cliniquement significative.</w:t>
      </w:r>
    </w:p>
    <w:p w14:paraId="133706DD" w14:textId="77777777" w:rsidR="007D642D" w:rsidRPr="00961E0F" w:rsidRDefault="007D642D">
      <w:pPr>
        <w:pStyle w:val="EndnoteText"/>
        <w:widowControl w:val="0"/>
        <w:tabs>
          <w:tab w:val="clear" w:pos="567"/>
        </w:tabs>
        <w:rPr>
          <w:color w:val="000000"/>
          <w:szCs w:val="22"/>
          <w:lang w:val="fr-FR"/>
        </w:rPr>
      </w:pPr>
    </w:p>
    <w:p w14:paraId="410F090D" w14:textId="77777777" w:rsidR="007D642D" w:rsidRPr="00961E0F" w:rsidRDefault="007D642D">
      <w:pPr>
        <w:pStyle w:val="EndnoteText"/>
        <w:widowControl w:val="0"/>
        <w:tabs>
          <w:tab w:val="clear" w:pos="567"/>
        </w:tabs>
        <w:rPr>
          <w:color w:val="000000"/>
          <w:szCs w:val="22"/>
          <w:lang w:val="fr-FR"/>
        </w:rPr>
      </w:pPr>
      <w:r w:rsidRPr="00961E0F">
        <w:rPr>
          <w:i/>
          <w:color w:val="000000"/>
          <w:szCs w:val="22"/>
          <w:lang w:val="fr-FR"/>
        </w:rPr>
        <w:t>In vitro</w:t>
      </w:r>
      <w:r w:rsidRPr="00961E0F">
        <w:rPr>
          <w:color w:val="000000"/>
          <w:szCs w:val="22"/>
          <w:lang w:val="fr-FR"/>
        </w:rPr>
        <w:t>, l’imatinib est un inhibiteur compétitif des substrats marqués du CYP2C9, des CYP2D6 et des CYP3A4/5 avec des valeurs de Ki de 27, 7,5 et 7,9 respectivement obtenues sur les microsomes hépatiques humains. Les concentrations plasmatiques maximales de l’imatinib sont de 2–4 µmol/l. Par conséquent, une inhibition du métabolisme de produits co-administrés mettant en jeu les CYP2D6 et CYP3A4/5 est possible. L’imatinib n’interfère pas avec la biotransformation du 5-fluorouracile mais inhibe le métabolisme du paclitaxel par inhibition compétitive du CYP2C8 (K</w:t>
      </w:r>
      <w:r w:rsidRPr="00961E0F">
        <w:rPr>
          <w:color w:val="000000"/>
          <w:szCs w:val="22"/>
          <w:vertAlign w:val="subscript"/>
          <w:lang w:val="fr-FR"/>
        </w:rPr>
        <w:t>i</w:t>
      </w:r>
      <w:r w:rsidRPr="00961E0F">
        <w:rPr>
          <w:color w:val="000000"/>
          <w:szCs w:val="22"/>
          <w:lang w:val="fr-FR"/>
        </w:rPr>
        <w:t xml:space="preserve"> = 34,7). Cette valeur de Ki est de loin supérieure aux taux plasmatiques d’imatinib prévisibles chez les patients. Par conséquent, aucune interaction n’est attendue en cas de co-administration de l’imatinib avec le 5-fluorouracile ou le paclitaxel.</w:t>
      </w:r>
    </w:p>
    <w:p w14:paraId="78DB1D79" w14:textId="77777777" w:rsidR="007D642D" w:rsidRPr="00961E0F" w:rsidRDefault="007D642D">
      <w:pPr>
        <w:pStyle w:val="EndnoteText"/>
        <w:widowControl w:val="0"/>
        <w:tabs>
          <w:tab w:val="clear" w:pos="567"/>
        </w:tabs>
        <w:rPr>
          <w:color w:val="000000"/>
          <w:szCs w:val="22"/>
          <w:lang w:val="fr-FR"/>
        </w:rPr>
      </w:pPr>
    </w:p>
    <w:p w14:paraId="09069E6D" w14:textId="77777777" w:rsidR="007D642D" w:rsidRPr="00961E0F" w:rsidRDefault="006E7418" w:rsidP="000A7F49">
      <w:pPr>
        <w:pStyle w:val="EndnoteText"/>
        <w:keepNext/>
        <w:widowControl w:val="0"/>
        <w:tabs>
          <w:tab w:val="clear" w:pos="567"/>
        </w:tabs>
        <w:rPr>
          <w:color w:val="000000"/>
          <w:szCs w:val="22"/>
          <w:lang w:val="fr-FR"/>
        </w:rPr>
      </w:pPr>
      <w:r w:rsidRPr="00961E0F">
        <w:rPr>
          <w:color w:val="000000"/>
          <w:szCs w:val="22"/>
          <w:u w:val="single"/>
          <w:lang w:val="fr-FR"/>
        </w:rPr>
        <w:t>É</w:t>
      </w:r>
      <w:r w:rsidR="007D642D" w:rsidRPr="00961E0F">
        <w:rPr>
          <w:color w:val="000000"/>
          <w:szCs w:val="22"/>
          <w:u w:val="single"/>
          <w:lang w:val="fr-FR"/>
        </w:rPr>
        <w:t>limination</w:t>
      </w:r>
    </w:p>
    <w:p w14:paraId="5DF86BA0"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Après administration d'une dose orale d'imatinib marqué au </w:t>
      </w:r>
      <w:smartTag w:uri="urn:schemas-microsoft-com:office:smarttags" w:element="metricconverter">
        <w:smartTagPr>
          <w:attr w:name="ProductID" w:val="14C"/>
        </w:smartTagPr>
        <w:r w:rsidRPr="00961E0F">
          <w:rPr>
            <w:color w:val="000000"/>
            <w:szCs w:val="22"/>
            <w:vertAlign w:val="superscript"/>
            <w:lang w:val="fr-FR"/>
          </w:rPr>
          <w:t>14</w:t>
        </w:r>
        <w:r w:rsidRPr="00961E0F">
          <w:rPr>
            <w:color w:val="000000"/>
            <w:szCs w:val="22"/>
            <w:lang w:val="fr-FR"/>
          </w:rPr>
          <w:t>C</w:t>
        </w:r>
      </w:smartTag>
      <w:r w:rsidRPr="00961E0F">
        <w:rPr>
          <w:color w:val="000000"/>
          <w:szCs w:val="22"/>
          <w:lang w:val="fr-FR"/>
        </w:rPr>
        <w:t>, environ 81% de la dose est éliminée au bout de 7 jours (68% dans les fèces et 13% dans les urines). La forme inchangée représente 25% de la dose (5% dans les urines, 20% dans les fèces), le reste étant composé de métabolites.</w:t>
      </w:r>
    </w:p>
    <w:p w14:paraId="1E45C387" w14:textId="77777777" w:rsidR="007D642D" w:rsidRPr="00961E0F" w:rsidRDefault="007D642D">
      <w:pPr>
        <w:pStyle w:val="EndnoteText"/>
        <w:widowControl w:val="0"/>
        <w:tabs>
          <w:tab w:val="clear" w:pos="567"/>
        </w:tabs>
        <w:rPr>
          <w:color w:val="000000"/>
          <w:szCs w:val="22"/>
          <w:lang w:val="fr-FR"/>
        </w:rPr>
      </w:pPr>
    </w:p>
    <w:p w14:paraId="756AC2D1" w14:textId="77777777" w:rsidR="007D642D" w:rsidRPr="00961E0F" w:rsidRDefault="007D642D" w:rsidP="000A7F49">
      <w:pPr>
        <w:pStyle w:val="EndnoteText"/>
        <w:keepNext/>
        <w:widowControl w:val="0"/>
        <w:tabs>
          <w:tab w:val="clear" w:pos="567"/>
        </w:tabs>
        <w:rPr>
          <w:color w:val="000000"/>
          <w:szCs w:val="22"/>
          <w:lang w:val="fr-FR"/>
        </w:rPr>
      </w:pPr>
      <w:r w:rsidRPr="00961E0F">
        <w:rPr>
          <w:color w:val="000000"/>
          <w:szCs w:val="22"/>
          <w:u w:val="single"/>
          <w:lang w:val="fr-FR"/>
        </w:rPr>
        <w:t>Pharmacocinétique plasmatique</w:t>
      </w:r>
    </w:p>
    <w:p w14:paraId="1BC0D5A6"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Après administration par voie orale chez le volontaire sain, la demi-vie, d’environ 18 h, est compatible avec une prise quotidienne unique. L'augmentation de l'ASC moyenne de l'imatinib est linéaire et proportionnelle à la dose administrée à des doses orales allant de 25 à 1 000 mg. Lors d’administrations répétées en prise quotidienne unique, la cinétique de l'imatinib n’est pas modifiée, mais son accumulation, à l’état d'équilibre, est augmentée d’un facteur de 1,5 à 2,5.</w:t>
      </w:r>
    </w:p>
    <w:p w14:paraId="4FD0EF63" w14:textId="77777777" w:rsidR="007D642D" w:rsidRPr="00961E0F" w:rsidRDefault="007D642D">
      <w:pPr>
        <w:pStyle w:val="EndnoteText"/>
        <w:widowControl w:val="0"/>
        <w:tabs>
          <w:tab w:val="clear" w:pos="567"/>
        </w:tabs>
        <w:rPr>
          <w:color w:val="000000"/>
          <w:szCs w:val="22"/>
          <w:lang w:val="fr-FR"/>
        </w:rPr>
      </w:pPr>
    </w:p>
    <w:p w14:paraId="1D7C77A4" w14:textId="77777777" w:rsidR="007D642D" w:rsidRPr="00961E0F" w:rsidRDefault="007D642D" w:rsidP="000A7F49">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 chez des patients atteints de GIST</w:t>
      </w:r>
    </w:p>
    <w:p w14:paraId="4B069DC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Chez des patients atteints de GIST, l’exposition à l’état d’équilibre était 1,5 fois supérieure à celle </w:t>
      </w:r>
      <w:r w:rsidRPr="00961E0F">
        <w:rPr>
          <w:color w:val="000000"/>
          <w:szCs w:val="22"/>
          <w:lang w:val="fr-FR"/>
        </w:rPr>
        <w:lastRenderedPageBreak/>
        <w:t xml:space="preserve">observée à la même dose (400 mg/jour) chez des patients atteints de LMC. Sur la base d’une analyse préliminaire de pharmacocinétique de population de patients atteints de GIST, on a identifié 3 variables (albumine, taux de globules blancs et bilirubine) qui présentaient une relation statistiquement significative avec la pharmacocinétique de l’imatinib. Des valeurs diminuées de l’albumine étaient associées à une diminution de la clairance (Cl/f) et les valeurs plus élevées du taux de globules blancs étaient associées à une réduction de </w:t>
      </w:r>
      <w:smartTag w:uri="urn:schemas-microsoft-com:office:smarttags" w:element="PersonName">
        <w:smartTagPr>
          <w:attr w:name="ProductID" w:val="la Cl"/>
        </w:smartTagPr>
        <w:r w:rsidRPr="00961E0F">
          <w:rPr>
            <w:color w:val="000000"/>
            <w:szCs w:val="22"/>
            <w:lang w:val="fr-FR"/>
          </w:rPr>
          <w:t>la Cl</w:t>
        </w:r>
      </w:smartTag>
      <w:r w:rsidRPr="00961E0F">
        <w:rPr>
          <w:color w:val="000000"/>
          <w:szCs w:val="22"/>
          <w:lang w:val="fr-FR"/>
        </w:rPr>
        <w:t>/f. Toutefois, ces associations n’étaient pas suffisantes pour justifier un ajustement des doses. Dans cette population de patients, la présence de métastases hépatiques pourrait potentiellement conduire à une insuffisance hépatique et à une diminution du métabolisme.</w:t>
      </w:r>
    </w:p>
    <w:p w14:paraId="57DFB4E8" w14:textId="77777777" w:rsidR="007D642D" w:rsidRPr="00961E0F" w:rsidRDefault="007D642D">
      <w:pPr>
        <w:pStyle w:val="EndnoteText"/>
        <w:widowControl w:val="0"/>
        <w:tabs>
          <w:tab w:val="clear" w:pos="567"/>
        </w:tabs>
        <w:rPr>
          <w:color w:val="000000"/>
          <w:szCs w:val="22"/>
          <w:lang w:val="fr-FR"/>
        </w:rPr>
      </w:pPr>
    </w:p>
    <w:p w14:paraId="3C2C0B69" w14:textId="77777777" w:rsidR="007D642D" w:rsidRPr="00961E0F" w:rsidRDefault="007D642D" w:rsidP="000A7F49">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Pharmacocinétiques de population</w:t>
      </w:r>
    </w:p>
    <w:p w14:paraId="00BEA0E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Une analyse de pharmacocinétique de population de patients atteints de LMC a montré une légère influence de l'âge sur le volume de distribution (augmentation de 12% chez les patients &gt; 65 ans), mais cette variation ne semble pas cliniquement significative. Bien que l’effet du poids corporel sur la clairance de l'imatinib laisse attendre une clairance moyenne de 8,5 l/h pour un patient pesant </w:t>
      </w:r>
      <w:smartTag w:uri="urn:schemas-microsoft-com:office:smarttags" w:element="metricconverter">
        <w:smartTagPr>
          <w:attr w:name="ProductID" w:val="50ﾠkg"/>
        </w:smartTagPr>
        <w:r w:rsidRPr="00961E0F">
          <w:rPr>
            <w:color w:val="000000"/>
            <w:szCs w:val="22"/>
            <w:lang w:val="fr-FR"/>
          </w:rPr>
          <w:t>50 kg</w:t>
        </w:r>
      </w:smartTag>
      <w:r w:rsidRPr="00961E0F">
        <w:rPr>
          <w:color w:val="000000"/>
          <w:szCs w:val="22"/>
          <w:lang w:val="fr-FR"/>
        </w:rPr>
        <w:t xml:space="preserve">, contre 11,8 l/h pour un patient pesant </w:t>
      </w:r>
      <w:smartTag w:uri="urn:schemas-microsoft-com:office:smarttags" w:element="metricconverter">
        <w:smartTagPr>
          <w:attr w:name="ProductID" w:val="100ﾠkg"/>
        </w:smartTagPr>
        <w:r w:rsidRPr="00961E0F">
          <w:rPr>
            <w:color w:val="000000"/>
            <w:szCs w:val="22"/>
            <w:lang w:val="fr-FR"/>
          </w:rPr>
          <w:t>100 kg</w:t>
        </w:r>
      </w:smartTag>
      <w:r w:rsidRPr="00961E0F">
        <w:rPr>
          <w:color w:val="000000"/>
          <w:szCs w:val="22"/>
          <w:lang w:val="fr-FR"/>
        </w:rPr>
        <w:t>, une adaptation de la posologie en fonction du poids n’est pas requise. Le sexe n'a aucune influence sur les paramètres cinétiques de l'imatinib.</w:t>
      </w:r>
    </w:p>
    <w:p w14:paraId="2C2F64A8" w14:textId="77777777" w:rsidR="007D642D" w:rsidRPr="00961E0F" w:rsidRDefault="007D642D">
      <w:pPr>
        <w:pStyle w:val="EndnoteText"/>
        <w:widowControl w:val="0"/>
        <w:tabs>
          <w:tab w:val="clear" w:pos="567"/>
        </w:tabs>
        <w:rPr>
          <w:color w:val="000000"/>
          <w:szCs w:val="22"/>
          <w:lang w:val="fr-FR"/>
        </w:rPr>
      </w:pPr>
    </w:p>
    <w:p w14:paraId="3135575A" w14:textId="77777777" w:rsidR="007D642D" w:rsidRPr="00961E0F" w:rsidRDefault="007D642D" w:rsidP="000A7F49">
      <w:pPr>
        <w:pStyle w:val="EndnoteText"/>
        <w:keepNext/>
        <w:widowControl w:val="0"/>
        <w:tabs>
          <w:tab w:val="clear" w:pos="567"/>
        </w:tabs>
        <w:rPr>
          <w:color w:val="000000"/>
          <w:szCs w:val="22"/>
          <w:u w:val="single"/>
          <w:lang w:val="fr-FR"/>
        </w:rPr>
      </w:pPr>
      <w:r w:rsidRPr="00961E0F">
        <w:rPr>
          <w:color w:val="000000"/>
          <w:szCs w:val="22"/>
          <w:u w:val="single"/>
          <w:lang w:val="fr-FR"/>
        </w:rPr>
        <w:t>Pharmacocinétique chez l'enfant</w:t>
      </w:r>
    </w:p>
    <w:p w14:paraId="6664E043" w14:textId="77777777" w:rsidR="007D642D" w:rsidRPr="00961E0F" w:rsidRDefault="007D642D">
      <w:pPr>
        <w:pStyle w:val="EndnoteText"/>
        <w:widowControl w:val="0"/>
        <w:rPr>
          <w:color w:val="000000"/>
          <w:szCs w:val="22"/>
          <w:lang w:val="fr-FR"/>
        </w:rPr>
      </w:pPr>
      <w:r w:rsidRPr="00961E0F">
        <w:rPr>
          <w:color w:val="000000"/>
          <w:szCs w:val="22"/>
          <w:lang w:val="fr-FR"/>
        </w:rPr>
        <w:t>Comme chez l'adulte, l'imatinib a été rapidement absorbé après administration orale chez le patient pédiatrique dans des études de phase I et de phase II. Chez l'enfant, l'administration de doses de 260 et 340 mg/m</w:t>
      </w:r>
      <w:r w:rsidRPr="00961E0F">
        <w:rPr>
          <w:color w:val="000000"/>
          <w:szCs w:val="22"/>
          <w:vertAlign w:val="superscript"/>
          <w:lang w:val="fr-FR"/>
        </w:rPr>
        <w:t>2</w:t>
      </w:r>
      <w:r w:rsidRPr="00961E0F">
        <w:rPr>
          <w:color w:val="000000"/>
          <w:szCs w:val="22"/>
          <w:lang w:val="fr-FR"/>
        </w:rPr>
        <w:t>/jour a permis d'obtenir des concentrations plasmatiques équivalentes aux doses de respectivement 400 mg et 600 mg chez l'adulte. La comparaison de l'ASC</w:t>
      </w:r>
      <w:r w:rsidRPr="00961E0F">
        <w:rPr>
          <w:color w:val="000000"/>
          <w:szCs w:val="22"/>
          <w:vertAlign w:val="subscript"/>
          <w:lang w:val="fr-FR"/>
        </w:rPr>
        <w:t>(0-24)</w:t>
      </w:r>
      <w:r w:rsidRPr="00961E0F">
        <w:rPr>
          <w:color w:val="000000"/>
          <w:szCs w:val="22"/>
          <w:lang w:val="fr-FR"/>
        </w:rPr>
        <w:t xml:space="preserve"> à J 8 et J 1 pour une dose de 340 mg/m</w:t>
      </w:r>
      <w:r w:rsidRPr="00961E0F">
        <w:rPr>
          <w:color w:val="000000"/>
          <w:szCs w:val="22"/>
          <w:vertAlign w:val="superscript"/>
          <w:lang w:val="fr-FR"/>
        </w:rPr>
        <w:t>2</w:t>
      </w:r>
      <w:r w:rsidRPr="00961E0F">
        <w:rPr>
          <w:color w:val="000000"/>
          <w:szCs w:val="22"/>
          <w:lang w:val="fr-FR"/>
        </w:rPr>
        <w:t>/jour a révélé une accumulation de 1,7 fois après des prises uniques quotidiennes itératives.</w:t>
      </w:r>
    </w:p>
    <w:p w14:paraId="46FC5440" w14:textId="77777777" w:rsidR="007D642D" w:rsidRPr="00961E0F" w:rsidRDefault="007D642D">
      <w:pPr>
        <w:pStyle w:val="EndnoteText"/>
        <w:widowControl w:val="0"/>
        <w:tabs>
          <w:tab w:val="clear" w:pos="567"/>
        </w:tabs>
        <w:rPr>
          <w:color w:val="000000"/>
          <w:szCs w:val="22"/>
          <w:lang w:val="fr-FR"/>
        </w:rPr>
      </w:pPr>
    </w:p>
    <w:p w14:paraId="5938FE9B" w14:textId="77777777" w:rsidR="006D51E4" w:rsidRPr="00961E0F" w:rsidRDefault="006D51E4">
      <w:pPr>
        <w:pStyle w:val="EndnoteText"/>
        <w:widowControl w:val="0"/>
        <w:tabs>
          <w:tab w:val="clear" w:pos="567"/>
        </w:tabs>
        <w:rPr>
          <w:color w:val="000000"/>
          <w:szCs w:val="22"/>
          <w:lang w:val="fr-FR"/>
        </w:rPr>
      </w:pPr>
      <w:r w:rsidRPr="00961E0F">
        <w:rPr>
          <w:color w:val="000000"/>
          <w:szCs w:val="22"/>
          <w:lang w:val="fr-FR"/>
        </w:rPr>
        <w:t xml:space="preserve">Des analyses poolées de données de pharmacocinétique de population chez les enfants atteints d’affections hématologiques (LMC, LAL Ph+, ou autres affections hématologiques traitées par l’imatinib) ont montré que la clairance de l’imatinib augmente parallèlement à celle de la surface corporelle (SC). Après correction de l’effet de </w:t>
      </w:r>
      <w:smartTag w:uri="urn:schemas-microsoft-com:office:smarttags" w:element="PersonName">
        <w:smartTagPr>
          <w:attr w:name="ProductID" w:val="la SC"/>
        </w:smartTagPr>
        <w:r w:rsidRPr="00961E0F">
          <w:rPr>
            <w:color w:val="000000"/>
            <w:szCs w:val="22"/>
            <w:lang w:val="fr-FR"/>
          </w:rPr>
          <w:t>la SC</w:t>
        </w:r>
      </w:smartTag>
      <w:r w:rsidRPr="00961E0F">
        <w:rPr>
          <w:color w:val="000000"/>
          <w:szCs w:val="22"/>
          <w:lang w:val="fr-FR"/>
        </w:rPr>
        <w:t>, d’autres caractéristiques démographiques telles que l’âge, le poids corporel, et l’indice de masse corporelle n’avaient pas d’effet cliniquement significatif sur l’exposition à l’imatinib. L’analyse a confirmé que l’exposition à l’imatinib chez les enfants recevant 260 mg/m² une fois par jour (sans dépasser 400 mg une fois par jour) ou 340 mg/m² une fois par jour (sans dépasser 600 mg une fois par jour) était comparable à celle des adultes qui ont reçu 400 mg ou 600 mg d’imatinib une fois par jour.</w:t>
      </w:r>
    </w:p>
    <w:p w14:paraId="7A8C549A" w14:textId="77777777" w:rsidR="006D51E4" w:rsidRPr="00961E0F" w:rsidRDefault="006D51E4">
      <w:pPr>
        <w:pStyle w:val="EndnoteText"/>
        <w:widowControl w:val="0"/>
        <w:tabs>
          <w:tab w:val="clear" w:pos="567"/>
        </w:tabs>
        <w:rPr>
          <w:color w:val="000000"/>
          <w:szCs w:val="22"/>
          <w:lang w:val="fr-FR"/>
        </w:rPr>
      </w:pPr>
    </w:p>
    <w:p w14:paraId="74967F0B" w14:textId="77777777" w:rsidR="007D642D" w:rsidRPr="00961E0F" w:rsidRDefault="007D642D" w:rsidP="000A7F49">
      <w:pPr>
        <w:pStyle w:val="EndnoteText"/>
        <w:keepNext/>
        <w:widowControl w:val="0"/>
        <w:tabs>
          <w:tab w:val="clear" w:pos="567"/>
        </w:tabs>
        <w:rPr>
          <w:color w:val="000000"/>
          <w:szCs w:val="22"/>
          <w:lang w:val="fr-FR"/>
        </w:rPr>
      </w:pPr>
      <w:r w:rsidRPr="00961E0F">
        <w:rPr>
          <w:color w:val="000000"/>
          <w:szCs w:val="22"/>
          <w:u w:val="single"/>
          <w:lang w:val="fr-FR"/>
        </w:rPr>
        <w:t>Altération des fonctions organiques</w:t>
      </w:r>
    </w:p>
    <w:p w14:paraId="4C94C6C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L’imatinib et ses métabolites ne sont pas excrétés de façon significative par le rein. Les patients ayant une altération de la fonction rénale légère à modérée présentent une exposition plasmatique supérieure à celle des patients présentant une fonction rénale normale. L’augmentation est approximativement 1,5 à 2 fois plus, correspondant à une augmentation de 1,5 fois le taux plasmatique d’AGP à laquelle l’imatinib est fortement lié. La clairance de l’imatinib libre chez les patients ayant une altération de la fonction rénale est probablement similaire à celle des patients avec une fonction rénale normale, puisque l’excrétion rénale représente une voie d’élimination mineure de l’imatinib (voir rubrique 4.2 et 4.4).</w:t>
      </w:r>
    </w:p>
    <w:p w14:paraId="029B7F6B" w14:textId="77777777" w:rsidR="007D642D" w:rsidRPr="00961E0F" w:rsidRDefault="007D642D">
      <w:pPr>
        <w:pStyle w:val="EndnoteText"/>
        <w:widowControl w:val="0"/>
        <w:tabs>
          <w:tab w:val="clear" w:pos="567"/>
        </w:tabs>
        <w:rPr>
          <w:color w:val="000000"/>
          <w:szCs w:val="22"/>
          <w:lang w:val="fr-FR"/>
        </w:rPr>
      </w:pPr>
    </w:p>
    <w:p w14:paraId="2273D04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Bien que l’analyse des résultats pharmacocinétiques ait montré une variabilité interindividuelle considérable, l’exposition moyenne à l’imatinib n’était pas augmentée chez des patients qui présentaient une altération de la fonction hépatique à des degrés variables par comparaison aux patients ayant une fonction hépatique normale (voir les rubriques 4.2, 4.4 et 4.8).</w:t>
      </w:r>
    </w:p>
    <w:p w14:paraId="500A6500" w14:textId="77777777" w:rsidR="007D642D" w:rsidRPr="00961E0F" w:rsidRDefault="007D642D">
      <w:pPr>
        <w:pStyle w:val="EndnoteText"/>
        <w:widowControl w:val="0"/>
        <w:tabs>
          <w:tab w:val="clear" w:pos="567"/>
        </w:tabs>
        <w:rPr>
          <w:color w:val="000000"/>
          <w:szCs w:val="22"/>
          <w:lang w:val="fr-FR"/>
        </w:rPr>
      </w:pPr>
    </w:p>
    <w:p w14:paraId="39D191BC"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5.3</w:t>
      </w:r>
      <w:r w:rsidRPr="00961E0F">
        <w:rPr>
          <w:rFonts w:ascii="Times New Roman" w:hAnsi="Times New Roman"/>
          <w:b/>
          <w:color w:val="000000"/>
          <w:szCs w:val="22"/>
        </w:rPr>
        <w:tab/>
        <w:t>Données de sécurité préclinique</w:t>
      </w:r>
    </w:p>
    <w:p w14:paraId="37D09FE1" w14:textId="77777777" w:rsidR="007D642D" w:rsidRPr="00961E0F" w:rsidRDefault="007D642D" w:rsidP="000A7F49">
      <w:pPr>
        <w:pStyle w:val="EndnoteText"/>
        <w:keepNext/>
        <w:widowControl w:val="0"/>
        <w:tabs>
          <w:tab w:val="clear" w:pos="567"/>
        </w:tabs>
        <w:rPr>
          <w:color w:val="000000"/>
          <w:szCs w:val="22"/>
          <w:lang w:val="fr-FR"/>
        </w:rPr>
      </w:pPr>
    </w:p>
    <w:p w14:paraId="5992589F"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Le profil de tolérance préclinique de l’imatinib a été évalué chez le rat, le chien, le singe et le lapin.</w:t>
      </w:r>
    </w:p>
    <w:p w14:paraId="5E5EBC74" w14:textId="77777777" w:rsidR="007D642D" w:rsidRPr="00961E0F" w:rsidRDefault="007D642D">
      <w:pPr>
        <w:widowControl w:val="0"/>
        <w:rPr>
          <w:rFonts w:ascii="Times New Roman" w:hAnsi="Times New Roman"/>
          <w:color w:val="000000"/>
          <w:szCs w:val="22"/>
        </w:rPr>
      </w:pPr>
    </w:p>
    <w:p w14:paraId="73708F2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Des études de toxicité à doses multiples ont mis en évidence des modifications hématologiques légères à modérées chez le rat, le chien et le singe, avec des modifications de la moelle osseuse chez le rat et </w:t>
      </w:r>
      <w:r w:rsidRPr="00961E0F">
        <w:rPr>
          <w:rFonts w:ascii="Times New Roman" w:hAnsi="Times New Roman"/>
          <w:color w:val="000000"/>
          <w:szCs w:val="22"/>
        </w:rPr>
        <w:lastRenderedPageBreak/>
        <w:t>le chien.</w:t>
      </w:r>
    </w:p>
    <w:p w14:paraId="40316D71" w14:textId="77777777" w:rsidR="007D642D" w:rsidRPr="00961E0F" w:rsidRDefault="007D642D">
      <w:pPr>
        <w:widowControl w:val="0"/>
        <w:rPr>
          <w:rFonts w:ascii="Times New Roman" w:hAnsi="Times New Roman"/>
          <w:color w:val="000000"/>
          <w:szCs w:val="22"/>
        </w:rPr>
      </w:pPr>
    </w:p>
    <w:p w14:paraId="4340559A" w14:textId="77777777" w:rsidR="007D642D" w:rsidRPr="00961E0F" w:rsidRDefault="007D642D">
      <w:pPr>
        <w:pStyle w:val="paragraphSIF"/>
        <w:widowControl w:val="0"/>
        <w:tabs>
          <w:tab w:val="clear" w:pos="-720"/>
        </w:tabs>
        <w:jc w:val="left"/>
        <w:rPr>
          <w:color w:val="000000"/>
          <w:szCs w:val="22"/>
          <w:lang w:val="fr-FR"/>
        </w:rPr>
      </w:pPr>
      <w:r w:rsidRPr="00961E0F">
        <w:rPr>
          <w:color w:val="000000"/>
          <w:szCs w:val="22"/>
          <w:lang w:val="fr-FR"/>
        </w:rPr>
        <w:t>Le foie est un organe cible chez le rat et le chien. Des augmentations faibles à modérées des transaminases et de légères diminutions des taux de cholestérol, triglycérides, protéines totales et albumine ont été observées chez les deux espèces. Aucune modification histopathologique n’a été mise en évidence sur le foie de rat. Une toxicité hépatique sévère a été observée chez des chiens traités pendant deux semaines, avec une élévation des enzymes hépatiques, une nécrose hépato-cellulaire, une nécrose des canaux biliaires et une hyperplasie des canaux biliaires.</w:t>
      </w:r>
    </w:p>
    <w:p w14:paraId="1620CEB6" w14:textId="77777777" w:rsidR="007D642D" w:rsidRPr="00961E0F" w:rsidRDefault="007D642D">
      <w:pPr>
        <w:widowControl w:val="0"/>
        <w:rPr>
          <w:rFonts w:ascii="Times New Roman" w:hAnsi="Times New Roman"/>
          <w:color w:val="000000"/>
          <w:szCs w:val="22"/>
        </w:rPr>
      </w:pPr>
    </w:p>
    <w:p w14:paraId="03A6E6D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Une toxicité rénale a été observée chez des singes traités pendant deux semaines, avec une minéralisation et une dilatation focales des tubules rénaux et une néphrose tubulaire. Une augmentation de la créatinine et de l’azotémie a été observée chez plusieurs de ces animaux. Chez les rats une hyperplasie de l’épithélium de transition dans la papille rénale et dans la vessie a été observée à des doses &gt; 6 mg/kg dans l’étude de 13 semaines, sans modification des paramètres urinaires et sanguins. Une augmentation du nombre d’infections opportunistes a été observée avec le traitement chronique par l’imatinib.</w:t>
      </w:r>
    </w:p>
    <w:p w14:paraId="34F1E3CD" w14:textId="77777777" w:rsidR="007D642D" w:rsidRPr="00961E0F" w:rsidRDefault="007D642D">
      <w:pPr>
        <w:widowControl w:val="0"/>
        <w:rPr>
          <w:rFonts w:ascii="Times New Roman" w:hAnsi="Times New Roman"/>
          <w:color w:val="000000"/>
          <w:szCs w:val="22"/>
        </w:rPr>
      </w:pPr>
    </w:p>
    <w:p w14:paraId="3EBCFD53"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Dans une étude de 39 semaines chez le singe, la dose dépourvue d’effet indésirable observable n’a pu être définie avec la plus faible dose de 15 mg/kg, correspondant approximativement à un tiers de la dose maximale de 800 mg chez l’homme basée sur la surface corporelle. Le traitement a entraîné une aggravation des infections paludéennes normalement réprimées chez ces animaux.</w:t>
      </w:r>
    </w:p>
    <w:p w14:paraId="734F286C" w14:textId="77777777" w:rsidR="007D642D" w:rsidRPr="00961E0F" w:rsidRDefault="007D642D">
      <w:pPr>
        <w:widowControl w:val="0"/>
        <w:rPr>
          <w:rFonts w:ascii="Times New Roman" w:hAnsi="Times New Roman"/>
          <w:color w:val="000000"/>
          <w:szCs w:val="22"/>
        </w:rPr>
      </w:pPr>
    </w:p>
    <w:p w14:paraId="3ECEBE2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L’imatinib n’a pas été considéré comme génotoxique dans un test sur cellules bactériennes </w:t>
      </w:r>
      <w:r w:rsidRPr="00961E0F">
        <w:rPr>
          <w:rFonts w:ascii="Times New Roman" w:hAnsi="Times New Roman"/>
          <w:i/>
          <w:color w:val="000000"/>
          <w:szCs w:val="22"/>
        </w:rPr>
        <w:t xml:space="preserve">in vitro </w:t>
      </w:r>
      <w:r w:rsidRPr="00961E0F">
        <w:rPr>
          <w:rFonts w:ascii="Times New Roman" w:hAnsi="Times New Roman"/>
          <w:color w:val="000000"/>
          <w:szCs w:val="22"/>
        </w:rPr>
        <w:t>(test d’</w:t>
      </w:r>
      <w:smartTag w:uri="urn:schemas-microsoft-com:office:smarttags" w:element="stockticker">
        <w:r w:rsidRPr="00961E0F">
          <w:rPr>
            <w:rFonts w:ascii="Times New Roman" w:hAnsi="Times New Roman"/>
            <w:color w:val="000000"/>
            <w:szCs w:val="22"/>
          </w:rPr>
          <w:t>AMES</w:t>
        </w:r>
      </w:smartTag>
      <w:r w:rsidRPr="00961E0F">
        <w:rPr>
          <w:rFonts w:ascii="Times New Roman" w:hAnsi="Times New Roman"/>
          <w:color w:val="000000"/>
          <w:szCs w:val="22"/>
        </w:rPr>
        <w:t xml:space="preserve">), dans un test sur cellules de mammifères </w:t>
      </w:r>
      <w:r w:rsidRPr="00961E0F">
        <w:rPr>
          <w:rFonts w:ascii="Times New Roman" w:hAnsi="Times New Roman"/>
          <w:i/>
          <w:color w:val="000000"/>
          <w:szCs w:val="22"/>
        </w:rPr>
        <w:t>in vitro</w:t>
      </w:r>
      <w:r w:rsidRPr="00961E0F">
        <w:rPr>
          <w:rFonts w:ascii="Times New Roman" w:hAnsi="Times New Roman"/>
          <w:color w:val="000000"/>
          <w:szCs w:val="22"/>
        </w:rPr>
        <w:t xml:space="preserve"> (lymphome de souris) et dans un test sur micronoyaux de rat </w:t>
      </w:r>
      <w:r w:rsidRPr="00961E0F">
        <w:rPr>
          <w:rFonts w:ascii="Times New Roman" w:hAnsi="Times New Roman"/>
          <w:i/>
          <w:color w:val="000000"/>
          <w:szCs w:val="22"/>
        </w:rPr>
        <w:t>in vivo</w:t>
      </w:r>
      <w:r w:rsidRPr="00961E0F">
        <w:rPr>
          <w:rFonts w:ascii="Times New Roman" w:hAnsi="Times New Roman"/>
          <w:color w:val="000000"/>
          <w:szCs w:val="22"/>
        </w:rPr>
        <w:t xml:space="preserve">. Toutefois, des effets génotoxiques positifs ont été obtenus avec l’imatinib dans un test de clastogenèse (aberration chromosomique) sur cellules de mammifères </w:t>
      </w:r>
      <w:r w:rsidRPr="00961E0F">
        <w:rPr>
          <w:rFonts w:ascii="Times New Roman" w:hAnsi="Times New Roman"/>
          <w:i/>
          <w:color w:val="000000"/>
          <w:szCs w:val="22"/>
        </w:rPr>
        <w:t>in vitro</w:t>
      </w:r>
      <w:r w:rsidRPr="00961E0F">
        <w:rPr>
          <w:rFonts w:ascii="Times New Roman" w:hAnsi="Times New Roman"/>
          <w:color w:val="000000"/>
          <w:szCs w:val="22"/>
        </w:rPr>
        <w:t xml:space="preserve"> (cellules ovariennes de hamster chinois) avec activation métabolique. Deux intermédiaires de synthèse, présents dans le produit final, sont positifs au test de mutagenèse d’</w:t>
      </w:r>
      <w:smartTag w:uri="urn:schemas-microsoft-com:office:smarttags" w:element="stockticker">
        <w:r w:rsidRPr="00961E0F">
          <w:rPr>
            <w:rFonts w:ascii="Times New Roman" w:hAnsi="Times New Roman"/>
            <w:color w:val="000000"/>
            <w:szCs w:val="22"/>
          </w:rPr>
          <w:t>AMES</w:t>
        </w:r>
      </w:smartTag>
      <w:r w:rsidRPr="00961E0F">
        <w:rPr>
          <w:rFonts w:ascii="Times New Roman" w:hAnsi="Times New Roman"/>
          <w:color w:val="000000"/>
          <w:szCs w:val="22"/>
        </w:rPr>
        <w:t>. L’un de ces intermédiaires était aussi positif dans le test sur le lymphome de souris.</w:t>
      </w:r>
    </w:p>
    <w:p w14:paraId="1C62C9CC" w14:textId="77777777" w:rsidR="007D642D" w:rsidRPr="00961E0F" w:rsidRDefault="007D642D">
      <w:pPr>
        <w:pStyle w:val="paragraphSIF"/>
        <w:widowControl w:val="0"/>
        <w:tabs>
          <w:tab w:val="clear" w:pos="-720"/>
        </w:tabs>
        <w:jc w:val="left"/>
        <w:rPr>
          <w:color w:val="000000"/>
          <w:szCs w:val="22"/>
          <w:lang w:val="fr-FR"/>
        </w:rPr>
      </w:pPr>
    </w:p>
    <w:p w14:paraId="14E45DD8"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Dans une étude de fertilité, chez le rat mâle traité pendant 70 j avant accouplement, le poids des testicules et de l’épididyme et le pourcentage de mobilité des spermatozoïdes ont diminué à la dose de 60 mg/kg, approximativement équivalente à la dose clinique maximale de 800 mg/j, basée sur la surface corporelle. Cela n’a pas été observé à des doses </w:t>
      </w:r>
      <w:r w:rsidRPr="00961E0F">
        <w:rPr>
          <w:rFonts w:ascii="Times New Roman" w:hAnsi="Times New Roman"/>
          <w:color w:val="000000"/>
          <w:szCs w:val="22"/>
        </w:rPr>
        <w:sym w:font="Symbol" w:char="F0A3"/>
      </w:r>
      <w:r w:rsidRPr="00961E0F">
        <w:rPr>
          <w:rFonts w:ascii="Times New Roman" w:hAnsi="Times New Roman"/>
          <w:color w:val="000000"/>
          <w:szCs w:val="22"/>
        </w:rPr>
        <w:t xml:space="preserve"> 20 mg/kg. Une réduction légère à modérée de la spermatogenèse a aussi été observée chez le chien à des doses orales &gt; 30 mg/kg. Chez des rats femelles traitées pendant 14 jours avant accouplement et pendant 6 jours de gestation, aucun effet n’a été observé sur l’accouplement ou sur le nombre de femelles gestantes. Par contre, à la dose de 60 mg/kg, les rats femelles ont présenté une perte fœtale post-implantation significative et un nombre de fœtus vivants réduit significativement. Ceci n’a pas été observé à des doses </w:t>
      </w:r>
      <w:r w:rsidRPr="00961E0F">
        <w:rPr>
          <w:rFonts w:ascii="Times New Roman" w:hAnsi="Times New Roman"/>
          <w:color w:val="000000"/>
          <w:szCs w:val="22"/>
        </w:rPr>
        <w:sym w:font="Symbol" w:char="F0A3"/>
      </w:r>
      <w:r w:rsidRPr="00961E0F">
        <w:rPr>
          <w:rFonts w:ascii="Times New Roman" w:hAnsi="Times New Roman"/>
          <w:color w:val="000000"/>
          <w:szCs w:val="22"/>
        </w:rPr>
        <w:t> 20 mg/kg.</w:t>
      </w:r>
    </w:p>
    <w:p w14:paraId="17F0ECEE" w14:textId="77777777" w:rsidR="007D642D" w:rsidRPr="00961E0F" w:rsidRDefault="007D642D">
      <w:pPr>
        <w:widowControl w:val="0"/>
        <w:rPr>
          <w:rFonts w:ascii="Times New Roman" w:hAnsi="Times New Roman"/>
          <w:color w:val="000000"/>
          <w:szCs w:val="22"/>
        </w:rPr>
      </w:pPr>
    </w:p>
    <w:p w14:paraId="10BE288D" w14:textId="77777777" w:rsidR="007D642D" w:rsidRPr="00961E0F" w:rsidRDefault="007D642D">
      <w:pPr>
        <w:pStyle w:val="Text"/>
        <w:widowControl w:val="0"/>
        <w:spacing w:before="0"/>
        <w:jc w:val="left"/>
        <w:rPr>
          <w:color w:val="000000"/>
          <w:sz w:val="22"/>
          <w:szCs w:val="22"/>
          <w:lang w:val="fr-FR"/>
        </w:rPr>
      </w:pPr>
      <w:r w:rsidRPr="00961E0F">
        <w:rPr>
          <w:color w:val="000000"/>
          <w:sz w:val="22"/>
          <w:szCs w:val="22"/>
          <w:lang w:val="fr-FR"/>
        </w:rPr>
        <w:t>Après administration orale au cours d'une étude sur le développement prénatal et post-natal chez le rat un écoulement vaginal rouge a été observé dans le groupe sous 45 mg/kg/jour au 14–15</w:t>
      </w:r>
      <w:r w:rsidRPr="00961E0F">
        <w:rPr>
          <w:color w:val="000000"/>
          <w:sz w:val="22"/>
          <w:szCs w:val="22"/>
          <w:vertAlign w:val="superscript"/>
          <w:lang w:val="fr-FR"/>
        </w:rPr>
        <w:t>ème</w:t>
      </w:r>
      <w:r w:rsidRPr="00961E0F">
        <w:rPr>
          <w:color w:val="000000"/>
          <w:sz w:val="22"/>
          <w:szCs w:val="22"/>
          <w:lang w:val="fr-FR"/>
        </w:rPr>
        <w:t xml:space="preserve"> jour de gestation. A la même dose, le nombre de ratons mort-nés ou décédant au cours des 4 premiers jours du post-partum était plus élevé. Dans la descendance F</w:t>
      </w:r>
      <w:r w:rsidRPr="00961E0F">
        <w:rPr>
          <w:color w:val="000000"/>
          <w:sz w:val="22"/>
          <w:szCs w:val="22"/>
          <w:vertAlign w:val="subscript"/>
          <w:lang w:val="fr-FR"/>
        </w:rPr>
        <w:t>1</w:t>
      </w:r>
      <w:r w:rsidRPr="00961E0F">
        <w:rPr>
          <w:color w:val="000000"/>
          <w:sz w:val="22"/>
          <w:szCs w:val="22"/>
          <w:lang w:val="fr-FR"/>
        </w:rPr>
        <w:t>, à la même dose, les poids moyens étaient réduits de la naissance jusqu’au sacrifice final et le nombre de portées atteignant le critère de séparation prépuciale était légèrement plus faible. La fertilité de la descendance F</w:t>
      </w:r>
      <w:r w:rsidRPr="00961E0F">
        <w:rPr>
          <w:color w:val="000000"/>
          <w:sz w:val="22"/>
          <w:szCs w:val="22"/>
          <w:vertAlign w:val="subscript"/>
          <w:lang w:val="fr-FR"/>
        </w:rPr>
        <w:t>1</w:t>
      </w:r>
      <w:r w:rsidRPr="00961E0F">
        <w:rPr>
          <w:color w:val="000000"/>
          <w:sz w:val="22"/>
          <w:szCs w:val="22"/>
          <w:lang w:val="fr-FR"/>
        </w:rPr>
        <w:t xml:space="preserve"> n'était pas modifiée alors qu'un nombre accru de résorptions fœtales et une diminution du nombre de fœtus viables étaient observés à 45 mg/kg/jour. La dose sans effet observable (DSEO) pour les mères et la génération F</w:t>
      </w:r>
      <w:r w:rsidRPr="00961E0F">
        <w:rPr>
          <w:color w:val="000000"/>
          <w:sz w:val="22"/>
          <w:szCs w:val="22"/>
          <w:vertAlign w:val="subscript"/>
          <w:lang w:val="fr-FR"/>
        </w:rPr>
        <w:t>1</w:t>
      </w:r>
      <w:r w:rsidRPr="00961E0F">
        <w:rPr>
          <w:color w:val="000000"/>
          <w:sz w:val="22"/>
          <w:szCs w:val="22"/>
          <w:lang w:val="fr-FR"/>
        </w:rPr>
        <w:t xml:space="preserve"> était de 15 mg/kg/jour (soit un quart de la dose maximale humaine de 800 mg).</w:t>
      </w:r>
    </w:p>
    <w:p w14:paraId="6A2664A3" w14:textId="77777777" w:rsidR="007D642D" w:rsidRPr="00961E0F" w:rsidRDefault="007D642D">
      <w:pPr>
        <w:widowControl w:val="0"/>
        <w:rPr>
          <w:rFonts w:ascii="Times New Roman" w:hAnsi="Times New Roman"/>
          <w:color w:val="000000"/>
          <w:szCs w:val="22"/>
        </w:rPr>
      </w:pPr>
    </w:p>
    <w:p w14:paraId="5DEFC2FD"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L’imatinib est tératogène chez les rats lorsqu’il est administré au cours de l’organogenèse, à des doses </w:t>
      </w:r>
      <w:r w:rsidRPr="00961E0F">
        <w:rPr>
          <w:rFonts w:ascii="Times New Roman" w:hAnsi="Times New Roman"/>
          <w:color w:val="000000"/>
          <w:szCs w:val="22"/>
        </w:rPr>
        <w:sym w:font="Symbol" w:char="F0B3"/>
      </w:r>
      <w:r w:rsidRPr="00961E0F">
        <w:rPr>
          <w:rFonts w:ascii="Times New Roman" w:hAnsi="Times New Roman"/>
          <w:color w:val="000000"/>
          <w:szCs w:val="22"/>
        </w:rPr>
        <w:t xml:space="preserve"> 100 mg/kg, approximativement équivalente à la dose clinique maximale de 800 mg/j, basée sur la surface corporelle. Les effets tératogènes observés sont : une exencéphalie, une encéphalocèle, une réduction/absence de l’os frontal et une absence des os pariétaux. Ces effets n’ont pas été observés à des doses </w:t>
      </w:r>
      <w:r w:rsidRPr="00961E0F">
        <w:rPr>
          <w:rFonts w:ascii="Times New Roman" w:hAnsi="Times New Roman"/>
          <w:color w:val="000000"/>
          <w:szCs w:val="22"/>
        </w:rPr>
        <w:sym w:font="Symbol" w:char="F0A3"/>
      </w:r>
      <w:r w:rsidRPr="00961E0F">
        <w:rPr>
          <w:rFonts w:ascii="Times New Roman" w:hAnsi="Times New Roman"/>
          <w:color w:val="000000"/>
          <w:szCs w:val="22"/>
        </w:rPr>
        <w:t> 30 mg/kg.</w:t>
      </w:r>
    </w:p>
    <w:p w14:paraId="521854D4" w14:textId="77777777" w:rsidR="00FD59BC" w:rsidRPr="00961E0F" w:rsidRDefault="00FD59BC">
      <w:pPr>
        <w:widowControl w:val="0"/>
        <w:rPr>
          <w:rFonts w:ascii="Times New Roman" w:hAnsi="Times New Roman"/>
          <w:color w:val="000000"/>
          <w:szCs w:val="22"/>
        </w:rPr>
      </w:pPr>
    </w:p>
    <w:p w14:paraId="0A7B1898" w14:textId="77777777" w:rsidR="00FD59BC" w:rsidRPr="00961E0F" w:rsidRDefault="00FD59BC" w:rsidP="00FD59BC">
      <w:pPr>
        <w:pStyle w:val="EndnoteText"/>
        <w:widowControl w:val="0"/>
        <w:tabs>
          <w:tab w:val="clear" w:pos="567"/>
        </w:tabs>
        <w:rPr>
          <w:color w:val="000000"/>
          <w:szCs w:val="22"/>
          <w:lang w:val="fr-FR"/>
        </w:rPr>
      </w:pPr>
      <w:r w:rsidRPr="00961E0F">
        <w:rPr>
          <w:color w:val="000000"/>
          <w:szCs w:val="22"/>
          <w:lang w:val="fr-FR"/>
        </w:rPr>
        <w:t xml:space="preserve">Au cours d’une étude de toxicité sur le développement du rat juvénile (jours 10 à 70 post-partum), </w:t>
      </w:r>
      <w:r w:rsidRPr="00961E0F">
        <w:rPr>
          <w:color w:val="000000"/>
          <w:szCs w:val="22"/>
          <w:lang w:val="fr-FR"/>
        </w:rPr>
        <w:lastRenderedPageBreak/>
        <w:t>aucun nouvel organe-cible n’a été identifié par rapport aux organes cibles connus chez le rat adulte. Dans l’étude de toxicité réalisée chez les rats juvéniles, des effets sur la croisssance, un retard de l’ouverture vaginale et de la séparation préputiale ont été observés à la plus haute dose recommandée de 340 mg/m</w:t>
      </w:r>
      <w:r w:rsidRPr="00961E0F">
        <w:rPr>
          <w:color w:val="000000"/>
          <w:szCs w:val="22"/>
          <w:vertAlign w:val="superscript"/>
          <w:lang w:val="fr-FR"/>
        </w:rPr>
        <w:t>2</w:t>
      </w:r>
      <w:r w:rsidRPr="00961E0F">
        <w:rPr>
          <w:color w:val="000000"/>
          <w:szCs w:val="22"/>
          <w:lang w:val="fr-FR"/>
        </w:rPr>
        <w:t xml:space="preserve"> correspondant à environ 0,3 à 2 fois l’exposition pédiatrique moyenne. De plus, des décès ont été observés chez les animaux juvéniles (autour de la phase de sevrage) à la dose la plus haute recommandée de 340 mg/m</w:t>
      </w:r>
      <w:r w:rsidRPr="00961E0F">
        <w:rPr>
          <w:color w:val="000000"/>
          <w:szCs w:val="22"/>
          <w:vertAlign w:val="superscript"/>
          <w:lang w:val="fr-FR"/>
        </w:rPr>
        <w:t>2</w:t>
      </w:r>
      <w:r w:rsidRPr="00961E0F">
        <w:rPr>
          <w:color w:val="000000"/>
          <w:szCs w:val="22"/>
          <w:lang w:val="fr-FR"/>
        </w:rPr>
        <w:t xml:space="preserve"> correspondant à environ 2 fois l’exposition pédiatrique moyenne.</w:t>
      </w:r>
    </w:p>
    <w:p w14:paraId="2F6B2EF3" w14:textId="77777777" w:rsidR="007D642D" w:rsidRPr="00961E0F" w:rsidRDefault="007D642D">
      <w:pPr>
        <w:pStyle w:val="EndnoteText"/>
        <w:widowControl w:val="0"/>
        <w:tabs>
          <w:tab w:val="clear" w:pos="567"/>
        </w:tabs>
        <w:rPr>
          <w:color w:val="000000"/>
          <w:szCs w:val="22"/>
          <w:lang w:val="fr-FR"/>
        </w:rPr>
      </w:pPr>
    </w:p>
    <w:p w14:paraId="3DF4EECD"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 xml:space="preserve">Dans une étude de carcinogénicité d’une durée de deux ans menée chez le rat avec imatinib administré à la dose de 15, 30 et 60 mg/kg/j, une réduction statistiquement significative de la longévité a été observée chez les mâles à la dose de 60 mg/kg/j et chez les femelles à une dose </w:t>
      </w:r>
      <w:r w:rsidRPr="00961E0F">
        <w:rPr>
          <w:color w:val="000000"/>
          <w:szCs w:val="22"/>
          <w:lang w:val="fr-FR"/>
        </w:rPr>
        <w:sym w:font="Symbol" w:char="F0B3"/>
      </w:r>
      <w:r w:rsidRPr="00961E0F">
        <w:rPr>
          <w:color w:val="000000"/>
          <w:szCs w:val="22"/>
          <w:lang w:val="fr-FR"/>
        </w:rPr>
        <w:t> 30 mg/kg/j. L’examen histo-pathologique des animaux a mis en évidence comme cause principale de décés ou de sacrifice des cardiomyopathies (pour les deux sexes), des néphropathies chroniques en progression (chez les femelles) et des papillomes des glandes prépuciales. Les organes cibles des modifications néoplasiques étaient les reins, la vessie, l’urètre, les glandes prépuciales et clitoridiennes, l’intestin grêle, les glandes parathyroïdes, les glandes surrénales, et l’estomac (hors tissu glandulaire).</w:t>
      </w:r>
    </w:p>
    <w:p w14:paraId="787A1618" w14:textId="77777777" w:rsidR="007D642D" w:rsidRPr="00961E0F" w:rsidRDefault="007D642D">
      <w:pPr>
        <w:pStyle w:val="EndnoteText"/>
        <w:widowControl w:val="0"/>
        <w:tabs>
          <w:tab w:val="clear" w:pos="567"/>
        </w:tabs>
        <w:rPr>
          <w:color w:val="000000"/>
          <w:szCs w:val="22"/>
          <w:lang w:val="fr-FR"/>
        </w:rPr>
      </w:pPr>
    </w:p>
    <w:p w14:paraId="7EAE9EEF"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papillomes/carcinomes des glandes prépuciales et clitoridiennes ont été observés à partir des doses de 30 mg/kg/j représentant approximativement 0,5 ou 0,3 fois l’exposition journalière (basée sur l’ASC) chez l’homme traité par 400 mg/j ou 800 mg/j respectivement et 0,4 fois l’exposition journalière (basée sur l’ASC) chez l’enfant traité par 340 mg/m</w:t>
      </w:r>
      <w:r w:rsidRPr="00961E0F">
        <w:rPr>
          <w:color w:val="000000"/>
          <w:szCs w:val="22"/>
          <w:vertAlign w:val="superscript"/>
          <w:lang w:val="fr-FR"/>
        </w:rPr>
        <w:t>2</w:t>
      </w:r>
      <w:r w:rsidRPr="00961E0F">
        <w:rPr>
          <w:color w:val="000000"/>
          <w:szCs w:val="22"/>
          <w:lang w:val="fr-FR"/>
        </w:rPr>
        <w:t>/jour. La dose sans effet observable (DSEO) était de 15 mg/kg/j. Les adénomes/carcinomes rénaux et les papillomes de la vessie et de l’urètre, les adénocarcinomes de l’intestin grêle, les adénomes des parathyroïdes, les tumeurs médullaires bénignes et malignes des glandes surrénales et les carcinomes/papillomes de l’estomac (hors tissu glandulaire) ont été observés à la dose de 60 mg/kg/j, représentant approximativement 1,7 ou 1 fois l’exposition journalière (basée sur l’ASC) chez l’homme traité par 400 mg/j ou 800 mg/j respectivement et 1,2 fois l’exposition journalière (basée sur l’ASC) chez l’enfant traité par 340 mg/m</w:t>
      </w:r>
      <w:r w:rsidRPr="00961E0F">
        <w:rPr>
          <w:color w:val="000000"/>
          <w:szCs w:val="22"/>
          <w:vertAlign w:val="superscript"/>
          <w:lang w:val="fr-FR"/>
        </w:rPr>
        <w:t>2</w:t>
      </w:r>
      <w:r w:rsidRPr="00961E0F">
        <w:rPr>
          <w:color w:val="000000"/>
          <w:szCs w:val="22"/>
          <w:lang w:val="fr-FR"/>
        </w:rPr>
        <w:t>/jour. La dose sans effet observable (DSEO) était de 30 mg/kg/j.</w:t>
      </w:r>
    </w:p>
    <w:p w14:paraId="0C143FB9" w14:textId="77777777" w:rsidR="007D642D" w:rsidRPr="00961E0F" w:rsidRDefault="007D642D">
      <w:pPr>
        <w:pStyle w:val="EndnoteText"/>
        <w:widowControl w:val="0"/>
        <w:tabs>
          <w:tab w:val="clear" w:pos="567"/>
        </w:tabs>
        <w:rPr>
          <w:color w:val="000000"/>
          <w:szCs w:val="22"/>
          <w:lang w:val="fr-FR"/>
        </w:rPr>
      </w:pPr>
    </w:p>
    <w:p w14:paraId="7FDD4A49"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Le mécanisme et la pertinence chez l’homme des résultats de l’étude de carcinogénicité menée chez le rat ne sont pas encore clarifiés.</w:t>
      </w:r>
    </w:p>
    <w:p w14:paraId="6777C78E" w14:textId="77777777" w:rsidR="007D642D" w:rsidRPr="00961E0F" w:rsidRDefault="007D642D">
      <w:pPr>
        <w:pStyle w:val="EndnoteText"/>
        <w:widowControl w:val="0"/>
        <w:tabs>
          <w:tab w:val="clear" w:pos="567"/>
        </w:tabs>
        <w:rPr>
          <w:color w:val="000000"/>
          <w:szCs w:val="22"/>
          <w:lang w:val="fr-FR"/>
        </w:rPr>
      </w:pPr>
    </w:p>
    <w:p w14:paraId="792F884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lésions non-néoplasiques qui n’avaient pas été identifiées au cours d’études précliniques antérieures, ont été observées sur le système cardiovasculaire, le pancréas, les glandes endocrines et les dents. Les modifications les plus importantes comprenaient l’hypertrophie et la dilatation cardiaque responsables de signes d’insuffisance cardiaque.</w:t>
      </w:r>
    </w:p>
    <w:p w14:paraId="2F8CB329" w14:textId="77777777" w:rsidR="001B31F3" w:rsidRPr="00961E0F" w:rsidRDefault="001B31F3">
      <w:pPr>
        <w:pStyle w:val="EndnoteText"/>
        <w:widowControl w:val="0"/>
        <w:tabs>
          <w:tab w:val="clear" w:pos="567"/>
        </w:tabs>
        <w:rPr>
          <w:color w:val="000000"/>
          <w:szCs w:val="22"/>
          <w:lang w:val="fr-FR"/>
        </w:rPr>
      </w:pPr>
    </w:p>
    <w:p w14:paraId="43C206EF" w14:textId="77777777" w:rsidR="001B31F3" w:rsidRPr="00961E0F" w:rsidRDefault="001B31F3" w:rsidP="001B31F3">
      <w:pPr>
        <w:pStyle w:val="EndnoteText"/>
        <w:widowControl w:val="0"/>
        <w:tabs>
          <w:tab w:val="clear" w:pos="567"/>
        </w:tabs>
        <w:rPr>
          <w:color w:val="000000"/>
          <w:szCs w:val="22"/>
          <w:lang w:val="fr-FR"/>
        </w:rPr>
      </w:pPr>
      <w:r w:rsidRPr="00961E0F">
        <w:rPr>
          <w:color w:val="000000"/>
          <w:szCs w:val="22"/>
          <w:lang w:val="fr-FR"/>
        </w:rPr>
        <w:t>La substance active imatinib présente un risque environnemental pour les organismes vivant dans les sédiments.</w:t>
      </w:r>
    </w:p>
    <w:p w14:paraId="0590CCE7" w14:textId="77777777" w:rsidR="007D642D" w:rsidRPr="00961E0F" w:rsidRDefault="007D642D">
      <w:pPr>
        <w:pStyle w:val="EndnoteText"/>
        <w:widowControl w:val="0"/>
        <w:tabs>
          <w:tab w:val="clear" w:pos="567"/>
        </w:tabs>
        <w:rPr>
          <w:color w:val="000000"/>
          <w:szCs w:val="22"/>
          <w:lang w:val="fr-FR"/>
        </w:rPr>
      </w:pPr>
    </w:p>
    <w:p w14:paraId="1F1177BC" w14:textId="77777777" w:rsidR="007D642D" w:rsidRPr="00961E0F" w:rsidRDefault="007D642D">
      <w:pPr>
        <w:pStyle w:val="EndnoteText"/>
        <w:widowControl w:val="0"/>
        <w:tabs>
          <w:tab w:val="clear" w:pos="567"/>
        </w:tabs>
        <w:rPr>
          <w:color w:val="000000"/>
          <w:szCs w:val="22"/>
          <w:lang w:val="fr-FR"/>
        </w:rPr>
      </w:pPr>
    </w:p>
    <w:p w14:paraId="7C2B3B83" w14:textId="77777777" w:rsidR="007D642D" w:rsidRPr="00961E0F" w:rsidRDefault="007D642D" w:rsidP="000A7F49">
      <w:pPr>
        <w:keepNext/>
        <w:widowControl w:val="0"/>
        <w:ind w:left="567" w:hanging="567"/>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DONN</w:t>
      </w:r>
      <w:r w:rsidR="006C27AC" w:rsidRPr="00961E0F">
        <w:rPr>
          <w:rFonts w:ascii="Times New Roman" w:hAnsi="Times New Roman"/>
          <w:b/>
          <w:color w:val="000000"/>
          <w:szCs w:val="22"/>
        </w:rPr>
        <w:t>É</w:t>
      </w:r>
      <w:r w:rsidRPr="00961E0F">
        <w:rPr>
          <w:rFonts w:ascii="Times New Roman" w:hAnsi="Times New Roman"/>
          <w:b/>
          <w:color w:val="000000"/>
          <w:szCs w:val="22"/>
        </w:rPr>
        <w:t>ES PHARMACEUTIQUES</w:t>
      </w:r>
    </w:p>
    <w:p w14:paraId="21971717" w14:textId="77777777" w:rsidR="007D642D" w:rsidRPr="00961E0F" w:rsidRDefault="007D642D" w:rsidP="000A7F49">
      <w:pPr>
        <w:pStyle w:val="EndnoteText"/>
        <w:keepNext/>
        <w:widowControl w:val="0"/>
        <w:tabs>
          <w:tab w:val="clear" w:pos="567"/>
        </w:tabs>
        <w:rPr>
          <w:color w:val="000000"/>
          <w:szCs w:val="22"/>
          <w:lang w:val="fr-FR"/>
        </w:rPr>
      </w:pPr>
    </w:p>
    <w:p w14:paraId="3C5D82A1"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6.1</w:t>
      </w:r>
      <w:r w:rsidRPr="00961E0F">
        <w:rPr>
          <w:rFonts w:ascii="Times New Roman" w:hAnsi="Times New Roman"/>
          <w:b/>
          <w:color w:val="000000"/>
          <w:szCs w:val="22"/>
        </w:rPr>
        <w:tab/>
        <w:t>Liste des excipients</w:t>
      </w:r>
    </w:p>
    <w:p w14:paraId="6A6939F2" w14:textId="77777777" w:rsidR="007D642D" w:rsidRPr="00961E0F" w:rsidRDefault="007D642D" w:rsidP="000A7F49">
      <w:pPr>
        <w:keepNext/>
        <w:widowControl w:val="0"/>
        <w:rPr>
          <w:rFonts w:ascii="Times New Roman" w:hAnsi="Times New Roman"/>
          <w:color w:val="000000"/>
          <w:szCs w:val="22"/>
        </w:rPr>
      </w:pPr>
    </w:p>
    <w:p w14:paraId="61E0E27C"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Noyau du comprimé :</w:t>
      </w:r>
    </w:p>
    <w:p w14:paraId="0B5DACA1"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Cellulose microcristalline</w:t>
      </w:r>
    </w:p>
    <w:p w14:paraId="23B46073"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Crospovidone</w:t>
      </w:r>
    </w:p>
    <w:p w14:paraId="59E4EBF3"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Hypromellose</w:t>
      </w:r>
    </w:p>
    <w:p w14:paraId="3E3CB0C1"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Stéarate de magnésium</w:t>
      </w:r>
    </w:p>
    <w:p w14:paraId="3955B00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Silice colloïdale anhydre</w:t>
      </w:r>
    </w:p>
    <w:p w14:paraId="274F0D88" w14:textId="77777777" w:rsidR="007D642D" w:rsidRPr="00961E0F" w:rsidRDefault="007D642D">
      <w:pPr>
        <w:widowControl w:val="0"/>
        <w:rPr>
          <w:rFonts w:ascii="Times New Roman" w:hAnsi="Times New Roman"/>
          <w:color w:val="000000"/>
          <w:szCs w:val="22"/>
        </w:rPr>
      </w:pPr>
    </w:p>
    <w:p w14:paraId="1EC6E018"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Pelliculage du comprimé :</w:t>
      </w:r>
    </w:p>
    <w:p w14:paraId="4E8FA959"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Oxyde de fer rouge (E172)</w:t>
      </w:r>
    </w:p>
    <w:p w14:paraId="786090BF"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Oxyde de fer jaune (E172)</w:t>
      </w:r>
    </w:p>
    <w:p w14:paraId="2B9DF24A"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Macrogol</w:t>
      </w:r>
    </w:p>
    <w:p w14:paraId="6564C0F2" w14:textId="77777777" w:rsidR="007D642D" w:rsidRPr="00961E0F" w:rsidRDefault="007D642D" w:rsidP="000A7F49">
      <w:pPr>
        <w:keepNext/>
        <w:widowControl w:val="0"/>
        <w:rPr>
          <w:rFonts w:ascii="Times New Roman" w:hAnsi="Times New Roman"/>
          <w:color w:val="000000"/>
          <w:szCs w:val="22"/>
        </w:rPr>
      </w:pPr>
      <w:r w:rsidRPr="00961E0F">
        <w:rPr>
          <w:rFonts w:ascii="Times New Roman" w:hAnsi="Times New Roman"/>
          <w:color w:val="000000"/>
          <w:szCs w:val="22"/>
        </w:rPr>
        <w:t>Talc</w:t>
      </w:r>
    </w:p>
    <w:p w14:paraId="654AE95D"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Hypromellose</w:t>
      </w:r>
    </w:p>
    <w:p w14:paraId="05E792BE" w14:textId="77777777" w:rsidR="007D642D" w:rsidRPr="00961E0F" w:rsidRDefault="007D642D">
      <w:pPr>
        <w:widowControl w:val="0"/>
        <w:rPr>
          <w:rFonts w:ascii="Times New Roman" w:hAnsi="Times New Roman"/>
          <w:color w:val="000000"/>
          <w:szCs w:val="22"/>
        </w:rPr>
      </w:pPr>
    </w:p>
    <w:p w14:paraId="1FF54377"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6.2</w:t>
      </w:r>
      <w:r w:rsidRPr="00961E0F">
        <w:rPr>
          <w:rFonts w:ascii="Times New Roman" w:hAnsi="Times New Roman"/>
          <w:b/>
          <w:color w:val="000000"/>
          <w:szCs w:val="22"/>
        </w:rPr>
        <w:tab/>
        <w:t>Incompatibilités</w:t>
      </w:r>
    </w:p>
    <w:p w14:paraId="1F29E7CD" w14:textId="77777777" w:rsidR="007D642D" w:rsidRPr="00961E0F" w:rsidRDefault="007D642D" w:rsidP="000A7F49">
      <w:pPr>
        <w:keepNext/>
        <w:widowControl w:val="0"/>
        <w:rPr>
          <w:rFonts w:ascii="Times New Roman" w:hAnsi="Times New Roman"/>
          <w:color w:val="000000"/>
          <w:szCs w:val="22"/>
        </w:rPr>
      </w:pPr>
    </w:p>
    <w:p w14:paraId="25AE6676"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Sans objet.</w:t>
      </w:r>
    </w:p>
    <w:p w14:paraId="2E9D7F2E" w14:textId="77777777" w:rsidR="007D642D" w:rsidRPr="00961E0F" w:rsidRDefault="007D642D">
      <w:pPr>
        <w:pStyle w:val="EndnoteText"/>
        <w:widowControl w:val="0"/>
        <w:tabs>
          <w:tab w:val="clear" w:pos="567"/>
        </w:tabs>
        <w:rPr>
          <w:color w:val="000000"/>
          <w:szCs w:val="22"/>
          <w:lang w:val="fr-FR"/>
        </w:rPr>
      </w:pPr>
    </w:p>
    <w:p w14:paraId="6B24D808"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6.3</w:t>
      </w:r>
      <w:r w:rsidRPr="00961E0F">
        <w:rPr>
          <w:rFonts w:ascii="Times New Roman" w:hAnsi="Times New Roman"/>
          <w:b/>
          <w:color w:val="000000"/>
          <w:szCs w:val="22"/>
        </w:rPr>
        <w:tab/>
        <w:t>Durée de conservation</w:t>
      </w:r>
    </w:p>
    <w:p w14:paraId="7F80A051" w14:textId="77777777" w:rsidR="007D642D" w:rsidRPr="00961E0F" w:rsidRDefault="007D642D" w:rsidP="000A7F49">
      <w:pPr>
        <w:keepNext/>
        <w:widowControl w:val="0"/>
        <w:rPr>
          <w:rFonts w:ascii="Times New Roman" w:hAnsi="Times New Roman"/>
          <w:color w:val="000000"/>
          <w:szCs w:val="22"/>
        </w:rPr>
      </w:pPr>
    </w:p>
    <w:p w14:paraId="0493358C"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3 ans</w:t>
      </w:r>
    </w:p>
    <w:p w14:paraId="1E79E18D" w14:textId="77777777" w:rsidR="007D642D" w:rsidRPr="00961E0F" w:rsidRDefault="007D642D">
      <w:pPr>
        <w:pStyle w:val="EndnoteText"/>
        <w:widowControl w:val="0"/>
        <w:tabs>
          <w:tab w:val="clear" w:pos="567"/>
        </w:tabs>
        <w:rPr>
          <w:color w:val="000000"/>
          <w:szCs w:val="22"/>
          <w:lang w:val="fr-FR"/>
        </w:rPr>
      </w:pPr>
    </w:p>
    <w:p w14:paraId="44CE9FB6" w14:textId="77777777" w:rsidR="007D642D" w:rsidRPr="00961E0F" w:rsidRDefault="007D642D" w:rsidP="000A7F49">
      <w:pPr>
        <w:keepNext/>
        <w:widowControl w:val="0"/>
        <w:ind w:left="567" w:hanging="567"/>
        <w:rPr>
          <w:rFonts w:ascii="Times New Roman" w:hAnsi="Times New Roman"/>
          <w:color w:val="000000"/>
          <w:szCs w:val="22"/>
        </w:rPr>
      </w:pPr>
      <w:r w:rsidRPr="00961E0F">
        <w:rPr>
          <w:rFonts w:ascii="Times New Roman" w:hAnsi="Times New Roman"/>
          <w:b/>
          <w:color w:val="000000"/>
          <w:szCs w:val="22"/>
        </w:rPr>
        <w:t>6.4</w:t>
      </w:r>
      <w:r w:rsidRPr="00961E0F">
        <w:rPr>
          <w:rFonts w:ascii="Times New Roman" w:hAnsi="Times New Roman"/>
          <w:b/>
          <w:color w:val="000000"/>
          <w:szCs w:val="22"/>
        </w:rPr>
        <w:tab/>
        <w:t>Précautions particulières de conservation</w:t>
      </w:r>
    </w:p>
    <w:p w14:paraId="45D1D984" w14:textId="77777777" w:rsidR="007D642D" w:rsidRPr="00961E0F" w:rsidRDefault="007D642D" w:rsidP="000A7F49">
      <w:pPr>
        <w:keepNext/>
        <w:widowControl w:val="0"/>
        <w:rPr>
          <w:rFonts w:ascii="Times New Roman" w:hAnsi="Times New Roman"/>
          <w:color w:val="000000"/>
          <w:szCs w:val="22"/>
        </w:rPr>
      </w:pPr>
    </w:p>
    <w:p w14:paraId="1E9272F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conserver à une température ne dépassant pas 30</w:t>
      </w:r>
      <w:r w:rsidRPr="00961E0F">
        <w:rPr>
          <w:rFonts w:ascii="Times New Roman" w:hAnsi="Times New Roman"/>
          <w:color w:val="000000"/>
          <w:szCs w:val="22"/>
        </w:rPr>
        <w:sym w:font="Symbol" w:char="F0B0"/>
      </w:r>
      <w:r w:rsidRPr="00961E0F">
        <w:rPr>
          <w:rFonts w:ascii="Times New Roman" w:hAnsi="Times New Roman"/>
          <w:color w:val="000000"/>
          <w:szCs w:val="22"/>
        </w:rPr>
        <w:t>C.</w:t>
      </w:r>
    </w:p>
    <w:p w14:paraId="73518203" w14:textId="77777777" w:rsidR="007D642D" w:rsidRPr="00961E0F" w:rsidRDefault="007D642D">
      <w:pPr>
        <w:widowControl w:val="0"/>
        <w:rPr>
          <w:rFonts w:ascii="Times New Roman" w:hAnsi="Times New Roman"/>
          <w:color w:val="000000"/>
          <w:szCs w:val="22"/>
        </w:rPr>
      </w:pPr>
    </w:p>
    <w:p w14:paraId="18F598D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conserver dans l’emballage extérieur d'origine à l’abri de l’humidité.</w:t>
      </w:r>
    </w:p>
    <w:p w14:paraId="20F52B60" w14:textId="77777777" w:rsidR="007D642D" w:rsidRPr="00961E0F" w:rsidRDefault="007D642D">
      <w:pPr>
        <w:widowControl w:val="0"/>
        <w:rPr>
          <w:rFonts w:ascii="Times New Roman" w:hAnsi="Times New Roman"/>
          <w:color w:val="000000"/>
          <w:szCs w:val="22"/>
        </w:rPr>
      </w:pPr>
    </w:p>
    <w:p w14:paraId="788DCF59" w14:textId="77777777" w:rsidR="007D642D" w:rsidRPr="00961E0F" w:rsidRDefault="007D642D" w:rsidP="00777258">
      <w:pPr>
        <w:keepNext/>
        <w:widowControl w:val="0"/>
        <w:ind w:left="567" w:hanging="567"/>
        <w:rPr>
          <w:rFonts w:ascii="Times New Roman" w:hAnsi="Times New Roman"/>
          <w:color w:val="000000"/>
          <w:szCs w:val="22"/>
        </w:rPr>
      </w:pPr>
      <w:r w:rsidRPr="00961E0F">
        <w:rPr>
          <w:rFonts w:ascii="Times New Roman" w:hAnsi="Times New Roman"/>
          <w:b/>
          <w:color w:val="000000"/>
          <w:szCs w:val="22"/>
        </w:rPr>
        <w:t>6.5</w:t>
      </w:r>
      <w:r w:rsidRPr="00961E0F">
        <w:rPr>
          <w:rFonts w:ascii="Times New Roman" w:hAnsi="Times New Roman"/>
          <w:b/>
          <w:color w:val="000000"/>
          <w:szCs w:val="22"/>
        </w:rPr>
        <w:tab/>
        <w:t>Nature et contenu de l'emballage extérieur</w:t>
      </w:r>
    </w:p>
    <w:p w14:paraId="7358827D" w14:textId="77777777" w:rsidR="007D642D" w:rsidRPr="00961E0F" w:rsidRDefault="007D642D" w:rsidP="00777258">
      <w:pPr>
        <w:pStyle w:val="EndnoteText"/>
        <w:keepNext/>
        <w:widowControl w:val="0"/>
        <w:tabs>
          <w:tab w:val="clear" w:pos="567"/>
        </w:tabs>
        <w:rPr>
          <w:color w:val="000000"/>
          <w:szCs w:val="22"/>
          <w:lang w:val="fr-FR"/>
        </w:rPr>
      </w:pPr>
    </w:p>
    <w:p w14:paraId="2592EAAD" w14:textId="77777777" w:rsidR="00C42500" w:rsidRPr="00705B3D" w:rsidRDefault="00C42500" w:rsidP="00777258">
      <w:pPr>
        <w:pStyle w:val="EndnoteText"/>
        <w:keepNext/>
        <w:widowControl w:val="0"/>
        <w:tabs>
          <w:tab w:val="clear" w:pos="567"/>
        </w:tabs>
        <w:rPr>
          <w:color w:val="000000"/>
          <w:szCs w:val="22"/>
          <w:u w:val="single"/>
          <w:lang w:val="fr-FR"/>
        </w:rPr>
      </w:pPr>
      <w:r w:rsidRPr="00705B3D">
        <w:rPr>
          <w:color w:val="000000"/>
          <w:szCs w:val="22"/>
          <w:u w:val="single"/>
          <w:lang w:val="fr-FR"/>
        </w:rPr>
        <w:t>Glivec 100 mg comprimés pelliculés</w:t>
      </w:r>
    </w:p>
    <w:p w14:paraId="1041ACA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Plaquettes thermoformées en PVC/aluminium</w:t>
      </w:r>
    </w:p>
    <w:p w14:paraId="4289C9FA"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Boîtes de 20, 60, 120 ou 180 comprimés pelliculés.</w:t>
      </w:r>
    </w:p>
    <w:p w14:paraId="3B165BF4" w14:textId="77777777" w:rsidR="005A129E" w:rsidRDefault="005A129E" w:rsidP="005A129E">
      <w:pPr>
        <w:pStyle w:val="EndnoteText"/>
        <w:widowControl w:val="0"/>
        <w:tabs>
          <w:tab w:val="clear" w:pos="567"/>
        </w:tabs>
        <w:rPr>
          <w:color w:val="000000"/>
          <w:szCs w:val="22"/>
          <w:lang w:val="fr-FR"/>
        </w:rPr>
      </w:pPr>
    </w:p>
    <w:p w14:paraId="63D27B33" w14:textId="77777777" w:rsidR="005A129E" w:rsidRPr="00831C51" w:rsidRDefault="005A129E" w:rsidP="005A129E">
      <w:pPr>
        <w:pStyle w:val="EndnoteText"/>
        <w:widowControl w:val="0"/>
        <w:tabs>
          <w:tab w:val="clear" w:pos="567"/>
        </w:tabs>
        <w:rPr>
          <w:color w:val="000000"/>
          <w:szCs w:val="22"/>
          <w:lang w:val="fr-FR"/>
        </w:rPr>
      </w:pPr>
      <w:r w:rsidRPr="00831C51">
        <w:rPr>
          <w:color w:val="000000"/>
          <w:szCs w:val="22"/>
          <w:lang w:val="fr-FR"/>
        </w:rPr>
        <w:t>Plaquettes thermoformées en PVDC/aluminium</w:t>
      </w:r>
    </w:p>
    <w:p w14:paraId="1CCD5262" w14:textId="77777777" w:rsidR="005A129E" w:rsidRPr="00831C51" w:rsidRDefault="00034653" w:rsidP="005A129E">
      <w:pPr>
        <w:pStyle w:val="EndnoteText"/>
        <w:widowControl w:val="0"/>
        <w:tabs>
          <w:tab w:val="clear" w:pos="567"/>
        </w:tabs>
        <w:rPr>
          <w:color w:val="000000"/>
          <w:szCs w:val="22"/>
          <w:lang w:val="fr-FR"/>
        </w:rPr>
      </w:pPr>
      <w:r>
        <w:rPr>
          <w:color w:val="000000"/>
          <w:szCs w:val="22"/>
          <w:lang w:val="fr-FR"/>
        </w:rPr>
        <w:t>Boîtes de 6</w:t>
      </w:r>
      <w:r w:rsidR="005A129E" w:rsidRPr="00831C51">
        <w:rPr>
          <w:color w:val="000000"/>
          <w:szCs w:val="22"/>
          <w:lang w:val="fr-FR"/>
        </w:rPr>
        <w:t xml:space="preserve">0, </w:t>
      </w:r>
      <w:r w:rsidR="005A129E">
        <w:rPr>
          <w:color w:val="000000"/>
          <w:szCs w:val="22"/>
          <w:lang w:val="fr-FR"/>
        </w:rPr>
        <w:t>120</w:t>
      </w:r>
      <w:r w:rsidR="005A129E" w:rsidRPr="00831C51">
        <w:rPr>
          <w:color w:val="000000"/>
          <w:szCs w:val="22"/>
          <w:lang w:val="fr-FR"/>
        </w:rPr>
        <w:t xml:space="preserve"> ou </w:t>
      </w:r>
      <w:r w:rsidR="005A129E">
        <w:rPr>
          <w:color w:val="000000"/>
          <w:szCs w:val="22"/>
          <w:lang w:val="fr-FR"/>
        </w:rPr>
        <w:t>180</w:t>
      </w:r>
      <w:r w:rsidR="005A129E" w:rsidRPr="00831C51">
        <w:rPr>
          <w:color w:val="000000"/>
          <w:szCs w:val="22"/>
          <w:lang w:val="fr-FR"/>
        </w:rPr>
        <w:t> comprimés pelliculés.</w:t>
      </w:r>
    </w:p>
    <w:p w14:paraId="0BDE40F0" w14:textId="77777777" w:rsidR="007D642D" w:rsidRPr="00961E0F" w:rsidRDefault="007D642D">
      <w:pPr>
        <w:pStyle w:val="EndnoteText"/>
        <w:widowControl w:val="0"/>
        <w:tabs>
          <w:tab w:val="clear" w:pos="567"/>
        </w:tabs>
        <w:rPr>
          <w:color w:val="000000"/>
          <w:szCs w:val="22"/>
          <w:lang w:val="fr-FR"/>
        </w:rPr>
      </w:pPr>
    </w:p>
    <w:p w14:paraId="686DE7AA" w14:textId="77777777" w:rsidR="00C42500" w:rsidRPr="00705B3D" w:rsidRDefault="00C42500" w:rsidP="00777258">
      <w:pPr>
        <w:pStyle w:val="EndnoteText"/>
        <w:keepNext/>
        <w:widowControl w:val="0"/>
        <w:tabs>
          <w:tab w:val="clear" w:pos="567"/>
        </w:tabs>
        <w:rPr>
          <w:color w:val="000000"/>
          <w:szCs w:val="22"/>
          <w:u w:val="single"/>
          <w:lang w:val="fr-FR"/>
        </w:rPr>
      </w:pPr>
      <w:r w:rsidRPr="00705B3D">
        <w:rPr>
          <w:color w:val="000000"/>
          <w:szCs w:val="22"/>
          <w:u w:val="single"/>
          <w:lang w:val="fr-FR"/>
        </w:rPr>
        <w:t>Glivec 400 mg comprimés pelliculés</w:t>
      </w:r>
    </w:p>
    <w:p w14:paraId="5B5D529A" w14:textId="77777777" w:rsidR="00C42500" w:rsidRPr="00961E0F" w:rsidRDefault="00C42500" w:rsidP="00C42500">
      <w:pPr>
        <w:pStyle w:val="EndnoteText"/>
        <w:widowControl w:val="0"/>
        <w:tabs>
          <w:tab w:val="clear" w:pos="567"/>
        </w:tabs>
        <w:rPr>
          <w:color w:val="000000"/>
          <w:szCs w:val="22"/>
          <w:lang w:val="fr-FR"/>
        </w:rPr>
      </w:pPr>
      <w:r w:rsidRPr="00961E0F">
        <w:rPr>
          <w:color w:val="000000"/>
          <w:szCs w:val="22"/>
          <w:lang w:val="fr-FR"/>
        </w:rPr>
        <w:t>Plaquettes thermoformées en PVDC/aluminium</w:t>
      </w:r>
    </w:p>
    <w:p w14:paraId="2636C2BA" w14:textId="77777777" w:rsidR="00C42500" w:rsidRPr="00961E0F" w:rsidRDefault="00C42500" w:rsidP="00C42500">
      <w:pPr>
        <w:pStyle w:val="EndnoteText"/>
        <w:widowControl w:val="0"/>
        <w:tabs>
          <w:tab w:val="clear" w:pos="567"/>
        </w:tabs>
        <w:rPr>
          <w:color w:val="000000"/>
          <w:szCs w:val="22"/>
          <w:lang w:val="fr-FR"/>
        </w:rPr>
      </w:pPr>
      <w:r w:rsidRPr="00961E0F">
        <w:rPr>
          <w:color w:val="000000"/>
          <w:szCs w:val="22"/>
          <w:lang w:val="fr-FR"/>
        </w:rPr>
        <w:t xml:space="preserve">Boîtes de 10, </w:t>
      </w:r>
      <w:r w:rsidR="00D10578" w:rsidRPr="00961E0F">
        <w:rPr>
          <w:color w:val="000000"/>
          <w:szCs w:val="22"/>
          <w:lang w:val="fr-FR"/>
        </w:rPr>
        <w:t>3</w:t>
      </w:r>
      <w:r w:rsidRPr="00961E0F">
        <w:rPr>
          <w:color w:val="000000"/>
          <w:szCs w:val="22"/>
          <w:lang w:val="fr-FR"/>
        </w:rPr>
        <w:t>0 ou 90 comprimés pelliculés.</w:t>
      </w:r>
    </w:p>
    <w:p w14:paraId="1DD918D0" w14:textId="77777777" w:rsidR="00C42500" w:rsidRPr="00961E0F" w:rsidRDefault="00C42500">
      <w:pPr>
        <w:pStyle w:val="EndnoteText"/>
        <w:widowControl w:val="0"/>
        <w:tabs>
          <w:tab w:val="clear" w:pos="567"/>
        </w:tabs>
        <w:rPr>
          <w:color w:val="000000"/>
          <w:szCs w:val="22"/>
          <w:lang w:val="fr-FR"/>
        </w:rPr>
      </w:pPr>
    </w:p>
    <w:p w14:paraId="2C99A2BB"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Toutes les présentations peuvent ne pas être commercialisées.</w:t>
      </w:r>
    </w:p>
    <w:p w14:paraId="1D049822" w14:textId="77777777" w:rsidR="007D642D" w:rsidRPr="00961E0F" w:rsidRDefault="007D642D">
      <w:pPr>
        <w:pStyle w:val="EndnoteText"/>
        <w:widowControl w:val="0"/>
        <w:tabs>
          <w:tab w:val="clear" w:pos="567"/>
        </w:tabs>
        <w:rPr>
          <w:color w:val="000000"/>
          <w:szCs w:val="22"/>
          <w:lang w:val="fr-FR"/>
        </w:rPr>
      </w:pPr>
    </w:p>
    <w:p w14:paraId="544D0CAB" w14:textId="77777777" w:rsidR="007D642D" w:rsidRPr="00961E0F" w:rsidRDefault="007D642D" w:rsidP="00C67CDE">
      <w:pPr>
        <w:keepNext/>
        <w:widowControl w:val="0"/>
        <w:ind w:left="567" w:hanging="567"/>
        <w:rPr>
          <w:rFonts w:ascii="Times New Roman" w:hAnsi="Times New Roman"/>
          <w:color w:val="000000"/>
          <w:szCs w:val="22"/>
        </w:rPr>
      </w:pPr>
      <w:r w:rsidRPr="00961E0F">
        <w:rPr>
          <w:rFonts w:ascii="Times New Roman" w:hAnsi="Times New Roman"/>
          <w:b/>
          <w:color w:val="000000"/>
          <w:szCs w:val="22"/>
        </w:rPr>
        <w:t>6.6</w:t>
      </w:r>
      <w:r w:rsidRPr="00961E0F">
        <w:rPr>
          <w:rFonts w:ascii="Times New Roman" w:hAnsi="Times New Roman"/>
          <w:b/>
          <w:color w:val="000000"/>
          <w:szCs w:val="22"/>
        </w:rPr>
        <w:tab/>
        <w:t>Précautions particulières d’élimination</w:t>
      </w:r>
    </w:p>
    <w:p w14:paraId="2AEBDE6E" w14:textId="77777777" w:rsidR="007D642D" w:rsidRPr="00961E0F" w:rsidRDefault="007D642D" w:rsidP="00C67CDE">
      <w:pPr>
        <w:pStyle w:val="EndnoteText"/>
        <w:keepNext/>
        <w:widowControl w:val="0"/>
        <w:tabs>
          <w:tab w:val="clear" w:pos="567"/>
        </w:tabs>
        <w:rPr>
          <w:color w:val="000000"/>
          <w:szCs w:val="22"/>
          <w:lang w:val="fr-FR"/>
        </w:rPr>
      </w:pPr>
    </w:p>
    <w:p w14:paraId="35C0E16D" w14:textId="77777777" w:rsidR="00B57FC3" w:rsidRPr="00961E0F" w:rsidRDefault="00F750B5">
      <w:pPr>
        <w:pStyle w:val="EndnoteText"/>
        <w:widowControl w:val="0"/>
        <w:tabs>
          <w:tab w:val="clear" w:pos="567"/>
        </w:tabs>
        <w:rPr>
          <w:color w:val="000000"/>
          <w:szCs w:val="22"/>
          <w:lang w:val="fr-FR"/>
        </w:rPr>
      </w:pPr>
      <w:r w:rsidRPr="00961E0F">
        <w:rPr>
          <w:color w:val="000000"/>
          <w:szCs w:val="22"/>
          <w:lang w:val="fr-FR"/>
        </w:rPr>
        <w:t>Tout médicament non utilisé ou déchet doit être éliminé conformément à la réglementation en vigueur.</w:t>
      </w:r>
    </w:p>
    <w:p w14:paraId="4394E6AB" w14:textId="77777777" w:rsidR="007D642D" w:rsidRPr="00961E0F" w:rsidRDefault="007D642D">
      <w:pPr>
        <w:pStyle w:val="EndnoteText"/>
        <w:widowControl w:val="0"/>
        <w:tabs>
          <w:tab w:val="clear" w:pos="567"/>
        </w:tabs>
        <w:rPr>
          <w:color w:val="000000"/>
          <w:szCs w:val="22"/>
          <w:lang w:val="fr-FR"/>
        </w:rPr>
      </w:pPr>
    </w:p>
    <w:p w14:paraId="42620051" w14:textId="77777777" w:rsidR="007D642D" w:rsidRPr="00961E0F" w:rsidRDefault="007D642D">
      <w:pPr>
        <w:pStyle w:val="EndnoteText"/>
        <w:widowControl w:val="0"/>
        <w:tabs>
          <w:tab w:val="clear" w:pos="567"/>
        </w:tabs>
        <w:rPr>
          <w:color w:val="000000"/>
          <w:szCs w:val="22"/>
          <w:lang w:val="fr-FR"/>
        </w:rPr>
      </w:pPr>
    </w:p>
    <w:p w14:paraId="44B3073B" w14:textId="77777777" w:rsidR="007D642D" w:rsidRPr="00961E0F" w:rsidRDefault="007D642D" w:rsidP="00C67CDE">
      <w:pPr>
        <w:keepNext/>
        <w:widowControl w:val="0"/>
        <w:ind w:left="567" w:hanging="567"/>
        <w:rPr>
          <w:rFonts w:ascii="Times New Roman" w:hAnsi="Times New Roman"/>
          <w:color w:val="000000"/>
          <w:szCs w:val="22"/>
        </w:rPr>
      </w:pPr>
      <w:r w:rsidRPr="00961E0F">
        <w:rPr>
          <w:rFonts w:ascii="Times New Roman" w:hAnsi="Times New Roman"/>
          <w:b/>
          <w:color w:val="000000"/>
          <w:szCs w:val="22"/>
        </w:rPr>
        <w:t>7.</w:t>
      </w:r>
      <w:r w:rsidRPr="00961E0F">
        <w:rPr>
          <w:rFonts w:ascii="Times New Roman" w:hAnsi="Times New Roman"/>
          <w:b/>
          <w:color w:val="000000"/>
          <w:szCs w:val="22"/>
        </w:rPr>
        <w:tab/>
        <w:t xml:space="preserve">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6C27AC" w:rsidRPr="00961E0F">
        <w:rPr>
          <w:rFonts w:ascii="Times New Roman" w:hAnsi="Times New Roman"/>
          <w:b/>
          <w:color w:val="000000"/>
          <w:szCs w:val="22"/>
        </w:rPr>
        <w:t>É</w:t>
      </w:r>
    </w:p>
    <w:p w14:paraId="23293A2D" w14:textId="77777777" w:rsidR="007D642D" w:rsidRPr="00961E0F" w:rsidRDefault="007D642D" w:rsidP="00C67CDE">
      <w:pPr>
        <w:pStyle w:val="EndnoteText"/>
        <w:keepNext/>
        <w:widowControl w:val="0"/>
        <w:tabs>
          <w:tab w:val="clear" w:pos="567"/>
        </w:tabs>
        <w:rPr>
          <w:color w:val="000000"/>
          <w:szCs w:val="22"/>
          <w:lang w:val="fr-FR"/>
        </w:rPr>
      </w:pPr>
    </w:p>
    <w:p w14:paraId="7FA99EB8" w14:textId="77777777" w:rsidR="007D642D" w:rsidRPr="00961E0F" w:rsidRDefault="007D642D" w:rsidP="00C67CDE">
      <w:pPr>
        <w:keepNext/>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293AF8E6"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566B535D"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6E69FF62"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73774251"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41381709" w14:textId="77777777" w:rsidR="007D642D" w:rsidRPr="00961E0F" w:rsidRDefault="007D642D">
      <w:pPr>
        <w:widowControl w:val="0"/>
        <w:rPr>
          <w:rFonts w:ascii="Times New Roman" w:hAnsi="Times New Roman"/>
          <w:color w:val="000000"/>
          <w:szCs w:val="22"/>
        </w:rPr>
      </w:pPr>
    </w:p>
    <w:p w14:paraId="1FD8869E" w14:textId="77777777" w:rsidR="007D642D" w:rsidRPr="00961E0F" w:rsidRDefault="007D642D">
      <w:pPr>
        <w:pStyle w:val="EndnoteText"/>
        <w:widowControl w:val="0"/>
        <w:tabs>
          <w:tab w:val="clear" w:pos="567"/>
        </w:tabs>
        <w:rPr>
          <w:color w:val="000000"/>
          <w:szCs w:val="22"/>
          <w:lang w:val="fr-FR"/>
        </w:rPr>
      </w:pPr>
    </w:p>
    <w:p w14:paraId="50B126C7" w14:textId="77777777" w:rsidR="007D642D" w:rsidRPr="00961E0F" w:rsidRDefault="007D642D" w:rsidP="000E0F96">
      <w:pPr>
        <w:pStyle w:val="BodyTextIndent"/>
        <w:keepNext/>
        <w:widowControl w:val="0"/>
        <w:rPr>
          <w:color w:val="000000"/>
          <w:szCs w:val="22"/>
          <w:lang w:val="fr-FR"/>
        </w:rPr>
      </w:pPr>
      <w:r w:rsidRPr="00961E0F">
        <w:rPr>
          <w:color w:val="000000"/>
          <w:szCs w:val="22"/>
          <w:lang w:val="fr-FR"/>
        </w:rPr>
        <w:t>8.</w:t>
      </w:r>
      <w:r w:rsidRPr="00961E0F">
        <w:rPr>
          <w:color w:val="000000"/>
          <w:szCs w:val="22"/>
          <w:lang w:val="fr-FR"/>
        </w:rPr>
        <w:tab/>
        <w:t xml:space="preserve">NUMERO(S) D'AUTORISATION DE MISE </w:t>
      </w:r>
      <w:smartTag w:uri="urn:schemas-microsoft-com:office:smarttags" w:element="stockticker">
        <w:r w:rsidRPr="00961E0F">
          <w:rPr>
            <w:color w:val="000000"/>
            <w:szCs w:val="22"/>
            <w:lang w:val="fr-FR"/>
          </w:rPr>
          <w:t>SUR</w:t>
        </w:r>
      </w:smartTag>
      <w:r w:rsidRPr="00961E0F">
        <w:rPr>
          <w:color w:val="000000"/>
          <w:szCs w:val="22"/>
          <w:lang w:val="fr-FR"/>
        </w:rPr>
        <w:t xml:space="preserve"> LE MARCH</w:t>
      </w:r>
      <w:r w:rsidR="006C27AC" w:rsidRPr="00961E0F">
        <w:rPr>
          <w:color w:val="000000"/>
          <w:szCs w:val="22"/>
          <w:lang w:val="fr-FR"/>
        </w:rPr>
        <w:t>É</w:t>
      </w:r>
    </w:p>
    <w:p w14:paraId="37296FCB" w14:textId="77777777" w:rsidR="007D642D" w:rsidRPr="00961E0F" w:rsidRDefault="007D642D" w:rsidP="000E0F96">
      <w:pPr>
        <w:pStyle w:val="EndnoteText"/>
        <w:keepNext/>
        <w:widowControl w:val="0"/>
        <w:tabs>
          <w:tab w:val="clear" w:pos="567"/>
        </w:tabs>
        <w:rPr>
          <w:color w:val="000000"/>
          <w:szCs w:val="22"/>
          <w:lang w:val="fr-FR"/>
        </w:rPr>
      </w:pPr>
    </w:p>
    <w:p w14:paraId="4BB28DDF" w14:textId="77777777" w:rsidR="00C42500" w:rsidRPr="00961E0F" w:rsidRDefault="00C42500" w:rsidP="000E0F96">
      <w:pPr>
        <w:pStyle w:val="EndnoteText"/>
        <w:keepNext/>
        <w:widowControl w:val="0"/>
        <w:tabs>
          <w:tab w:val="clear" w:pos="567"/>
        </w:tabs>
        <w:rPr>
          <w:color w:val="000000"/>
          <w:szCs w:val="22"/>
          <w:u w:val="single"/>
          <w:lang w:val="fr-FR"/>
        </w:rPr>
      </w:pPr>
      <w:r w:rsidRPr="00961E0F">
        <w:rPr>
          <w:color w:val="000000"/>
          <w:szCs w:val="22"/>
          <w:u w:val="single"/>
          <w:lang w:val="fr-FR"/>
        </w:rPr>
        <w:t>Glivec 100 mg comprimés pelliculés</w:t>
      </w:r>
    </w:p>
    <w:p w14:paraId="1BF976A9" w14:textId="77777777" w:rsidR="007D642D" w:rsidRPr="00961E0F" w:rsidRDefault="007D642D" w:rsidP="005A129E">
      <w:pPr>
        <w:keepNext/>
        <w:widowControl w:val="0"/>
        <w:suppressAutoHyphens/>
        <w:ind w:left="567" w:hanging="567"/>
        <w:rPr>
          <w:rFonts w:ascii="Times New Roman" w:hAnsi="Times New Roman"/>
          <w:color w:val="000000"/>
          <w:szCs w:val="22"/>
        </w:rPr>
      </w:pPr>
      <w:r w:rsidRPr="00961E0F">
        <w:rPr>
          <w:rFonts w:ascii="Times New Roman" w:hAnsi="Times New Roman"/>
          <w:color w:val="000000"/>
          <w:szCs w:val="22"/>
        </w:rPr>
        <w:t>EU/1/01/198/007</w:t>
      </w:r>
    </w:p>
    <w:p w14:paraId="4C49F248" w14:textId="77777777" w:rsidR="007D642D" w:rsidRPr="00961E0F" w:rsidRDefault="007D642D" w:rsidP="005A129E">
      <w:pPr>
        <w:pStyle w:val="EndnoteText"/>
        <w:keepNext/>
        <w:widowControl w:val="0"/>
        <w:tabs>
          <w:tab w:val="clear" w:pos="567"/>
        </w:tabs>
        <w:rPr>
          <w:color w:val="000000"/>
          <w:szCs w:val="22"/>
          <w:lang w:val="fr-FR"/>
        </w:rPr>
      </w:pPr>
      <w:r w:rsidRPr="00961E0F">
        <w:rPr>
          <w:color w:val="000000"/>
          <w:szCs w:val="22"/>
          <w:lang w:val="fr-FR"/>
        </w:rPr>
        <w:t>EU/1/01/198/008</w:t>
      </w:r>
    </w:p>
    <w:p w14:paraId="4BE09989" w14:textId="77777777" w:rsidR="007D642D" w:rsidRPr="00961E0F" w:rsidRDefault="007D642D" w:rsidP="005A129E">
      <w:pPr>
        <w:pStyle w:val="EndnoteText"/>
        <w:keepNext/>
        <w:widowControl w:val="0"/>
        <w:tabs>
          <w:tab w:val="clear" w:pos="567"/>
        </w:tabs>
        <w:rPr>
          <w:color w:val="000000"/>
          <w:szCs w:val="22"/>
          <w:lang w:val="fr-FR"/>
        </w:rPr>
      </w:pPr>
      <w:r w:rsidRPr="00961E0F">
        <w:rPr>
          <w:color w:val="000000"/>
          <w:szCs w:val="22"/>
          <w:lang w:val="fr-FR"/>
        </w:rPr>
        <w:t>EU/1/01/198/011</w:t>
      </w:r>
    </w:p>
    <w:p w14:paraId="026EED65" w14:textId="77777777" w:rsidR="007D642D" w:rsidRPr="00961E0F" w:rsidRDefault="007D642D" w:rsidP="005A129E">
      <w:pPr>
        <w:pStyle w:val="EndnoteText"/>
        <w:keepNext/>
        <w:widowControl w:val="0"/>
        <w:tabs>
          <w:tab w:val="clear" w:pos="567"/>
        </w:tabs>
        <w:rPr>
          <w:color w:val="000000"/>
          <w:szCs w:val="22"/>
          <w:lang w:val="fr-FR"/>
        </w:rPr>
      </w:pPr>
      <w:r w:rsidRPr="00961E0F">
        <w:rPr>
          <w:color w:val="000000"/>
          <w:szCs w:val="22"/>
          <w:lang w:val="fr-FR"/>
        </w:rPr>
        <w:t>EU/1/01/198/012</w:t>
      </w:r>
    </w:p>
    <w:p w14:paraId="7496003F" w14:textId="77777777" w:rsidR="005A129E" w:rsidRPr="009311B9" w:rsidRDefault="005A129E" w:rsidP="005A129E">
      <w:pPr>
        <w:pStyle w:val="EndnoteText"/>
        <w:keepNext/>
        <w:widowControl w:val="0"/>
        <w:tabs>
          <w:tab w:val="clear" w:pos="567"/>
        </w:tabs>
        <w:rPr>
          <w:color w:val="000000"/>
          <w:szCs w:val="22"/>
          <w:lang w:val="fr-FR"/>
        </w:rPr>
      </w:pPr>
      <w:r w:rsidRPr="009311B9">
        <w:rPr>
          <w:color w:val="000000"/>
          <w:szCs w:val="22"/>
          <w:lang w:val="fr-FR"/>
        </w:rPr>
        <w:t>EU/1/01/198/01</w:t>
      </w:r>
      <w:r w:rsidR="00846CCA" w:rsidRPr="009311B9">
        <w:rPr>
          <w:color w:val="000000"/>
          <w:szCs w:val="22"/>
          <w:lang w:val="fr-FR"/>
        </w:rPr>
        <w:t>4</w:t>
      </w:r>
    </w:p>
    <w:p w14:paraId="399478CF" w14:textId="77777777" w:rsidR="005A129E" w:rsidRPr="009311B9" w:rsidRDefault="005A129E" w:rsidP="00034653">
      <w:pPr>
        <w:pStyle w:val="EndnoteText"/>
        <w:keepNext/>
        <w:widowControl w:val="0"/>
        <w:tabs>
          <w:tab w:val="clear" w:pos="567"/>
        </w:tabs>
        <w:rPr>
          <w:color w:val="000000"/>
          <w:szCs w:val="22"/>
          <w:lang w:val="fr-FR"/>
        </w:rPr>
      </w:pPr>
      <w:r w:rsidRPr="009311B9">
        <w:rPr>
          <w:color w:val="000000"/>
          <w:szCs w:val="22"/>
          <w:lang w:val="fr-FR"/>
        </w:rPr>
        <w:t>EU/1/01/198/01</w:t>
      </w:r>
      <w:r w:rsidR="00846CCA" w:rsidRPr="009311B9">
        <w:rPr>
          <w:color w:val="000000"/>
          <w:szCs w:val="22"/>
          <w:lang w:val="fr-FR"/>
        </w:rPr>
        <w:t>5</w:t>
      </w:r>
    </w:p>
    <w:p w14:paraId="0FEB7ACA" w14:textId="77777777" w:rsidR="00034653" w:rsidRPr="009311B9" w:rsidRDefault="00034653" w:rsidP="00034653">
      <w:pPr>
        <w:pStyle w:val="EndnoteText"/>
        <w:widowControl w:val="0"/>
        <w:tabs>
          <w:tab w:val="clear" w:pos="567"/>
        </w:tabs>
        <w:rPr>
          <w:color w:val="000000"/>
          <w:szCs w:val="22"/>
          <w:lang w:val="fr-FR"/>
        </w:rPr>
      </w:pPr>
      <w:r w:rsidRPr="009311B9">
        <w:rPr>
          <w:color w:val="000000"/>
          <w:szCs w:val="22"/>
          <w:lang w:val="fr-FR"/>
        </w:rPr>
        <w:t>EU/1/01/198/01</w:t>
      </w:r>
      <w:r w:rsidR="00846CCA" w:rsidRPr="009311B9">
        <w:rPr>
          <w:color w:val="000000"/>
          <w:szCs w:val="22"/>
          <w:lang w:val="fr-FR"/>
        </w:rPr>
        <w:t>6</w:t>
      </w:r>
    </w:p>
    <w:p w14:paraId="57D245D6" w14:textId="77777777" w:rsidR="00C42500" w:rsidRPr="00961E0F" w:rsidRDefault="00C42500">
      <w:pPr>
        <w:pStyle w:val="EndnoteText"/>
        <w:widowControl w:val="0"/>
        <w:tabs>
          <w:tab w:val="clear" w:pos="567"/>
        </w:tabs>
        <w:rPr>
          <w:color w:val="000000"/>
          <w:szCs w:val="22"/>
          <w:lang w:val="fr-FR"/>
        </w:rPr>
      </w:pPr>
    </w:p>
    <w:p w14:paraId="38CE1442" w14:textId="77777777" w:rsidR="00C42500" w:rsidRPr="00961E0F" w:rsidRDefault="00C42500" w:rsidP="00777258">
      <w:pPr>
        <w:pStyle w:val="EndnoteText"/>
        <w:keepNext/>
        <w:widowControl w:val="0"/>
        <w:tabs>
          <w:tab w:val="clear" w:pos="567"/>
        </w:tabs>
        <w:rPr>
          <w:color w:val="000000"/>
          <w:szCs w:val="22"/>
          <w:u w:val="single"/>
          <w:lang w:val="fr-FR"/>
        </w:rPr>
      </w:pPr>
      <w:r w:rsidRPr="00961E0F">
        <w:rPr>
          <w:color w:val="000000"/>
          <w:szCs w:val="22"/>
          <w:u w:val="single"/>
          <w:lang w:val="fr-FR"/>
        </w:rPr>
        <w:lastRenderedPageBreak/>
        <w:t>Glivec 400 mg comprimés pelliculés</w:t>
      </w:r>
    </w:p>
    <w:p w14:paraId="54EC08EF" w14:textId="77777777" w:rsidR="00C42500" w:rsidRPr="00961E0F" w:rsidRDefault="00C42500" w:rsidP="00C67CDE">
      <w:pPr>
        <w:keepNext/>
        <w:widowControl w:val="0"/>
        <w:suppressAutoHyphens/>
        <w:ind w:left="567" w:hanging="567"/>
        <w:rPr>
          <w:rFonts w:ascii="Times New Roman" w:hAnsi="Times New Roman"/>
          <w:color w:val="000000"/>
          <w:szCs w:val="22"/>
        </w:rPr>
      </w:pPr>
      <w:r w:rsidRPr="00961E0F">
        <w:rPr>
          <w:rFonts w:ascii="Times New Roman" w:hAnsi="Times New Roman"/>
          <w:color w:val="000000"/>
          <w:szCs w:val="22"/>
        </w:rPr>
        <w:t>EU/1/01/198/009</w:t>
      </w:r>
    </w:p>
    <w:p w14:paraId="7E1F944F" w14:textId="77777777" w:rsidR="00C42500" w:rsidRPr="00961E0F" w:rsidRDefault="00C42500" w:rsidP="00C67CDE">
      <w:pPr>
        <w:pStyle w:val="EndnoteText"/>
        <w:keepNext/>
        <w:widowControl w:val="0"/>
        <w:tabs>
          <w:tab w:val="clear" w:pos="567"/>
        </w:tabs>
        <w:rPr>
          <w:color w:val="000000"/>
          <w:szCs w:val="22"/>
          <w:lang w:val="fr-FR"/>
        </w:rPr>
      </w:pPr>
      <w:r w:rsidRPr="00961E0F">
        <w:rPr>
          <w:color w:val="000000"/>
          <w:szCs w:val="22"/>
          <w:lang w:val="fr-FR"/>
        </w:rPr>
        <w:t>EU/1/01/198/010</w:t>
      </w:r>
    </w:p>
    <w:p w14:paraId="1C899296" w14:textId="77777777" w:rsidR="00C42500" w:rsidRPr="00961E0F" w:rsidRDefault="00C42500">
      <w:pPr>
        <w:pStyle w:val="EndnoteText"/>
        <w:widowControl w:val="0"/>
        <w:tabs>
          <w:tab w:val="clear" w:pos="567"/>
        </w:tabs>
        <w:rPr>
          <w:color w:val="000000"/>
          <w:szCs w:val="22"/>
          <w:lang w:val="fr-FR"/>
        </w:rPr>
      </w:pPr>
      <w:r w:rsidRPr="00961E0F">
        <w:rPr>
          <w:color w:val="000000"/>
          <w:szCs w:val="22"/>
          <w:lang w:val="fr-FR"/>
        </w:rPr>
        <w:t>EU/1/01/198/013</w:t>
      </w:r>
    </w:p>
    <w:p w14:paraId="64C94FF1" w14:textId="77777777" w:rsidR="007D642D" w:rsidRPr="00961E0F" w:rsidRDefault="007D642D">
      <w:pPr>
        <w:pStyle w:val="EndnoteText"/>
        <w:widowControl w:val="0"/>
        <w:tabs>
          <w:tab w:val="clear" w:pos="567"/>
        </w:tabs>
        <w:rPr>
          <w:color w:val="000000"/>
          <w:szCs w:val="22"/>
          <w:lang w:val="fr-FR"/>
        </w:rPr>
      </w:pPr>
    </w:p>
    <w:p w14:paraId="1A0CCD62" w14:textId="77777777" w:rsidR="007D642D" w:rsidRPr="00961E0F" w:rsidRDefault="007D642D">
      <w:pPr>
        <w:widowControl w:val="0"/>
        <w:rPr>
          <w:rFonts w:ascii="Times New Roman" w:hAnsi="Times New Roman"/>
          <w:color w:val="000000"/>
          <w:szCs w:val="22"/>
        </w:rPr>
      </w:pPr>
    </w:p>
    <w:p w14:paraId="782FF39A" w14:textId="77777777" w:rsidR="007D642D" w:rsidRPr="00961E0F" w:rsidRDefault="007D642D" w:rsidP="00777258">
      <w:pPr>
        <w:keepNext/>
        <w:widowControl w:val="0"/>
        <w:ind w:left="567" w:hanging="567"/>
        <w:rPr>
          <w:rFonts w:ascii="Times New Roman" w:hAnsi="Times New Roman"/>
          <w:color w:val="000000"/>
          <w:szCs w:val="22"/>
        </w:rPr>
      </w:pPr>
      <w:r w:rsidRPr="00961E0F">
        <w:rPr>
          <w:rFonts w:ascii="Times New Roman" w:hAnsi="Times New Roman"/>
          <w:b/>
          <w:color w:val="000000"/>
          <w:szCs w:val="22"/>
        </w:rPr>
        <w:t>9.</w:t>
      </w:r>
      <w:r w:rsidRPr="00961E0F">
        <w:rPr>
          <w:rFonts w:ascii="Times New Roman" w:hAnsi="Times New Roman"/>
          <w:b/>
          <w:color w:val="000000"/>
          <w:szCs w:val="22"/>
        </w:rPr>
        <w:tab/>
        <w:t>DATE DE PREMI</w:t>
      </w:r>
      <w:r w:rsidR="006C27AC" w:rsidRPr="00961E0F">
        <w:rPr>
          <w:rFonts w:ascii="Times New Roman" w:hAnsi="Times New Roman"/>
          <w:b/>
          <w:color w:val="000000"/>
          <w:szCs w:val="22"/>
        </w:rPr>
        <w:t>È</w:t>
      </w:r>
      <w:r w:rsidRPr="00961E0F">
        <w:rPr>
          <w:rFonts w:ascii="Times New Roman" w:hAnsi="Times New Roman"/>
          <w:b/>
          <w:color w:val="000000"/>
          <w:szCs w:val="22"/>
        </w:rPr>
        <w:t>RE AUTORISATION/DE RENOUVELLEMENT DE L'AUTORISATION</w:t>
      </w:r>
    </w:p>
    <w:p w14:paraId="62A15454" w14:textId="77777777" w:rsidR="007D642D" w:rsidRPr="00961E0F" w:rsidRDefault="007D642D" w:rsidP="00777258">
      <w:pPr>
        <w:keepNext/>
        <w:widowControl w:val="0"/>
        <w:rPr>
          <w:rFonts w:ascii="Times New Roman" w:hAnsi="Times New Roman"/>
          <w:color w:val="000000"/>
          <w:szCs w:val="22"/>
        </w:rPr>
      </w:pPr>
    </w:p>
    <w:p w14:paraId="622CFE3E" w14:textId="77777777" w:rsidR="007D642D" w:rsidRPr="00961E0F" w:rsidRDefault="007D642D" w:rsidP="00777258">
      <w:pPr>
        <w:pStyle w:val="EndnoteText"/>
        <w:keepNext/>
        <w:widowControl w:val="0"/>
        <w:tabs>
          <w:tab w:val="clear" w:pos="567"/>
        </w:tabs>
        <w:rPr>
          <w:color w:val="000000"/>
          <w:szCs w:val="22"/>
          <w:lang w:val="fr-FR"/>
        </w:rPr>
      </w:pPr>
      <w:r w:rsidRPr="00961E0F">
        <w:rPr>
          <w:color w:val="000000"/>
          <w:szCs w:val="22"/>
          <w:lang w:val="fr-FR"/>
        </w:rPr>
        <w:t>Date de première autorisation : 07 novembre 2001</w:t>
      </w:r>
    </w:p>
    <w:p w14:paraId="732287A8"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Date de dernier renouvellement : 07 novembre 2006</w:t>
      </w:r>
    </w:p>
    <w:p w14:paraId="0EBB30E5" w14:textId="77777777" w:rsidR="007D642D" w:rsidRPr="00961E0F" w:rsidRDefault="007D642D">
      <w:pPr>
        <w:widowControl w:val="0"/>
        <w:rPr>
          <w:rFonts w:ascii="Times New Roman" w:hAnsi="Times New Roman"/>
          <w:color w:val="000000"/>
          <w:szCs w:val="22"/>
        </w:rPr>
      </w:pPr>
    </w:p>
    <w:p w14:paraId="3E4F7438" w14:textId="77777777" w:rsidR="007D642D" w:rsidRPr="00961E0F" w:rsidRDefault="007D642D">
      <w:pPr>
        <w:widowControl w:val="0"/>
        <w:rPr>
          <w:rFonts w:ascii="Times New Roman" w:hAnsi="Times New Roman"/>
          <w:color w:val="000000"/>
          <w:szCs w:val="22"/>
        </w:rPr>
      </w:pPr>
    </w:p>
    <w:p w14:paraId="092A5693" w14:textId="77777777" w:rsidR="007D642D" w:rsidRPr="00961E0F" w:rsidRDefault="007D642D" w:rsidP="00777258">
      <w:pPr>
        <w:pStyle w:val="Heading6"/>
        <w:widowControl/>
        <w:rPr>
          <w:color w:val="000000"/>
          <w:szCs w:val="22"/>
        </w:rPr>
      </w:pPr>
      <w:r w:rsidRPr="00961E0F">
        <w:rPr>
          <w:color w:val="000000"/>
          <w:szCs w:val="22"/>
        </w:rPr>
        <w:t>10.</w:t>
      </w:r>
      <w:r w:rsidRPr="00961E0F">
        <w:rPr>
          <w:color w:val="000000"/>
          <w:szCs w:val="22"/>
        </w:rPr>
        <w:tab/>
        <w:t xml:space="preserve">DATE DE MISE </w:t>
      </w:r>
      <w:r w:rsidR="006C27AC" w:rsidRPr="00961E0F">
        <w:rPr>
          <w:color w:val="000000"/>
          <w:szCs w:val="22"/>
        </w:rPr>
        <w:t>À</w:t>
      </w:r>
      <w:r w:rsidRPr="00961E0F">
        <w:rPr>
          <w:color w:val="000000"/>
          <w:szCs w:val="22"/>
        </w:rPr>
        <w:t xml:space="preserve"> JOUR DU TEXTE</w:t>
      </w:r>
    </w:p>
    <w:p w14:paraId="3847EACB" w14:textId="77777777" w:rsidR="007D642D" w:rsidRPr="00961E0F" w:rsidRDefault="007D642D" w:rsidP="00777258">
      <w:pPr>
        <w:keepNext/>
        <w:rPr>
          <w:rFonts w:ascii="Times New Roman" w:hAnsi="Times New Roman"/>
          <w:color w:val="000000"/>
          <w:szCs w:val="22"/>
        </w:rPr>
      </w:pPr>
    </w:p>
    <w:p w14:paraId="3A0739B9" w14:textId="77777777" w:rsidR="007D642D" w:rsidRPr="00961E0F" w:rsidRDefault="007D642D" w:rsidP="00777258">
      <w:pPr>
        <w:keepNext/>
        <w:rPr>
          <w:rFonts w:ascii="Times New Roman" w:hAnsi="Times New Roman"/>
          <w:color w:val="000000"/>
          <w:szCs w:val="22"/>
        </w:rPr>
      </w:pPr>
    </w:p>
    <w:p w14:paraId="423E4F17" w14:textId="77777777" w:rsidR="007D642D" w:rsidRPr="00961E0F" w:rsidRDefault="007D642D">
      <w:pPr>
        <w:pStyle w:val="EndnoteText"/>
        <w:widowControl w:val="0"/>
        <w:tabs>
          <w:tab w:val="clear" w:pos="567"/>
        </w:tabs>
        <w:rPr>
          <w:color w:val="000000"/>
          <w:szCs w:val="22"/>
          <w:lang w:val="fr-FR"/>
        </w:rPr>
      </w:pPr>
      <w:r w:rsidRPr="00961E0F">
        <w:rPr>
          <w:color w:val="000000"/>
          <w:szCs w:val="22"/>
          <w:lang w:val="fr-FR"/>
        </w:rPr>
        <w:t>Des informations détaillées sur ce médicament sont disponibles sur le site internet de l’Agence européenne des médicaments http://www.ema.europa.eu</w:t>
      </w:r>
      <w:r w:rsidR="00320D90" w:rsidRPr="00961E0F">
        <w:rPr>
          <w:color w:val="000000"/>
          <w:szCs w:val="22"/>
          <w:lang w:val="fr-FR"/>
        </w:rPr>
        <w:t>/</w:t>
      </w:r>
      <w:r w:rsidR="006C27AC" w:rsidRPr="00961E0F">
        <w:rPr>
          <w:color w:val="000000"/>
          <w:szCs w:val="22"/>
          <w:lang w:val="fr-FR"/>
        </w:rPr>
        <w:t>.</w:t>
      </w:r>
    </w:p>
    <w:p w14:paraId="6B6CF9DF" w14:textId="77777777" w:rsidR="007D642D" w:rsidRPr="00961E0F" w:rsidRDefault="007D642D" w:rsidP="00777258">
      <w:pPr>
        <w:pStyle w:val="Heading3"/>
        <w:keepNext w:val="0"/>
        <w:widowControl w:val="0"/>
        <w:jc w:val="left"/>
      </w:pPr>
      <w:r w:rsidRPr="00961E0F">
        <w:rPr>
          <w:color w:val="000000"/>
          <w:szCs w:val="22"/>
        </w:rPr>
        <w:br w:type="page"/>
      </w:r>
    </w:p>
    <w:p w14:paraId="4EBADC04" w14:textId="77777777" w:rsidR="007D642D" w:rsidRPr="00961E0F" w:rsidRDefault="007D642D">
      <w:pPr>
        <w:ind w:right="1416"/>
        <w:outlineLvl w:val="0"/>
        <w:rPr>
          <w:rFonts w:ascii="Times New Roman" w:hAnsi="Times New Roman"/>
          <w:color w:val="000000"/>
          <w:szCs w:val="22"/>
        </w:rPr>
      </w:pPr>
    </w:p>
    <w:p w14:paraId="719776F7" w14:textId="77777777" w:rsidR="007D642D" w:rsidRPr="00961E0F" w:rsidRDefault="007D642D">
      <w:pPr>
        <w:ind w:right="1416"/>
        <w:outlineLvl w:val="0"/>
        <w:rPr>
          <w:rFonts w:ascii="Times New Roman" w:hAnsi="Times New Roman"/>
          <w:color w:val="000000"/>
          <w:szCs w:val="22"/>
        </w:rPr>
      </w:pPr>
    </w:p>
    <w:p w14:paraId="5ABBE90D" w14:textId="77777777" w:rsidR="007D642D" w:rsidRPr="00961E0F" w:rsidRDefault="007D642D">
      <w:pPr>
        <w:ind w:right="1416"/>
        <w:outlineLvl w:val="0"/>
        <w:rPr>
          <w:rFonts w:ascii="Times New Roman" w:hAnsi="Times New Roman"/>
          <w:color w:val="000000"/>
          <w:szCs w:val="22"/>
        </w:rPr>
      </w:pPr>
    </w:p>
    <w:p w14:paraId="75E8735B" w14:textId="77777777" w:rsidR="007D642D" w:rsidRPr="00961E0F" w:rsidRDefault="007D642D">
      <w:pPr>
        <w:ind w:right="1416"/>
        <w:outlineLvl w:val="0"/>
        <w:rPr>
          <w:rFonts w:ascii="Times New Roman" w:hAnsi="Times New Roman"/>
          <w:color w:val="000000"/>
          <w:szCs w:val="22"/>
        </w:rPr>
      </w:pPr>
    </w:p>
    <w:p w14:paraId="719E6FE1" w14:textId="77777777" w:rsidR="007D642D" w:rsidRPr="00961E0F" w:rsidRDefault="007D642D">
      <w:pPr>
        <w:ind w:right="1416"/>
        <w:outlineLvl w:val="0"/>
        <w:rPr>
          <w:rFonts w:ascii="Times New Roman" w:hAnsi="Times New Roman"/>
          <w:color w:val="000000"/>
          <w:szCs w:val="22"/>
        </w:rPr>
      </w:pPr>
    </w:p>
    <w:p w14:paraId="6636F476" w14:textId="77777777" w:rsidR="007D642D" w:rsidRPr="00961E0F" w:rsidRDefault="007D642D">
      <w:pPr>
        <w:ind w:right="1416"/>
        <w:outlineLvl w:val="0"/>
        <w:rPr>
          <w:rFonts w:ascii="Times New Roman" w:hAnsi="Times New Roman"/>
          <w:color w:val="000000"/>
          <w:szCs w:val="22"/>
        </w:rPr>
      </w:pPr>
    </w:p>
    <w:p w14:paraId="654D3818" w14:textId="77777777" w:rsidR="007D642D" w:rsidRPr="00961E0F" w:rsidRDefault="007D642D">
      <w:pPr>
        <w:ind w:right="1416"/>
        <w:outlineLvl w:val="0"/>
        <w:rPr>
          <w:rFonts w:ascii="Times New Roman" w:hAnsi="Times New Roman"/>
          <w:color w:val="000000"/>
          <w:szCs w:val="22"/>
        </w:rPr>
      </w:pPr>
    </w:p>
    <w:p w14:paraId="5E6DD9C4" w14:textId="77777777" w:rsidR="007D642D" w:rsidRPr="00961E0F" w:rsidRDefault="007D642D">
      <w:pPr>
        <w:ind w:right="1416"/>
        <w:outlineLvl w:val="0"/>
        <w:rPr>
          <w:rFonts w:ascii="Times New Roman" w:hAnsi="Times New Roman"/>
          <w:color w:val="000000"/>
          <w:szCs w:val="22"/>
        </w:rPr>
      </w:pPr>
    </w:p>
    <w:p w14:paraId="3748275E" w14:textId="77777777" w:rsidR="007D642D" w:rsidRPr="00961E0F" w:rsidRDefault="007D642D">
      <w:pPr>
        <w:ind w:right="1416"/>
        <w:outlineLvl w:val="0"/>
        <w:rPr>
          <w:rFonts w:ascii="Times New Roman" w:hAnsi="Times New Roman"/>
          <w:color w:val="000000"/>
          <w:szCs w:val="22"/>
        </w:rPr>
      </w:pPr>
    </w:p>
    <w:p w14:paraId="661B21F4" w14:textId="77777777" w:rsidR="007D642D" w:rsidRPr="00961E0F" w:rsidRDefault="007D642D">
      <w:pPr>
        <w:ind w:right="1416"/>
        <w:outlineLvl w:val="0"/>
        <w:rPr>
          <w:rFonts w:ascii="Times New Roman" w:hAnsi="Times New Roman"/>
          <w:color w:val="000000"/>
          <w:szCs w:val="22"/>
        </w:rPr>
      </w:pPr>
    </w:p>
    <w:p w14:paraId="39F2818E" w14:textId="77777777" w:rsidR="007D642D" w:rsidRPr="00961E0F" w:rsidRDefault="007D642D">
      <w:pPr>
        <w:ind w:right="1416"/>
        <w:outlineLvl w:val="0"/>
        <w:rPr>
          <w:rFonts w:ascii="Times New Roman" w:hAnsi="Times New Roman"/>
          <w:color w:val="000000"/>
          <w:szCs w:val="22"/>
        </w:rPr>
      </w:pPr>
    </w:p>
    <w:p w14:paraId="2760FE5A" w14:textId="77777777" w:rsidR="007D642D" w:rsidRPr="00961E0F" w:rsidRDefault="007D642D">
      <w:pPr>
        <w:ind w:right="1416"/>
        <w:outlineLvl w:val="0"/>
        <w:rPr>
          <w:rFonts w:ascii="Times New Roman" w:hAnsi="Times New Roman"/>
          <w:color w:val="000000"/>
          <w:szCs w:val="22"/>
        </w:rPr>
      </w:pPr>
    </w:p>
    <w:p w14:paraId="4F0A8D66" w14:textId="77777777" w:rsidR="007D642D" w:rsidRPr="00961E0F" w:rsidRDefault="007D642D">
      <w:pPr>
        <w:ind w:right="1416"/>
        <w:outlineLvl w:val="0"/>
        <w:rPr>
          <w:rFonts w:ascii="Times New Roman" w:hAnsi="Times New Roman"/>
          <w:color w:val="000000"/>
          <w:szCs w:val="22"/>
        </w:rPr>
      </w:pPr>
    </w:p>
    <w:p w14:paraId="62DF5F90" w14:textId="77777777" w:rsidR="007D642D" w:rsidRPr="00961E0F" w:rsidRDefault="007D642D">
      <w:pPr>
        <w:ind w:right="1416"/>
        <w:outlineLvl w:val="0"/>
        <w:rPr>
          <w:rFonts w:ascii="Times New Roman" w:hAnsi="Times New Roman"/>
          <w:color w:val="000000"/>
          <w:szCs w:val="22"/>
        </w:rPr>
      </w:pPr>
    </w:p>
    <w:p w14:paraId="2E620B87" w14:textId="77777777" w:rsidR="007D642D" w:rsidRPr="00961E0F" w:rsidRDefault="007D642D">
      <w:pPr>
        <w:ind w:right="1416"/>
        <w:outlineLvl w:val="0"/>
        <w:rPr>
          <w:rFonts w:ascii="Times New Roman" w:hAnsi="Times New Roman"/>
          <w:color w:val="000000"/>
          <w:szCs w:val="22"/>
        </w:rPr>
      </w:pPr>
    </w:p>
    <w:p w14:paraId="02610952" w14:textId="77777777" w:rsidR="007D642D" w:rsidRPr="00961E0F" w:rsidRDefault="007D642D">
      <w:pPr>
        <w:ind w:right="1416"/>
        <w:outlineLvl w:val="0"/>
        <w:rPr>
          <w:rFonts w:ascii="Times New Roman" w:hAnsi="Times New Roman"/>
          <w:color w:val="000000"/>
          <w:szCs w:val="22"/>
        </w:rPr>
      </w:pPr>
    </w:p>
    <w:p w14:paraId="5FAF4902" w14:textId="77777777" w:rsidR="007D642D" w:rsidRPr="00961E0F" w:rsidRDefault="007D642D">
      <w:pPr>
        <w:ind w:right="1416"/>
        <w:outlineLvl w:val="0"/>
        <w:rPr>
          <w:rFonts w:ascii="Times New Roman" w:hAnsi="Times New Roman"/>
          <w:color w:val="000000"/>
          <w:szCs w:val="22"/>
        </w:rPr>
      </w:pPr>
    </w:p>
    <w:p w14:paraId="6290B0BC" w14:textId="77777777" w:rsidR="007D642D" w:rsidRPr="00961E0F" w:rsidRDefault="007D642D">
      <w:pPr>
        <w:ind w:right="1416"/>
        <w:outlineLvl w:val="0"/>
        <w:rPr>
          <w:rFonts w:ascii="Times New Roman" w:hAnsi="Times New Roman"/>
          <w:color w:val="000000"/>
          <w:szCs w:val="22"/>
        </w:rPr>
      </w:pPr>
    </w:p>
    <w:p w14:paraId="63D9196D" w14:textId="77777777" w:rsidR="007D642D" w:rsidRPr="00961E0F" w:rsidRDefault="007D642D">
      <w:pPr>
        <w:ind w:right="1416"/>
        <w:outlineLvl w:val="0"/>
        <w:rPr>
          <w:rFonts w:ascii="Times New Roman" w:hAnsi="Times New Roman"/>
          <w:color w:val="000000"/>
          <w:szCs w:val="22"/>
        </w:rPr>
      </w:pPr>
    </w:p>
    <w:p w14:paraId="1AB1517A" w14:textId="77777777" w:rsidR="007D642D" w:rsidRPr="00961E0F" w:rsidRDefault="007D642D">
      <w:pPr>
        <w:ind w:right="1416"/>
        <w:outlineLvl w:val="0"/>
        <w:rPr>
          <w:rFonts w:ascii="Times New Roman" w:hAnsi="Times New Roman"/>
          <w:color w:val="000000"/>
          <w:szCs w:val="22"/>
        </w:rPr>
      </w:pPr>
    </w:p>
    <w:p w14:paraId="1F8F77DC" w14:textId="77777777" w:rsidR="007D642D" w:rsidRDefault="007D642D">
      <w:pPr>
        <w:ind w:right="1416"/>
        <w:outlineLvl w:val="0"/>
        <w:rPr>
          <w:rFonts w:ascii="Times New Roman" w:hAnsi="Times New Roman"/>
          <w:color w:val="000000"/>
          <w:szCs w:val="22"/>
        </w:rPr>
      </w:pPr>
    </w:p>
    <w:p w14:paraId="5DF5F1C9" w14:textId="77777777" w:rsidR="00C67CDE" w:rsidRDefault="00C67CDE">
      <w:pPr>
        <w:ind w:right="1416"/>
        <w:outlineLvl w:val="0"/>
        <w:rPr>
          <w:rFonts w:ascii="Times New Roman" w:hAnsi="Times New Roman"/>
          <w:color w:val="000000"/>
          <w:szCs w:val="22"/>
        </w:rPr>
      </w:pPr>
    </w:p>
    <w:p w14:paraId="3F499512" w14:textId="77777777" w:rsidR="00C67CDE" w:rsidRPr="00961E0F" w:rsidRDefault="00C67CDE">
      <w:pPr>
        <w:ind w:right="1416"/>
        <w:outlineLvl w:val="0"/>
        <w:rPr>
          <w:rFonts w:ascii="Times New Roman" w:hAnsi="Times New Roman"/>
          <w:color w:val="000000"/>
          <w:szCs w:val="22"/>
        </w:rPr>
      </w:pPr>
    </w:p>
    <w:p w14:paraId="04E8A058" w14:textId="77777777" w:rsidR="007D642D" w:rsidRPr="00961E0F" w:rsidRDefault="007D642D">
      <w:pPr>
        <w:ind w:right="1416"/>
        <w:jc w:val="center"/>
        <w:outlineLvl w:val="0"/>
        <w:rPr>
          <w:rFonts w:ascii="Times New Roman" w:hAnsi="Times New Roman"/>
          <w:b/>
          <w:color w:val="000000"/>
          <w:szCs w:val="22"/>
        </w:rPr>
      </w:pPr>
      <w:r w:rsidRPr="00961E0F">
        <w:rPr>
          <w:rFonts w:ascii="Times New Roman" w:hAnsi="Times New Roman"/>
          <w:b/>
          <w:color w:val="000000"/>
          <w:szCs w:val="22"/>
        </w:rPr>
        <w:t>ANNEXE II</w:t>
      </w:r>
    </w:p>
    <w:p w14:paraId="6B5C0A69" w14:textId="77777777" w:rsidR="007D642D" w:rsidRPr="00961E0F" w:rsidRDefault="007D642D">
      <w:pPr>
        <w:ind w:right="1416"/>
        <w:rPr>
          <w:rFonts w:ascii="Times New Roman" w:hAnsi="Times New Roman"/>
          <w:color w:val="000000"/>
          <w:szCs w:val="22"/>
        </w:rPr>
      </w:pPr>
    </w:p>
    <w:p w14:paraId="4508520F" w14:textId="77777777" w:rsidR="007D642D" w:rsidRPr="00961E0F" w:rsidRDefault="007D642D">
      <w:pPr>
        <w:numPr>
          <w:ilvl w:val="0"/>
          <w:numId w:val="7"/>
        </w:numPr>
        <w:tabs>
          <w:tab w:val="clear" w:pos="1494"/>
          <w:tab w:val="left" w:pos="1701"/>
        </w:tabs>
        <w:ind w:left="1701" w:right="1418" w:hanging="567"/>
        <w:rPr>
          <w:rFonts w:ascii="Times New Roman" w:hAnsi="Times New Roman"/>
          <w:color w:val="000000"/>
          <w:szCs w:val="22"/>
        </w:rPr>
      </w:pPr>
      <w:r w:rsidRPr="00961E0F">
        <w:rPr>
          <w:rFonts w:ascii="Times New Roman" w:hAnsi="Times New Roman"/>
          <w:b/>
          <w:color w:val="000000"/>
          <w:szCs w:val="22"/>
        </w:rPr>
        <w:t xml:space="preserve">FABRICANT RESPONSABLE DE </w:t>
      </w:r>
      <w:smartTag w:uri="urn:schemas-microsoft-com:office:smarttags" w:element="PersonName">
        <w:smartTagPr>
          <w:attr w:name="ProductID" w:val="LA LIBÉRATION DES"/>
        </w:smartTagPr>
        <w:r w:rsidRPr="00961E0F">
          <w:rPr>
            <w:rFonts w:ascii="Times New Roman" w:hAnsi="Times New Roman"/>
            <w:b/>
            <w:color w:val="000000"/>
            <w:szCs w:val="22"/>
          </w:rPr>
          <w:t>LA LIB</w:t>
        </w:r>
        <w:r w:rsidR="00482AC8" w:rsidRPr="00961E0F">
          <w:rPr>
            <w:rFonts w:ascii="Times New Roman" w:hAnsi="Times New Roman"/>
            <w:b/>
            <w:color w:val="000000"/>
            <w:szCs w:val="22"/>
          </w:rPr>
          <w:t>É</w:t>
        </w:r>
        <w:r w:rsidRPr="00961E0F">
          <w:rPr>
            <w:rFonts w:ascii="Times New Roman" w:hAnsi="Times New Roman"/>
            <w:b/>
            <w:color w:val="000000"/>
            <w:szCs w:val="22"/>
          </w:rPr>
          <w:t xml:space="preserve">RATION </w:t>
        </w:r>
        <w:smartTag w:uri="urn:schemas-microsoft-com:office:smarttags" w:element="stockticker">
          <w:r w:rsidRPr="00961E0F">
            <w:rPr>
              <w:rFonts w:ascii="Times New Roman" w:hAnsi="Times New Roman"/>
              <w:b/>
              <w:color w:val="000000"/>
              <w:szCs w:val="22"/>
            </w:rPr>
            <w:t>DES</w:t>
          </w:r>
        </w:smartTag>
      </w:smartTag>
      <w:r w:rsidRPr="00961E0F">
        <w:rPr>
          <w:rFonts w:ascii="Times New Roman" w:hAnsi="Times New Roman"/>
          <w:b/>
          <w:color w:val="000000"/>
          <w:szCs w:val="22"/>
        </w:rPr>
        <w:t xml:space="preserve"> LOTS</w:t>
      </w:r>
    </w:p>
    <w:p w14:paraId="6B40E349" w14:textId="77777777" w:rsidR="007D642D" w:rsidRPr="00961E0F" w:rsidRDefault="007D642D">
      <w:pPr>
        <w:ind w:right="1418"/>
        <w:rPr>
          <w:rFonts w:ascii="Times New Roman" w:hAnsi="Times New Roman"/>
          <w:color w:val="000000"/>
          <w:szCs w:val="22"/>
        </w:rPr>
      </w:pPr>
    </w:p>
    <w:p w14:paraId="335C5F8E" w14:textId="77777777" w:rsidR="007D642D" w:rsidRPr="00961E0F" w:rsidRDefault="007D642D">
      <w:pPr>
        <w:numPr>
          <w:ilvl w:val="0"/>
          <w:numId w:val="7"/>
        </w:numPr>
        <w:tabs>
          <w:tab w:val="clear" w:pos="1494"/>
          <w:tab w:val="left" w:pos="1701"/>
        </w:tabs>
        <w:ind w:left="1701" w:right="1418" w:hanging="567"/>
        <w:rPr>
          <w:rFonts w:ascii="Times New Roman" w:hAnsi="Times New Roman"/>
          <w:b/>
          <w:color w:val="000000"/>
          <w:szCs w:val="22"/>
        </w:rPr>
      </w:pPr>
      <w:r w:rsidRPr="00961E0F">
        <w:rPr>
          <w:rFonts w:ascii="Times New Roman" w:hAnsi="Times New Roman"/>
          <w:b/>
          <w:color w:val="000000"/>
          <w:szCs w:val="22"/>
        </w:rPr>
        <w:t>CONDITIONS OU RESTRICTIONS DE D</w:t>
      </w:r>
      <w:r w:rsidR="00482AC8" w:rsidRPr="00961E0F">
        <w:rPr>
          <w:rFonts w:ascii="Times New Roman" w:hAnsi="Times New Roman"/>
          <w:b/>
          <w:color w:val="000000"/>
          <w:szCs w:val="22"/>
        </w:rPr>
        <w:t>É</w:t>
      </w:r>
      <w:r w:rsidRPr="00961E0F">
        <w:rPr>
          <w:rFonts w:ascii="Times New Roman" w:hAnsi="Times New Roman"/>
          <w:b/>
          <w:color w:val="000000"/>
          <w:szCs w:val="22"/>
        </w:rPr>
        <w:t>LIVRANCE ET D’UTILISATION</w:t>
      </w:r>
    </w:p>
    <w:p w14:paraId="79CAA41F" w14:textId="77777777" w:rsidR="007D642D" w:rsidRPr="00961E0F" w:rsidRDefault="007D642D">
      <w:pPr>
        <w:pStyle w:val="ListParagraph"/>
        <w:ind w:left="0"/>
        <w:rPr>
          <w:rFonts w:ascii="Times New Roman" w:hAnsi="Times New Roman"/>
          <w:color w:val="000000"/>
          <w:szCs w:val="22"/>
        </w:rPr>
      </w:pPr>
    </w:p>
    <w:p w14:paraId="6E073BC9" w14:textId="77777777" w:rsidR="007D642D" w:rsidRPr="00961E0F" w:rsidRDefault="007D642D">
      <w:pPr>
        <w:numPr>
          <w:ilvl w:val="0"/>
          <w:numId w:val="7"/>
        </w:numPr>
        <w:tabs>
          <w:tab w:val="clear" w:pos="1494"/>
          <w:tab w:val="left" w:pos="1701"/>
        </w:tabs>
        <w:ind w:left="1701" w:right="1418" w:hanging="567"/>
        <w:rPr>
          <w:rFonts w:ascii="Times New Roman" w:hAnsi="Times New Roman"/>
          <w:b/>
          <w:color w:val="000000"/>
          <w:szCs w:val="22"/>
        </w:rPr>
      </w:pPr>
      <w:r w:rsidRPr="00961E0F">
        <w:rPr>
          <w:rFonts w:ascii="Times New Roman" w:hAnsi="Times New Roman"/>
          <w:b/>
          <w:color w:val="000000"/>
          <w:szCs w:val="22"/>
        </w:rPr>
        <w:t>AUTRES CONDITIONS ET OBLIGATIONS DE L’AUTORISATION DE MISE SUR LE MARCH</w:t>
      </w:r>
      <w:r w:rsidR="00482AC8" w:rsidRPr="00961E0F">
        <w:rPr>
          <w:rFonts w:ascii="Times New Roman" w:hAnsi="Times New Roman"/>
          <w:b/>
          <w:color w:val="000000"/>
          <w:szCs w:val="22"/>
        </w:rPr>
        <w:t>É</w:t>
      </w:r>
    </w:p>
    <w:p w14:paraId="268D780C" w14:textId="77777777" w:rsidR="002A4CB6" w:rsidRPr="00961E0F" w:rsidRDefault="002A4CB6" w:rsidP="00384046">
      <w:pPr>
        <w:ind w:right="1418"/>
        <w:rPr>
          <w:rFonts w:ascii="Times New Roman" w:hAnsi="Times New Roman"/>
          <w:color w:val="000000"/>
          <w:szCs w:val="22"/>
        </w:rPr>
      </w:pPr>
    </w:p>
    <w:p w14:paraId="1C4318BD" w14:textId="77777777" w:rsidR="00B074EF" w:rsidRPr="00961E0F" w:rsidRDefault="00B074EF">
      <w:pPr>
        <w:numPr>
          <w:ilvl w:val="0"/>
          <w:numId w:val="7"/>
        </w:numPr>
        <w:tabs>
          <w:tab w:val="clear" w:pos="1494"/>
          <w:tab w:val="left" w:pos="1701"/>
        </w:tabs>
        <w:ind w:left="1701" w:right="1418" w:hanging="567"/>
        <w:rPr>
          <w:rFonts w:ascii="Times New Roman" w:hAnsi="Times New Roman"/>
          <w:b/>
          <w:color w:val="000000"/>
          <w:szCs w:val="22"/>
        </w:rPr>
      </w:pPr>
      <w:r w:rsidRPr="00961E0F">
        <w:rPr>
          <w:rFonts w:ascii="Times New Roman" w:hAnsi="Times New Roman"/>
          <w:b/>
          <w:color w:val="000000"/>
          <w:szCs w:val="22"/>
        </w:rPr>
        <w:t>CONDITIONS OU RESTRICTIONS EN VUE D’UNE UTILISATION S</w:t>
      </w:r>
      <w:r w:rsidR="005C7147" w:rsidRPr="00961E0F">
        <w:rPr>
          <w:b/>
          <w:noProof/>
          <w:szCs w:val="24"/>
          <w:lang w:val="fr-BE"/>
        </w:rPr>
        <w:t>Û</w:t>
      </w:r>
      <w:r w:rsidRPr="00961E0F">
        <w:rPr>
          <w:rFonts w:ascii="Times New Roman" w:hAnsi="Times New Roman"/>
          <w:b/>
          <w:color w:val="000000"/>
          <w:szCs w:val="22"/>
        </w:rPr>
        <w:t>RE ET EFFICACE DU M</w:t>
      </w:r>
      <w:r w:rsidR="00482AC8" w:rsidRPr="00961E0F">
        <w:rPr>
          <w:rFonts w:ascii="Times New Roman" w:hAnsi="Times New Roman"/>
          <w:b/>
          <w:color w:val="000000"/>
          <w:szCs w:val="22"/>
        </w:rPr>
        <w:t>É</w:t>
      </w:r>
      <w:r w:rsidRPr="00961E0F">
        <w:rPr>
          <w:rFonts w:ascii="Times New Roman" w:hAnsi="Times New Roman"/>
          <w:b/>
          <w:color w:val="000000"/>
          <w:szCs w:val="22"/>
        </w:rPr>
        <w:t>DICAMENT</w:t>
      </w:r>
    </w:p>
    <w:p w14:paraId="5518BCDC" w14:textId="77777777" w:rsidR="007D642D" w:rsidRPr="00961E0F" w:rsidRDefault="007D642D">
      <w:pPr>
        <w:ind w:left="567" w:hanging="567"/>
        <w:rPr>
          <w:rFonts w:ascii="Times New Roman" w:hAnsi="Times New Roman"/>
          <w:color w:val="000000"/>
          <w:szCs w:val="22"/>
        </w:rPr>
      </w:pPr>
      <w:r w:rsidRPr="00961E0F">
        <w:rPr>
          <w:rFonts w:ascii="Times New Roman" w:hAnsi="Times New Roman"/>
          <w:color w:val="000000"/>
          <w:szCs w:val="22"/>
        </w:rPr>
        <w:br w:type="page"/>
      </w:r>
      <w:r w:rsidRPr="00961E0F">
        <w:rPr>
          <w:rFonts w:ascii="Times New Roman" w:hAnsi="Times New Roman"/>
          <w:b/>
          <w:color w:val="000000"/>
          <w:szCs w:val="22"/>
        </w:rPr>
        <w:lastRenderedPageBreak/>
        <w:t>A.</w:t>
      </w:r>
      <w:r w:rsidRPr="00961E0F">
        <w:rPr>
          <w:rFonts w:ascii="Times New Roman" w:hAnsi="Times New Roman"/>
          <w:b/>
          <w:color w:val="000000"/>
          <w:szCs w:val="22"/>
        </w:rPr>
        <w:tab/>
        <w:t xml:space="preserve">FABRICANT RESPONSABLE DE </w:t>
      </w:r>
      <w:smartTag w:uri="urn:schemas-microsoft-com:office:smarttags" w:element="PersonName">
        <w:smartTagPr>
          <w:attr w:name="ProductID" w:val="LA LIBÉRATION DES"/>
        </w:smartTagPr>
        <w:r w:rsidRPr="00961E0F">
          <w:rPr>
            <w:rFonts w:ascii="Times New Roman" w:hAnsi="Times New Roman"/>
            <w:b/>
            <w:color w:val="000000"/>
            <w:szCs w:val="22"/>
          </w:rPr>
          <w:t>LA LIB</w:t>
        </w:r>
        <w:r w:rsidR="00482AC8" w:rsidRPr="00961E0F">
          <w:rPr>
            <w:rFonts w:ascii="Times New Roman" w:hAnsi="Times New Roman"/>
            <w:b/>
            <w:color w:val="000000"/>
            <w:szCs w:val="22"/>
          </w:rPr>
          <w:t>É</w:t>
        </w:r>
        <w:r w:rsidRPr="00961E0F">
          <w:rPr>
            <w:rFonts w:ascii="Times New Roman" w:hAnsi="Times New Roman"/>
            <w:b/>
            <w:color w:val="000000"/>
            <w:szCs w:val="22"/>
          </w:rPr>
          <w:t xml:space="preserve">RATION </w:t>
        </w:r>
        <w:smartTag w:uri="urn:schemas-microsoft-com:office:smarttags" w:element="stockticker">
          <w:r w:rsidRPr="00961E0F">
            <w:rPr>
              <w:rFonts w:ascii="Times New Roman" w:hAnsi="Times New Roman"/>
              <w:b/>
              <w:color w:val="000000"/>
              <w:szCs w:val="22"/>
            </w:rPr>
            <w:t>DES</w:t>
          </w:r>
        </w:smartTag>
      </w:smartTag>
      <w:r w:rsidRPr="00961E0F">
        <w:rPr>
          <w:rFonts w:ascii="Times New Roman" w:hAnsi="Times New Roman"/>
          <w:b/>
          <w:color w:val="000000"/>
          <w:szCs w:val="22"/>
        </w:rPr>
        <w:t xml:space="preserve"> LOTS</w:t>
      </w:r>
    </w:p>
    <w:p w14:paraId="31123896" w14:textId="77777777" w:rsidR="007D642D" w:rsidRPr="00961E0F" w:rsidRDefault="007D642D">
      <w:pPr>
        <w:numPr>
          <w:ilvl w:val="12"/>
          <w:numId w:val="0"/>
        </w:numPr>
        <w:ind w:right="1416"/>
        <w:rPr>
          <w:rFonts w:ascii="Times New Roman" w:hAnsi="Times New Roman"/>
          <w:color w:val="000000"/>
          <w:szCs w:val="22"/>
        </w:rPr>
      </w:pPr>
    </w:p>
    <w:p w14:paraId="2311A537" w14:textId="77777777" w:rsidR="007D642D" w:rsidRPr="00961E0F" w:rsidRDefault="007D642D">
      <w:pPr>
        <w:numPr>
          <w:ilvl w:val="12"/>
          <w:numId w:val="0"/>
        </w:numPr>
        <w:outlineLvl w:val="0"/>
        <w:rPr>
          <w:rFonts w:ascii="Times New Roman" w:hAnsi="Times New Roman"/>
          <w:color w:val="000000"/>
          <w:szCs w:val="22"/>
          <w:u w:val="single"/>
        </w:rPr>
      </w:pPr>
      <w:r w:rsidRPr="00961E0F">
        <w:rPr>
          <w:rFonts w:ascii="Times New Roman" w:hAnsi="Times New Roman"/>
          <w:color w:val="000000"/>
          <w:szCs w:val="22"/>
          <w:u w:val="single"/>
        </w:rPr>
        <w:t>Nom et adresse du fabricant responsable de la libération des lots</w:t>
      </w:r>
    </w:p>
    <w:p w14:paraId="76FBF6D5" w14:textId="77777777" w:rsidR="007D642D" w:rsidRPr="00D447C7" w:rsidRDefault="007D642D">
      <w:pPr>
        <w:numPr>
          <w:ilvl w:val="12"/>
          <w:numId w:val="0"/>
        </w:numPr>
        <w:rPr>
          <w:rFonts w:ascii="Times New Roman" w:hAnsi="Times New Roman"/>
          <w:szCs w:val="22"/>
        </w:rPr>
      </w:pPr>
    </w:p>
    <w:p w14:paraId="3B395100" w14:textId="77777777" w:rsidR="00D447C7" w:rsidRPr="00143B0F" w:rsidRDefault="00D447C7" w:rsidP="00D447C7">
      <w:pPr>
        <w:widowControl w:val="0"/>
        <w:tabs>
          <w:tab w:val="left" w:pos="7513"/>
        </w:tabs>
        <w:rPr>
          <w:rFonts w:ascii="Times New Roman" w:hAnsi="Times New Roman"/>
          <w:szCs w:val="22"/>
          <w:lang w:val="fr-CH"/>
        </w:rPr>
      </w:pPr>
      <w:r w:rsidRPr="00143B0F">
        <w:rPr>
          <w:rFonts w:ascii="Times New Roman" w:hAnsi="Times New Roman"/>
          <w:szCs w:val="22"/>
          <w:lang w:val="fr-CH"/>
        </w:rPr>
        <w:t>Lek d.d, PE PROIZVODNJA LENDAVA</w:t>
      </w:r>
    </w:p>
    <w:p w14:paraId="20E53E26" w14:textId="77777777" w:rsidR="00D447C7" w:rsidRPr="00D447C7" w:rsidRDefault="00D447C7" w:rsidP="00D447C7">
      <w:pPr>
        <w:widowControl w:val="0"/>
        <w:tabs>
          <w:tab w:val="left" w:pos="7513"/>
        </w:tabs>
        <w:rPr>
          <w:rFonts w:ascii="Times New Roman" w:hAnsi="Times New Roman"/>
          <w:szCs w:val="22"/>
          <w:lang w:val="fr-CH"/>
        </w:rPr>
      </w:pPr>
      <w:r w:rsidRPr="00D447C7">
        <w:rPr>
          <w:rFonts w:ascii="Times New Roman" w:hAnsi="Times New Roman"/>
          <w:szCs w:val="22"/>
          <w:lang w:val="fr-CH"/>
        </w:rPr>
        <w:t>Trimlini 2D</w:t>
      </w:r>
    </w:p>
    <w:p w14:paraId="158E06C8" w14:textId="77777777" w:rsidR="00D447C7" w:rsidRPr="00D447C7" w:rsidRDefault="00D447C7" w:rsidP="00D447C7">
      <w:pPr>
        <w:widowControl w:val="0"/>
        <w:tabs>
          <w:tab w:val="left" w:pos="7513"/>
        </w:tabs>
        <w:rPr>
          <w:rFonts w:ascii="Times New Roman" w:hAnsi="Times New Roman"/>
          <w:szCs w:val="22"/>
          <w:lang w:val="fr-CH"/>
        </w:rPr>
      </w:pPr>
      <w:r w:rsidRPr="00D447C7">
        <w:rPr>
          <w:rFonts w:ascii="Times New Roman" w:hAnsi="Times New Roman"/>
          <w:szCs w:val="22"/>
          <w:lang w:val="fr-CH"/>
        </w:rPr>
        <w:t>Lendava, 9220</w:t>
      </w:r>
    </w:p>
    <w:p w14:paraId="04A6EB5F" w14:textId="77777777" w:rsidR="00D447C7" w:rsidRPr="00D447C7" w:rsidRDefault="00D447C7" w:rsidP="00D447C7">
      <w:pPr>
        <w:widowControl w:val="0"/>
        <w:tabs>
          <w:tab w:val="left" w:pos="7513"/>
        </w:tabs>
        <w:rPr>
          <w:rFonts w:ascii="Times New Roman" w:hAnsi="Times New Roman"/>
          <w:szCs w:val="22"/>
          <w:lang w:val="pt-BR"/>
        </w:rPr>
      </w:pPr>
      <w:r w:rsidRPr="00143B0F">
        <w:rPr>
          <w:rFonts w:ascii="Times New Roman" w:hAnsi="Times New Roman"/>
          <w:szCs w:val="22"/>
          <w:lang w:val="fr-CH"/>
        </w:rPr>
        <w:t>Slovénie</w:t>
      </w:r>
    </w:p>
    <w:p w14:paraId="12A03E48" w14:textId="77777777" w:rsidR="00D447C7" w:rsidRPr="00D447C7" w:rsidRDefault="00D447C7" w:rsidP="00D447C7">
      <w:pPr>
        <w:widowControl w:val="0"/>
        <w:tabs>
          <w:tab w:val="left" w:pos="7513"/>
        </w:tabs>
        <w:rPr>
          <w:rFonts w:ascii="Times New Roman" w:hAnsi="Times New Roman"/>
          <w:szCs w:val="22"/>
          <w:lang w:val="pt-BR"/>
        </w:rPr>
      </w:pPr>
    </w:p>
    <w:p w14:paraId="28820E6C" w14:textId="77777777" w:rsidR="007D642D" w:rsidRPr="00961E0F" w:rsidRDefault="007D642D">
      <w:pPr>
        <w:numPr>
          <w:ilvl w:val="12"/>
          <w:numId w:val="0"/>
        </w:numPr>
        <w:rPr>
          <w:rFonts w:ascii="Times New Roman" w:hAnsi="Times New Roman"/>
          <w:color w:val="000000"/>
          <w:szCs w:val="22"/>
          <w:lang w:val="pt-PT"/>
        </w:rPr>
      </w:pPr>
      <w:r w:rsidRPr="00961E0F">
        <w:rPr>
          <w:rFonts w:ascii="Times New Roman" w:hAnsi="Times New Roman"/>
          <w:color w:val="000000"/>
          <w:szCs w:val="22"/>
          <w:lang w:val="pt-PT"/>
        </w:rPr>
        <w:t>Novartis Pharma GmbH</w:t>
      </w:r>
    </w:p>
    <w:p w14:paraId="20701CE7" w14:textId="77777777" w:rsidR="007D642D" w:rsidRPr="00961E0F" w:rsidRDefault="007D642D">
      <w:pPr>
        <w:numPr>
          <w:ilvl w:val="12"/>
          <w:numId w:val="0"/>
        </w:numPr>
        <w:rPr>
          <w:rFonts w:ascii="Times New Roman" w:hAnsi="Times New Roman"/>
          <w:color w:val="000000"/>
          <w:szCs w:val="22"/>
          <w:lang w:val="pt-PT"/>
        </w:rPr>
      </w:pPr>
      <w:r w:rsidRPr="00961E0F">
        <w:rPr>
          <w:rFonts w:ascii="Times New Roman" w:hAnsi="Times New Roman"/>
          <w:color w:val="000000"/>
          <w:szCs w:val="22"/>
          <w:lang w:val="pt-PT"/>
        </w:rPr>
        <w:t>Roonstra</w:t>
      </w:r>
      <w:r w:rsidRPr="00961E0F">
        <w:rPr>
          <w:rFonts w:ascii="Times New Roman" w:hAnsi="Times New Roman"/>
          <w:color w:val="000000"/>
          <w:szCs w:val="22"/>
        </w:rPr>
        <w:t>ss</w:t>
      </w:r>
      <w:r w:rsidRPr="00961E0F">
        <w:rPr>
          <w:rFonts w:ascii="Times New Roman" w:hAnsi="Times New Roman"/>
          <w:color w:val="000000"/>
          <w:szCs w:val="22"/>
          <w:lang w:val="pt-PT"/>
        </w:rPr>
        <w:t>e 25</w:t>
      </w:r>
    </w:p>
    <w:p w14:paraId="08119154" w14:textId="77777777" w:rsidR="007D642D" w:rsidRPr="00961E0F" w:rsidRDefault="007D642D">
      <w:pPr>
        <w:numPr>
          <w:ilvl w:val="12"/>
          <w:numId w:val="0"/>
        </w:numPr>
        <w:rPr>
          <w:rFonts w:ascii="Times New Roman" w:hAnsi="Times New Roman"/>
          <w:color w:val="000000"/>
          <w:szCs w:val="22"/>
        </w:rPr>
      </w:pPr>
      <w:r w:rsidRPr="00961E0F">
        <w:rPr>
          <w:rFonts w:ascii="Times New Roman" w:hAnsi="Times New Roman"/>
          <w:color w:val="000000"/>
          <w:szCs w:val="22"/>
        </w:rPr>
        <w:t>D-90429 Nuremberg</w:t>
      </w:r>
    </w:p>
    <w:p w14:paraId="2500FAF7" w14:textId="77777777" w:rsidR="007D642D" w:rsidRPr="00961E0F" w:rsidRDefault="007D642D">
      <w:pPr>
        <w:numPr>
          <w:ilvl w:val="12"/>
          <w:numId w:val="0"/>
        </w:numPr>
        <w:rPr>
          <w:rFonts w:ascii="Times New Roman" w:hAnsi="Times New Roman"/>
          <w:color w:val="000000"/>
          <w:szCs w:val="22"/>
        </w:rPr>
      </w:pPr>
      <w:r w:rsidRPr="00961E0F">
        <w:rPr>
          <w:rFonts w:ascii="Times New Roman" w:hAnsi="Times New Roman"/>
          <w:color w:val="000000"/>
          <w:szCs w:val="22"/>
        </w:rPr>
        <w:t>Allemagne</w:t>
      </w:r>
    </w:p>
    <w:p w14:paraId="31A89918" w14:textId="0B970AB1" w:rsidR="007D642D" w:rsidRDefault="007D642D">
      <w:pPr>
        <w:numPr>
          <w:ilvl w:val="12"/>
          <w:numId w:val="0"/>
        </w:numPr>
        <w:rPr>
          <w:rFonts w:ascii="Times New Roman" w:hAnsi="Times New Roman"/>
          <w:szCs w:val="22"/>
        </w:rPr>
      </w:pPr>
    </w:p>
    <w:p w14:paraId="6E93E273" w14:textId="77777777" w:rsidR="00C766A0" w:rsidRPr="00C766A0" w:rsidRDefault="00C766A0" w:rsidP="00C766A0">
      <w:pPr>
        <w:numPr>
          <w:ilvl w:val="12"/>
          <w:numId w:val="0"/>
        </w:numPr>
        <w:rPr>
          <w:rFonts w:ascii="Times New Roman" w:hAnsi="Times New Roman"/>
          <w:szCs w:val="22"/>
        </w:rPr>
      </w:pPr>
      <w:r w:rsidRPr="00C766A0">
        <w:rPr>
          <w:rFonts w:ascii="Times New Roman" w:hAnsi="Times New Roman"/>
          <w:szCs w:val="22"/>
        </w:rPr>
        <w:t>Sandoz S.R.L.</w:t>
      </w:r>
    </w:p>
    <w:p w14:paraId="3A635814" w14:textId="77777777" w:rsidR="00C766A0" w:rsidRPr="006E0E52" w:rsidRDefault="00C766A0" w:rsidP="00C766A0">
      <w:pPr>
        <w:numPr>
          <w:ilvl w:val="12"/>
          <w:numId w:val="0"/>
        </w:numPr>
        <w:rPr>
          <w:rFonts w:ascii="Times New Roman" w:hAnsi="Times New Roman"/>
          <w:szCs w:val="22"/>
          <w:lang w:val="en-US"/>
        </w:rPr>
      </w:pPr>
      <w:r w:rsidRPr="006E0E52">
        <w:rPr>
          <w:rFonts w:ascii="Times New Roman" w:hAnsi="Times New Roman"/>
          <w:szCs w:val="22"/>
          <w:lang w:val="en-US"/>
        </w:rPr>
        <w:t>Str. Livezeni nr. 7A</w:t>
      </w:r>
    </w:p>
    <w:p w14:paraId="1036CC50" w14:textId="77777777" w:rsidR="00C766A0" w:rsidRPr="006E0E52" w:rsidRDefault="00C766A0" w:rsidP="00C766A0">
      <w:pPr>
        <w:numPr>
          <w:ilvl w:val="12"/>
          <w:numId w:val="0"/>
        </w:numPr>
        <w:rPr>
          <w:rFonts w:ascii="Times New Roman" w:hAnsi="Times New Roman"/>
          <w:szCs w:val="22"/>
          <w:lang w:val="en-US"/>
        </w:rPr>
      </w:pPr>
      <w:r w:rsidRPr="006E0E52">
        <w:rPr>
          <w:rFonts w:ascii="Times New Roman" w:hAnsi="Times New Roman"/>
          <w:szCs w:val="22"/>
          <w:lang w:val="en-US"/>
        </w:rPr>
        <w:t>540472, Targu Mures</w:t>
      </w:r>
    </w:p>
    <w:p w14:paraId="0564F86B" w14:textId="4CE2F9BB" w:rsidR="00C766A0" w:rsidRDefault="00C766A0" w:rsidP="00C766A0">
      <w:pPr>
        <w:numPr>
          <w:ilvl w:val="12"/>
          <w:numId w:val="0"/>
        </w:numPr>
        <w:rPr>
          <w:rFonts w:ascii="Times New Roman" w:hAnsi="Times New Roman"/>
          <w:szCs w:val="22"/>
        </w:rPr>
      </w:pPr>
      <w:r w:rsidRPr="00C766A0">
        <w:rPr>
          <w:rFonts w:ascii="Times New Roman" w:hAnsi="Times New Roman"/>
          <w:szCs w:val="22"/>
        </w:rPr>
        <w:t>Roumanie</w:t>
      </w:r>
    </w:p>
    <w:p w14:paraId="3A93676E" w14:textId="77777777" w:rsidR="00C024E3" w:rsidRPr="00D447C7" w:rsidRDefault="00C024E3" w:rsidP="00C766A0">
      <w:pPr>
        <w:numPr>
          <w:ilvl w:val="12"/>
          <w:numId w:val="0"/>
        </w:numPr>
        <w:rPr>
          <w:rFonts w:ascii="Times New Roman" w:hAnsi="Times New Roman"/>
          <w:szCs w:val="22"/>
        </w:rPr>
      </w:pPr>
    </w:p>
    <w:p w14:paraId="2C05EC83" w14:textId="77777777" w:rsidR="007D642D" w:rsidRPr="00D447C7" w:rsidRDefault="00D447C7">
      <w:pPr>
        <w:numPr>
          <w:ilvl w:val="12"/>
          <w:numId w:val="0"/>
        </w:numPr>
        <w:rPr>
          <w:rFonts w:ascii="Times New Roman" w:hAnsi="Times New Roman"/>
          <w:szCs w:val="22"/>
        </w:rPr>
      </w:pPr>
      <w:r w:rsidRPr="00D447C7">
        <w:rPr>
          <w:rFonts w:ascii="Times New Roman" w:hAnsi="Times New Roman"/>
        </w:rPr>
        <w:t>Le nom et l’adresse du fabricant responsable de la libération du lot concerné doivent figurer sur la notice du médicament.</w:t>
      </w:r>
    </w:p>
    <w:p w14:paraId="7A4F194E" w14:textId="77777777" w:rsidR="00D447C7" w:rsidRPr="00D447C7" w:rsidRDefault="00D447C7">
      <w:pPr>
        <w:numPr>
          <w:ilvl w:val="12"/>
          <w:numId w:val="0"/>
        </w:numPr>
        <w:rPr>
          <w:rFonts w:ascii="Times New Roman" w:hAnsi="Times New Roman"/>
          <w:szCs w:val="22"/>
        </w:rPr>
      </w:pPr>
    </w:p>
    <w:p w14:paraId="478ABC9F" w14:textId="77777777" w:rsidR="00D447C7" w:rsidRPr="00961E0F" w:rsidRDefault="00D447C7">
      <w:pPr>
        <w:numPr>
          <w:ilvl w:val="12"/>
          <w:numId w:val="0"/>
        </w:numPr>
        <w:rPr>
          <w:rFonts w:ascii="Times New Roman" w:hAnsi="Times New Roman"/>
          <w:color w:val="000000"/>
          <w:szCs w:val="22"/>
        </w:rPr>
      </w:pPr>
    </w:p>
    <w:p w14:paraId="30730032" w14:textId="77777777" w:rsidR="007D642D" w:rsidRPr="00961E0F" w:rsidRDefault="007D642D" w:rsidP="00C67CDE">
      <w:pPr>
        <w:keepNext/>
        <w:ind w:left="567" w:hanging="567"/>
        <w:rPr>
          <w:rFonts w:ascii="Times New Roman" w:hAnsi="Times New Roman"/>
          <w:color w:val="000000"/>
          <w:szCs w:val="22"/>
        </w:rPr>
      </w:pPr>
      <w:r w:rsidRPr="00961E0F">
        <w:rPr>
          <w:rFonts w:ascii="Times New Roman" w:hAnsi="Times New Roman"/>
          <w:b/>
          <w:color w:val="000000"/>
          <w:szCs w:val="22"/>
        </w:rPr>
        <w:t>B.</w:t>
      </w:r>
      <w:r w:rsidRPr="00961E0F">
        <w:rPr>
          <w:rFonts w:ascii="Times New Roman" w:hAnsi="Times New Roman"/>
          <w:b/>
          <w:color w:val="000000"/>
          <w:szCs w:val="22"/>
        </w:rPr>
        <w:tab/>
        <w:t>CONDITIONS OU RESTRICTIONS DE D</w:t>
      </w:r>
      <w:r w:rsidR="00482AC8" w:rsidRPr="00961E0F">
        <w:rPr>
          <w:rFonts w:ascii="Times New Roman" w:hAnsi="Times New Roman"/>
          <w:b/>
          <w:color w:val="000000"/>
          <w:szCs w:val="22"/>
        </w:rPr>
        <w:t>É</w:t>
      </w:r>
      <w:r w:rsidRPr="00961E0F">
        <w:rPr>
          <w:rFonts w:ascii="Times New Roman" w:hAnsi="Times New Roman"/>
          <w:b/>
          <w:color w:val="000000"/>
          <w:szCs w:val="22"/>
        </w:rPr>
        <w:t>LIVRANCE ET D’UTILISATION</w:t>
      </w:r>
    </w:p>
    <w:p w14:paraId="46DB4F3D" w14:textId="77777777" w:rsidR="007D642D" w:rsidRPr="00961E0F" w:rsidRDefault="007D642D" w:rsidP="00C67CDE">
      <w:pPr>
        <w:keepNext/>
        <w:rPr>
          <w:rFonts w:ascii="Times New Roman" w:hAnsi="Times New Roman"/>
          <w:color w:val="000000"/>
          <w:szCs w:val="22"/>
        </w:rPr>
      </w:pPr>
    </w:p>
    <w:p w14:paraId="667B9F2A" w14:textId="77777777" w:rsidR="007D642D" w:rsidRPr="00961E0F" w:rsidRDefault="007D642D">
      <w:pPr>
        <w:numPr>
          <w:ilvl w:val="12"/>
          <w:numId w:val="0"/>
        </w:numPr>
        <w:rPr>
          <w:rFonts w:ascii="Times New Roman" w:hAnsi="Times New Roman"/>
          <w:color w:val="000000"/>
          <w:szCs w:val="22"/>
        </w:rPr>
      </w:pPr>
      <w:r w:rsidRPr="00961E0F">
        <w:rPr>
          <w:rFonts w:ascii="Times New Roman" w:hAnsi="Times New Roman"/>
          <w:color w:val="000000"/>
          <w:szCs w:val="22"/>
        </w:rPr>
        <w:t>Médicament soumis à prescription médicale restreinte (voir Annexe I : résumé des caractéristiques du produit, rubrique 4.2).</w:t>
      </w:r>
    </w:p>
    <w:p w14:paraId="2F95FD74" w14:textId="77777777" w:rsidR="007D642D" w:rsidRPr="00961E0F" w:rsidRDefault="007D642D">
      <w:pPr>
        <w:numPr>
          <w:ilvl w:val="12"/>
          <w:numId w:val="0"/>
        </w:numPr>
        <w:rPr>
          <w:rFonts w:ascii="Times New Roman" w:hAnsi="Times New Roman"/>
          <w:color w:val="000000"/>
          <w:szCs w:val="22"/>
        </w:rPr>
      </w:pPr>
    </w:p>
    <w:p w14:paraId="282913E6" w14:textId="77777777" w:rsidR="007D642D" w:rsidRPr="00961E0F" w:rsidRDefault="007D642D">
      <w:pPr>
        <w:numPr>
          <w:ilvl w:val="12"/>
          <w:numId w:val="0"/>
        </w:numPr>
        <w:rPr>
          <w:rFonts w:ascii="Times New Roman" w:hAnsi="Times New Roman"/>
          <w:color w:val="000000"/>
          <w:szCs w:val="22"/>
        </w:rPr>
      </w:pPr>
    </w:p>
    <w:p w14:paraId="4AED2057" w14:textId="77777777" w:rsidR="007D642D" w:rsidRPr="00961E0F" w:rsidRDefault="007D642D" w:rsidP="00777258">
      <w:pPr>
        <w:keepNext/>
        <w:numPr>
          <w:ilvl w:val="12"/>
          <w:numId w:val="0"/>
        </w:numPr>
        <w:ind w:left="567" w:hanging="567"/>
        <w:rPr>
          <w:rFonts w:ascii="Times New Roman" w:hAnsi="Times New Roman"/>
          <w:color w:val="000000"/>
          <w:szCs w:val="22"/>
        </w:rPr>
      </w:pPr>
      <w:r w:rsidRPr="00961E0F">
        <w:rPr>
          <w:rFonts w:ascii="Times New Roman" w:hAnsi="Times New Roman"/>
          <w:b/>
          <w:color w:val="000000"/>
          <w:szCs w:val="22"/>
        </w:rPr>
        <w:t>C.</w:t>
      </w:r>
      <w:r w:rsidRPr="00961E0F">
        <w:rPr>
          <w:rFonts w:ascii="Times New Roman" w:hAnsi="Times New Roman"/>
          <w:b/>
          <w:color w:val="000000"/>
          <w:szCs w:val="22"/>
        </w:rPr>
        <w:tab/>
        <w:t>AUTRES CONDITIONS ET OBLIGATIONS DE L’AUTORISATION DE MISE SUR LE MARCH</w:t>
      </w:r>
      <w:r w:rsidR="00482AC8" w:rsidRPr="00961E0F">
        <w:rPr>
          <w:rFonts w:ascii="Times New Roman" w:hAnsi="Times New Roman"/>
          <w:b/>
          <w:color w:val="000000"/>
          <w:szCs w:val="22"/>
        </w:rPr>
        <w:t>É</w:t>
      </w:r>
    </w:p>
    <w:p w14:paraId="05FE95E1" w14:textId="77777777" w:rsidR="007D642D" w:rsidRPr="00961E0F" w:rsidRDefault="007D642D" w:rsidP="00777258">
      <w:pPr>
        <w:keepNext/>
        <w:rPr>
          <w:rFonts w:ascii="Times New Roman" w:hAnsi="Times New Roman"/>
          <w:color w:val="000000"/>
          <w:szCs w:val="22"/>
        </w:rPr>
      </w:pPr>
    </w:p>
    <w:p w14:paraId="12C89E46" w14:textId="77777777" w:rsidR="007537F9" w:rsidRPr="00961E0F" w:rsidRDefault="007537F9" w:rsidP="00777258">
      <w:pPr>
        <w:keepNext/>
        <w:numPr>
          <w:ilvl w:val="0"/>
          <w:numId w:val="33"/>
        </w:numPr>
        <w:tabs>
          <w:tab w:val="left" w:pos="567"/>
        </w:tabs>
        <w:ind w:hanging="766"/>
        <w:rPr>
          <w:rFonts w:ascii="Times New Roman" w:hAnsi="Times New Roman"/>
          <w:b/>
          <w:szCs w:val="24"/>
          <w:lang w:val="fr-BE"/>
        </w:rPr>
      </w:pPr>
      <w:r w:rsidRPr="00961E0F">
        <w:rPr>
          <w:rFonts w:ascii="Times New Roman" w:hAnsi="Times New Roman"/>
          <w:b/>
          <w:noProof/>
          <w:szCs w:val="24"/>
          <w:lang w:val="fr-BE"/>
        </w:rPr>
        <w:t>Rapports périodiques actualisés de sécurité (PSUR)</w:t>
      </w:r>
    </w:p>
    <w:p w14:paraId="356CAC7C" w14:textId="77777777" w:rsidR="0024637A" w:rsidRPr="00961E0F" w:rsidRDefault="0024637A" w:rsidP="00D10578">
      <w:pPr>
        <w:widowControl w:val="0"/>
        <w:ind w:right="567"/>
        <w:rPr>
          <w:rFonts w:ascii="Times New Roman" w:hAnsi="Times New Roman"/>
        </w:rPr>
      </w:pPr>
      <w:r w:rsidRPr="00961E0F">
        <w:rPr>
          <w:rFonts w:ascii="Times New Roman" w:hAnsi="Times New Roman"/>
        </w:rPr>
        <w:t>Les exigences relatives à la soumission des rapports périodiques actualisés de sécurité pour ce médicament sont définies dans la liste des dates de référence pour l’Union (liste EURD) prévue à l’article 107 quater, paragraphe 7, de la directive 2001/83/CE et ses actualisations publiées sur le portail web européen des médicaments.</w:t>
      </w:r>
    </w:p>
    <w:p w14:paraId="2521EEB6" w14:textId="77777777" w:rsidR="00384046" w:rsidRPr="00961E0F" w:rsidRDefault="00384046" w:rsidP="00777258">
      <w:pPr>
        <w:suppressAutoHyphens/>
        <w:rPr>
          <w:rFonts w:ascii="Times New Roman" w:hAnsi="Times New Roman"/>
          <w:noProof/>
          <w:color w:val="000000"/>
          <w:szCs w:val="22"/>
          <w:u w:val="single"/>
        </w:rPr>
      </w:pPr>
    </w:p>
    <w:p w14:paraId="21CF718B" w14:textId="77777777" w:rsidR="007D642D" w:rsidRPr="00961E0F" w:rsidRDefault="007D642D">
      <w:pPr>
        <w:ind w:right="-1"/>
        <w:rPr>
          <w:rFonts w:ascii="Times New Roman" w:hAnsi="Times New Roman"/>
          <w:color w:val="000000"/>
          <w:szCs w:val="22"/>
        </w:rPr>
      </w:pPr>
    </w:p>
    <w:p w14:paraId="2E43A888" w14:textId="77777777" w:rsidR="007D642D" w:rsidRPr="00961E0F" w:rsidRDefault="00BA3F1A" w:rsidP="00777258">
      <w:pPr>
        <w:keepNext/>
        <w:tabs>
          <w:tab w:val="left" w:pos="567"/>
        </w:tabs>
        <w:spacing w:line="260" w:lineRule="exact"/>
        <w:ind w:left="567" w:right="567" w:hanging="567"/>
        <w:rPr>
          <w:rFonts w:ascii="Times New Roman" w:hAnsi="Times New Roman"/>
          <w:noProof/>
          <w:color w:val="000000"/>
        </w:rPr>
      </w:pPr>
      <w:r w:rsidRPr="00961E0F">
        <w:rPr>
          <w:rFonts w:ascii="Times New Roman" w:hAnsi="Times New Roman"/>
          <w:b/>
          <w:noProof/>
          <w:szCs w:val="24"/>
          <w:lang w:val="fr-BE"/>
        </w:rPr>
        <w:t>D.</w:t>
      </w:r>
      <w:r w:rsidRPr="00961E0F">
        <w:rPr>
          <w:rFonts w:ascii="Times New Roman" w:hAnsi="Times New Roman"/>
          <w:szCs w:val="24"/>
          <w:lang w:val="fr-BE"/>
        </w:rPr>
        <w:tab/>
      </w:r>
      <w:r w:rsidR="007D642D" w:rsidRPr="00961E0F">
        <w:rPr>
          <w:rFonts w:ascii="Times New Roman" w:hAnsi="Times New Roman"/>
          <w:b/>
          <w:noProof/>
          <w:color w:val="000000"/>
        </w:rPr>
        <w:t>CONDITIONS OU RESTRICTIONS RELATIVES A L’UTILISATION SÛRE ET EFFICACE DU M</w:t>
      </w:r>
      <w:r w:rsidR="00482AC8" w:rsidRPr="00961E0F">
        <w:rPr>
          <w:rFonts w:ascii="Times New Roman" w:hAnsi="Times New Roman"/>
          <w:b/>
          <w:color w:val="000000"/>
          <w:szCs w:val="22"/>
        </w:rPr>
        <w:t>É</w:t>
      </w:r>
      <w:r w:rsidR="007D642D" w:rsidRPr="00961E0F">
        <w:rPr>
          <w:rFonts w:ascii="Times New Roman" w:hAnsi="Times New Roman"/>
          <w:b/>
          <w:noProof/>
          <w:color w:val="000000"/>
        </w:rPr>
        <w:t>DICAMENT</w:t>
      </w:r>
    </w:p>
    <w:p w14:paraId="74A5245F" w14:textId="77777777" w:rsidR="007D642D" w:rsidRPr="00961E0F" w:rsidRDefault="007D642D" w:rsidP="00777258">
      <w:pPr>
        <w:keepNext/>
        <w:ind w:right="567"/>
        <w:rPr>
          <w:rFonts w:ascii="Times New Roman" w:hAnsi="Times New Roman"/>
          <w:noProof/>
          <w:color w:val="000000"/>
        </w:rPr>
      </w:pPr>
    </w:p>
    <w:p w14:paraId="7E714ED6" w14:textId="77777777" w:rsidR="00185003" w:rsidRPr="00961E0F" w:rsidRDefault="00185003" w:rsidP="00777258">
      <w:pPr>
        <w:keepNext/>
        <w:numPr>
          <w:ilvl w:val="0"/>
          <w:numId w:val="35"/>
        </w:numPr>
        <w:tabs>
          <w:tab w:val="left" w:pos="567"/>
        </w:tabs>
        <w:ind w:hanging="766"/>
        <w:rPr>
          <w:rFonts w:ascii="Times New Roman" w:hAnsi="Times New Roman"/>
          <w:b/>
          <w:szCs w:val="24"/>
          <w:lang w:val="fr-BE"/>
        </w:rPr>
      </w:pPr>
      <w:r w:rsidRPr="00961E0F">
        <w:rPr>
          <w:rFonts w:ascii="Times New Roman" w:hAnsi="Times New Roman"/>
          <w:b/>
          <w:szCs w:val="24"/>
          <w:lang w:val="fr-BE"/>
        </w:rPr>
        <w:t>Plan de gestion des risques</w:t>
      </w:r>
      <w:r w:rsidRPr="00961E0F">
        <w:rPr>
          <w:rFonts w:ascii="Times New Roman" w:hAnsi="Times New Roman"/>
          <w:b/>
          <w:noProof/>
          <w:szCs w:val="24"/>
        </w:rPr>
        <w:t xml:space="preserve"> (PGR)</w:t>
      </w:r>
    </w:p>
    <w:p w14:paraId="5BEA7189" w14:textId="77777777" w:rsidR="00C64C50" w:rsidRPr="00961E0F" w:rsidRDefault="00C64C50" w:rsidP="00C64C50">
      <w:pPr>
        <w:widowControl w:val="0"/>
        <w:ind w:right="567"/>
        <w:rPr>
          <w:rFonts w:ascii="Times New Roman" w:hAnsi="Times New Roman"/>
        </w:rPr>
      </w:pPr>
      <w:r w:rsidRPr="00961E0F">
        <w:rPr>
          <w:rFonts w:ascii="Times New Roman" w:hAnsi="Times New Roman"/>
        </w:rPr>
        <w:t>Le titulaire de l’autorisation de mise sur le marché réalise les activités de pharmacovigilance et interventions requises décrites dans le PGR adopté et présenté dans le Module 1.8.2 de l’autorisation de mise sur le marché, ainsi que toutes actualisations ultérieures adoptées du PGR.</w:t>
      </w:r>
    </w:p>
    <w:p w14:paraId="4C12701B" w14:textId="77777777" w:rsidR="00C64C50" w:rsidRPr="00961E0F" w:rsidRDefault="00C64C50" w:rsidP="00C64C50">
      <w:pPr>
        <w:widowControl w:val="0"/>
        <w:ind w:right="-1"/>
        <w:rPr>
          <w:rFonts w:ascii="Times New Roman" w:hAnsi="Times New Roman"/>
        </w:rPr>
      </w:pPr>
    </w:p>
    <w:p w14:paraId="7A63A5C1" w14:textId="77777777" w:rsidR="00C64C50" w:rsidRPr="00961E0F" w:rsidRDefault="00C64C50" w:rsidP="00777258">
      <w:pPr>
        <w:keepNext/>
        <w:widowControl w:val="0"/>
        <w:rPr>
          <w:rFonts w:ascii="Times New Roman" w:hAnsi="Times New Roman"/>
        </w:rPr>
      </w:pPr>
      <w:r w:rsidRPr="00961E0F">
        <w:rPr>
          <w:rFonts w:ascii="Times New Roman" w:hAnsi="Times New Roman"/>
        </w:rPr>
        <w:t>De plus, un PGR actualisé doit être soumis:</w:t>
      </w:r>
    </w:p>
    <w:p w14:paraId="5BDAD72C" w14:textId="77777777" w:rsidR="00C64C50" w:rsidRPr="00961E0F" w:rsidRDefault="00C64C50" w:rsidP="00777258">
      <w:pPr>
        <w:keepNext/>
        <w:widowControl w:val="0"/>
        <w:numPr>
          <w:ilvl w:val="0"/>
          <w:numId w:val="15"/>
        </w:numPr>
        <w:tabs>
          <w:tab w:val="clear" w:pos="720"/>
        </w:tabs>
        <w:ind w:left="567" w:hanging="567"/>
        <w:rPr>
          <w:rFonts w:ascii="Times New Roman" w:hAnsi="Times New Roman"/>
        </w:rPr>
      </w:pPr>
      <w:r w:rsidRPr="00961E0F">
        <w:rPr>
          <w:rFonts w:ascii="Times New Roman" w:hAnsi="Times New Roman"/>
        </w:rPr>
        <w:t>à la demande de l’Agence européenne des médicaments;</w:t>
      </w:r>
    </w:p>
    <w:p w14:paraId="757D88C6" w14:textId="77777777" w:rsidR="00C64C50" w:rsidRPr="00961E0F" w:rsidRDefault="00C64C50" w:rsidP="00C64C50">
      <w:pPr>
        <w:widowControl w:val="0"/>
        <w:numPr>
          <w:ilvl w:val="0"/>
          <w:numId w:val="15"/>
        </w:numPr>
        <w:tabs>
          <w:tab w:val="clear" w:pos="720"/>
        </w:tabs>
        <w:ind w:left="567" w:right="-1" w:hanging="567"/>
        <w:rPr>
          <w:rFonts w:ascii="Times New Roman" w:hAnsi="Times New Roman"/>
        </w:rPr>
      </w:pPr>
      <w:r w:rsidRPr="00961E0F">
        <w:rPr>
          <w:rFonts w:ascii="Times New Roman" w:hAnsi="Times New Roman"/>
        </w:rPr>
        <w:t>dès lors que le système de gestion des risques est modifié, notamment en cas de réception de nouvelles informations pouvant entraîner un changement significatif du profil bénéfice/risque, ou lorsqu’une étape importante (pharmacovigilance ou réduction du risque) est franchie.</w:t>
      </w:r>
    </w:p>
    <w:p w14:paraId="6BF5134E" w14:textId="77777777" w:rsidR="005C16F8" w:rsidRPr="00961E0F" w:rsidRDefault="005C16F8">
      <w:pPr>
        <w:ind w:right="567"/>
        <w:rPr>
          <w:rFonts w:ascii="Times New Roman" w:hAnsi="Times New Roman"/>
          <w:noProof/>
          <w:color w:val="000000"/>
        </w:rPr>
      </w:pPr>
    </w:p>
    <w:p w14:paraId="33F28F72" w14:textId="77777777" w:rsidR="005C16F8" w:rsidRPr="00961E0F" w:rsidRDefault="005C16F8" w:rsidP="00C67CDE">
      <w:pPr>
        <w:keepNext/>
        <w:numPr>
          <w:ilvl w:val="0"/>
          <w:numId w:val="35"/>
        </w:numPr>
        <w:ind w:left="567" w:hanging="567"/>
        <w:rPr>
          <w:rFonts w:ascii="Times New Roman" w:hAnsi="Times New Roman"/>
          <w:b/>
          <w:szCs w:val="24"/>
          <w:lang w:val="fr-BE"/>
        </w:rPr>
      </w:pPr>
      <w:r w:rsidRPr="00961E0F">
        <w:rPr>
          <w:rFonts w:ascii="Times New Roman" w:hAnsi="Times New Roman"/>
          <w:b/>
          <w:szCs w:val="24"/>
          <w:lang w:val="fr-BE"/>
        </w:rPr>
        <w:lastRenderedPageBreak/>
        <w:t>Obligation de mise en place de mesures post-autorisation</w:t>
      </w:r>
    </w:p>
    <w:p w14:paraId="7B75E8D8" w14:textId="77777777" w:rsidR="002030AB" w:rsidRPr="00961E0F" w:rsidRDefault="002030AB" w:rsidP="00C67CDE">
      <w:pPr>
        <w:keepNext/>
        <w:rPr>
          <w:rFonts w:ascii="Times New Roman" w:hAnsi="Times New Roman"/>
          <w:szCs w:val="24"/>
          <w:lang w:val="fr-BE"/>
        </w:rPr>
      </w:pPr>
    </w:p>
    <w:p w14:paraId="75729DE7" w14:textId="77777777" w:rsidR="002030AB" w:rsidRPr="00961E0F" w:rsidRDefault="002030AB" w:rsidP="00C67CDE">
      <w:pPr>
        <w:keepNext/>
        <w:ind w:right="567"/>
        <w:rPr>
          <w:rFonts w:ascii="Times New Roman" w:hAnsi="Times New Roman"/>
          <w:noProof/>
          <w:color w:val="000000"/>
        </w:rPr>
      </w:pPr>
      <w:r w:rsidRPr="00961E0F">
        <w:rPr>
          <w:rFonts w:ascii="Times New Roman" w:hAnsi="Times New Roman"/>
          <w:noProof/>
          <w:color w:val="000000"/>
        </w:rPr>
        <w:t>Le titulaire de l’autorisation de mise sur le marché réalisera, selon le calendrier indiqué, les mesures ci-après :</w:t>
      </w:r>
    </w:p>
    <w:p w14:paraId="49209570" w14:textId="77777777" w:rsidR="002030AB" w:rsidRPr="00961E0F" w:rsidRDefault="002030AB" w:rsidP="00C67CDE">
      <w:pPr>
        <w:keepNext/>
        <w:ind w:right="567"/>
        <w:rPr>
          <w:rFonts w:ascii="Times New Roman" w:hAnsi="Times New Roman"/>
          <w:noProof/>
          <w:color w:val="000000"/>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450"/>
        <w:gridCol w:w="1449"/>
      </w:tblGrid>
      <w:tr w:rsidR="002030AB" w:rsidRPr="00961E0F" w14:paraId="5CDA313F" w14:textId="77777777" w:rsidTr="00C67CDE">
        <w:trPr>
          <w:cantSplit/>
        </w:trPr>
        <w:tc>
          <w:tcPr>
            <w:tcW w:w="4186" w:type="pct"/>
            <w:tcBorders>
              <w:top w:val="single" w:sz="4" w:space="0" w:color="auto"/>
              <w:bottom w:val="single" w:sz="4" w:space="0" w:color="auto"/>
            </w:tcBorders>
          </w:tcPr>
          <w:p w14:paraId="0211C089" w14:textId="77777777" w:rsidR="002030AB" w:rsidRPr="00961E0F" w:rsidRDefault="002030AB" w:rsidP="00C67CDE">
            <w:pPr>
              <w:keepNext/>
              <w:suppressLineNumbers/>
              <w:ind w:right="-1"/>
              <w:rPr>
                <w:rFonts w:ascii="Times New Roman" w:hAnsi="Times New Roman"/>
                <w:b/>
                <w:color w:val="000000"/>
              </w:rPr>
            </w:pPr>
            <w:r w:rsidRPr="00961E0F">
              <w:rPr>
                <w:rFonts w:ascii="Times New Roman" w:hAnsi="Times New Roman"/>
                <w:b/>
                <w:color w:val="000000"/>
              </w:rPr>
              <w:t>Description</w:t>
            </w:r>
          </w:p>
        </w:tc>
        <w:tc>
          <w:tcPr>
            <w:tcW w:w="814" w:type="pct"/>
            <w:tcBorders>
              <w:top w:val="single" w:sz="4" w:space="0" w:color="auto"/>
              <w:bottom w:val="single" w:sz="4" w:space="0" w:color="auto"/>
            </w:tcBorders>
          </w:tcPr>
          <w:p w14:paraId="7E13E8E2" w14:textId="77777777" w:rsidR="002030AB" w:rsidRPr="00961E0F" w:rsidRDefault="002030AB" w:rsidP="00C67CDE">
            <w:pPr>
              <w:keepNext/>
              <w:suppressLineNumbers/>
              <w:ind w:right="-1"/>
              <w:rPr>
                <w:rFonts w:ascii="Times New Roman" w:hAnsi="Times New Roman"/>
                <w:b/>
                <w:color w:val="000000"/>
              </w:rPr>
            </w:pPr>
            <w:r w:rsidRPr="00961E0F">
              <w:rPr>
                <w:rFonts w:ascii="Times New Roman" w:hAnsi="Times New Roman"/>
                <w:b/>
                <w:color w:val="000000"/>
              </w:rPr>
              <w:t>Date</w:t>
            </w:r>
          </w:p>
        </w:tc>
      </w:tr>
      <w:tr w:rsidR="002030AB" w:rsidRPr="00961E0F" w14:paraId="6E9DA529" w14:textId="77777777" w:rsidTr="00C67CDE">
        <w:trPr>
          <w:cantSplit/>
        </w:trPr>
        <w:tc>
          <w:tcPr>
            <w:tcW w:w="4186" w:type="pct"/>
          </w:tcPr>
          <w:p w14:paraId="39A01421" w14:textId="77777777" w:rsidR="002030AB" w:rsidRPr="00961E0F" w:rsidRDefault="00C51DFB" w:rsidP="00D65ABC">
            <w:pPr>
              <w:rPr>
                <w:rFonts w:ascii="Times New Roman" w:hAnsi="Times New Roman"/>
                <w:color w:val="000000"/>
              </w:rPr>
            </w:pPr>
            <w:r w:rsidRPr="00961E0F">
              <w:rPr>
                <w:rFonts w:ascii="Times New Roman" w:hAnsi="Times New Roman"/>
                <w:color w:val="000000"/>
              </w:rPr>
              <w:t xml:space="preserve">Mise en place d’une étude observationnelle pour la collecte de données d’efficacité et de sécurité chez des patients pédiatriques atteints de leucémie aiguë lymphoïde (LAL) Ph+ nouvellement diagnostiquée et traités par chimiothérapie </w:t>
            </w:r>
            <w:r w:rsidR="000643D1" w:rsidRPr="00961E0F">
              <w:rPr>
                <w:rFonts w:ascii="Times New Roman" w:hAnsi="Times New Roman"/>
                <w:color w:val="000000"/>
              </w:rPr>
              <w:t>+</w:t>
            </w:r>
            <w:r w:rsidRPr="00961E0F">
              <w:rPr>
                <w:rFonts w:ascii="Times New Roman" w:hAnsi="Times New Roman"/>
                <w:color w:val="000000"/>
              </w:rPr>
              <w:t xml:space="preserve"> imatinib ± </w:t>
            </w:r>
            <w:r w:rsidR="00827D0E" w:rsidRPr="00961E0F">
              <w:rPr>
                <w:rFonts w:ascii="Times New Roman" w:hAnsi="Times New Roman"/>
                <w:color w:val="000000"/>
              </w:rPr>
              <w:t>greffe</w:t>
            </w:r>
            <w:r w:rsidRPr="00961E0F">
              <w:rPr>
                <w:rFonts w:ascii="Times New Roman" w:hAnsi="Times New Roman"/>
                <w:color w:val="000000"/>
              </w:rPr>
              <w:t xml:space="preserve"> de cellules souches hématopoïétiques. Dépôt du rapport final de l’étude.</w:t>
            </w:r>
          </w:p>
        </w:tc>
        <w:tc>
          <w:tcPr>
            <w:tcW w:w="814" w:type="pct"/>
          </w:tcPr>
          <w:p w14:paraId="4D311273" w14:textId="28866FE3" w:rsidR="002030AB" w:rsidRPr="00961E0F" w:rsidRDefault="00224AFA" w:rsidP="00224AFA">
            <w:pPr>
              <w:pStyle w:val="TabletextrowsAgency"/>
              <w:spacing w:line="240" w:lineRule="auto"/>
              <w:rPr>
                <w:rFonts w:cs="Times New Roman"/>
                <w:szCs w:val="24"/>
              </w:rPr>
            </w:pPr>
            <w:r>
              <w:rPr>
                <w:rFonts w:ascii="Times New Roman" w:eastAsia="Times New Roman" w:hAnsi="Times New Roman" w:cs="Times New Roman"/>
                <w:snapToGrid/>
                <w:color w:val="000000"/>
                <w:sz w:val="22"/>
                <w:szCs w:val="20"/>
                <w:lang w:val="fr-FR"/>
              </w:rPr>
              <w:t>2</w:t>
            </w:r>
            <w:r w:rsidR="000E2615" w:rsidRPr="00961E0F">
              <w:rPr>
                <w:rFonts w:ascii="Times New Roman" w:eastAsia="Times New Roman" w:hAnsi="Times New Roman" w:cs="Times New Roman"/>
                <w:snapToGrid/>
                <w:color w:val="000000"/>
                <w:sz w:val="22"/>
                <w:szCs w:val="20"/>
                <w:lang w:val="fr-FR"/>
              </w:rPr>
              <w:t>3/06/202</w:t>
            </w:r>
            <w:r w:rsidR="009478DD">
              <w:rPr>
                <w:rFonts w:ascii="Times New Roman" w:eastAsia="Times New Roman" w:hAnsi="Times New Roman" w:cs="Times New Roman"/>
                <w:snapToGrid/>
                <w:color w:val="000000"/>
                <w:sz w:val="22"/>
                <w:szCs w:val="20"/>
                <w:lang w:val="fr-FR"/>
              </w:rPr>
              <w:t>3</w:t>
            </w:r>
          </w:p>
        </w:tc>
      </w:tr>
    </w:tbl>
    <w:p w14:paraId="30D5F880" w14:textId="77777777" w:rsidR="007D642D" w:rsidRPr="00961E0F" w:rsidRDefault="007D642D">
      <w:pPr>
        <w:rPr>
          <w:rFonts w:ascii="Times New Roman" w:hAnsi="Times New Roman"/>
          <w:color w:val="000000"/>
          <w:szCs w:val="22"/>
        </w:rPr>
      </w:pPr>
    </w:p>
    <w:p w14:paraId="1BAB21D7" w14:textId="77777777" w:rsidR="007D642D" w:rsidRPr="00961E0F" w:rsidRDefault="007D642D">
      <w:pPr>
        <w:widowControl w:val="0"/>
        <w:suppressAutoHyphens/>
        <w:jc w:val="both"/>
        <w:rPr>
          <w:rFonts w:ascii="Times New Roman" w:hAnsi="Times New Roman"/>
          <w:color w:val="000000"/>
          <w:szCs w:val="22"/>
        </w:rPr>
      </w:pPr>
      <w:r w:rsidRPr="00961E0F">
        <w:rPr>
          <w:rFonts w:ascii="Times New Roman" w:hAnsi="Times New Roman"/>
          <w:color w:val="000000"/>
          <w:szCs w:val="22"/>
        </w:rPr>
        <w:br w:type="page"/>
      </w:r>
    </w:p>
    <w:p w14:paraId="0F3DF8B2" w14:textId="77777777" w:rsidR="007D642D" w:rsidRPr="00961E0F" w:rsidRDefault="007D642D">
      <w:pPr>
        <w:widowControl w:val="0"/>
        <w:suppressAutoHyphens/>
        <w:jc w:val="both"/>
        <w:rPr>
          <w:rFonts w:ascii="Times New Roman" w:hAnsi="Times New Roman"/>
          <w:color w:val="000000"/>
          <w:szCs w:val="22"/>
        </w:rPr>
      </w:pPr>
    </w:p>
    <w:p w14:paraId="577A71FF" w14:textId="77777777" w:rsidR="007D642D" w:rsidRPr="00961E0F" w:rsidRDefault="007D642D">
      <w:pPr>
        <w:widowControl w:val="0"/>
        <w:suppressAutoHyphens/>
        <w:jc w:val="both"/>
        <w:rPr>
          <w:rFonts w:ascii="Times New Roman" w:hAnsi="Times New Roman"/>
          <w:color w:val="000000"/>
          <w:szCs w:val="22"/>
        </w:rPr>
      </w:pPr>
    </w:p>
    <w:p w14:paraId="0F74195C" w14:textId="77777777" w:rsidR="007D642D" w:rsidRPr="00961E0F" w:rsidRDefault="007D642D">
      <w:pPr>
        <w:widowControl w:val="0"/>
        <w:suppressAutoHyphens/>
        <w:jc w:val="both"/>
        <w:rPr>
          <w:rFonts w:ascii="Times New Roman" w:hAnsi="Times New Roman"/>
          <w:color w:val="000000"/>
          <w:szCs w:val="22"/>
        </w:rPr>
      </w:pPr>
    </w:p>
    <w:p w14:paraId="73FD8A1A" w14:textId="77777777" w:rsidR="007D642D" w:rsidRPr="00961E0F" w:rsidRDefault="007D642D">
      <w:pPr>
        <w:widowControl w:val="0"/>
        <w:suppressAutoHyphens/>
        <w:jc w:val="both"/>
        <w:rPr>
          <w:rFonts w:ascii="Times New Roman" w:hAnsi="Times New Roman"/>
          <w:color w:val="000000"/>
          <w:szCs w:val="22"/>
        </w:rPr>
      </w:pPr>
    </w:p>
    <w:p w14:paraId="60A803AD" w14:textId="77777777" w:rsidR="007D642D" w:rsidRPr="00961E0F" w:rsidRDefault="007D642D">
      <w:pPr>
        <w:widowControl w:val="0"/>
        <w:suppressAutoHyphens/>
        <w:jc w:val="both"/>
        <w:rPr>
          <w:rFonts w:ascii="Times New Roman" w:hAnsi="Times New Roman"/>
          <w:color w:val="000000"/>
          <w:szCs w:val="22"/>
        </w:rPr>
      </w:pPr>
    </w:p>
    <w:p w14:paraId="28A1E3FB" w14:textId="77777777" w:rsidR="007D642D" w:rsidRPr="00961E0F" w:rsidRDefault="007D642D">
      <w:pPr>
        <w:widowControl w:val="0"/>
        <w:suppressAutoHyphens/>
        <w:jc w:val="both"/>
        <w:rPr>
          <w:rFonts w:ascii="Times New Roman" w:hAnsi="Times New Roman"/>
          <w:color w:val="000000"/>
          <w:szCs w:val="22"/>
        </w:rPr>
      </w:pPr>
    </w:p>
    <w:p w14:paraId="65B3EFBE" w14:textId="77777777" w:rsidR="007D642D" w:rsidRPr="00961E0F" w:rsidRDefault="007D642D">
      <w:pPr>
        <w:widowControl w:val="0"/>
        <w:suppressAutoHyphens/>
        <w:jc w:val="both"/>
        <w:rPr>
          <w:rFonts w:ascii="Times New Roman" w:hAnsi="Times New Roman"/>
          <w:color w:val="000000"/>
          <w:szCs w:val="22"/>
        </w:rPr>
      </w:pPr>
    </w:p>
    <w:p w14:paraId="43014AE1" w14:textId="77777777" w:rsidR="007D642D" w:rsidRPr="00961E0F" w:rsidRDefault="007D642D">
      <w:pPr>
        <w:widowControl w:val="0"/>
        <w:suppressAutoHyphens/>
        <w:jc w:val="both"/>
        <w:rPr>
          <w:rFonts w:ascii="Times New Roman" w:hAnsi="Times New Roman"/>
          <w:color w:val="000000"/>
          <w:szCs w:val="22"/>
        </w:rPr>
      </w:pPr>
    </w:p>
    <w:p w14:paraId="23A26112" w14:textId="77777777" w:rsidR="007D642D" w:rsidRPr="00961E0F" w:rsidRDefault="007D642D">
      <w:pPr>
        <w:widowControl w:val="0"/>
        <w:suppressAutoHyphens/>
        <w:jc w:val="both"/>
        <w:rPr>
          <w:rFonts w:ascii="Times New Roman" w:hAnsi="Times New Roman"/>
          <w:color w:val="000000"/>
          <w:szCs w:val="22"/>
        </w:rPr>
      </w:pPr>
    </w:p>
    <w:p w14:paraId="2772C662" w14:textId="77777777" w:rsidR="007D642D" w:rsidRPr="00961E0F" w:rsidRDefault="007D642D">
      <w:pPr>
        <w:widowControl w:val="0"/>
        <w:suppressAutoHyphens/>
        <w:jc w:val="both"/>
        <w:rPr>
          <w:rFonts w:ascii="Times New Roman" w:hAnsi="Times New Roman"/>
          <w:color w:val="000000"/>
          <w:szCs w:val="22"/>
        </w:rPr>
      </w:pPr>
    </w:p>
    <w:p w14:paraId="79316514" w14:textId="77777777" w:rsidR="007D642D" w:rsidRPr="00961E0F" w:rsidRDefault="007D642D">
      <w:pPr>
        <w:widowControl w:val="0"/>
        <w:suppressAutoHyphens/>
        <w:jc w:val="both"/>
        <w:rPr>
          <w:rFonts w:ascii="Times New Roman" w:hAnsi="Times New Roman"/>
          <w:color w:val="000000"/>
          <w:szCs w:val="22"/>
        </w:rPr>
      </w:pPr>
    </w:p>
    <w:p w14:paraId="76FFBB68" w14:textId="77777777" w:rsidR="007D642D" w:rsidRPr="00961E0F" w:rsidRDefault="007D642D">
      <w:pPr>
        <w:widowControl w:val="0"/>
        <w:suppressAutoHyphens/>
        <w:jc w:val="both"/>
        <w:rPr>
          <w:rFonts w:ascii="Times New Roman" w:hAnsi="Times New Roman"/>
          <w:color w:val="000000"/>
          <w:szCs w:val="22"/>
        </w:rPr>
      </w:pPr>
    </w:p>
    <w:p w14:paraId="4BC56A75" w14:textId="77777777" w:rsidR="007D642D" w:rsidRPr="00961E0F" w:rsidRDefault="007D642D">
      <w:pPr>
        <w:widowControl w:val="0"/>
        <w:suppressAutoHyphens/>
        <w:jc w:val="both"/>
        <w:rPr>
          <w:rFonts w:ascii="Times New Roman" w:hAnsi="Times New Roman"/>
          <w:color w:val="000000"/>
          <w:szCs w:val="22"/>
        </w:rPr>
      </w:pPr>
    </w:p>
    <w:p w14:paraId="6F91F713" w14:textId="77777777" w:rsidR="007D642D" w:rsidRPr="00961E0F" w:rsidRDefault="007D642D">
      <w:pPr>
        <w:widowControl w:val="0"/>
        <w:suppressAutoHyphens/>
        <w:jc w:val="both"/>
        <w:rPr>
          <w:rFonts w:ascii="Times New Roman" w:hAnsi="Times New Roman"/>
          <w:color w:val="000000"/>
          <w:szCs w:val="22"/>
        </w:rPr>
      </w:pPr>
    </w:p>
    <w:p w14:paraId="4DC0754F" w14:textId="77777777" w:rsidR="007D642D" w:rsidRPr="00961E0F" w:rsidRDefault="007D642D">
      <w:pPr>
        <w:widowControl w:val="0"/>
        <w:suppressAutoHyphens/>
        <w:jc w:val="both"/>
        <w:rPr>
          <w:rFonts w:ascii="Times New Roman" w:hAnsi="Times New Roman"/>
          <w:color w:val="000000"/>
          <w:szCs w:val="22"/>
        </w:rPr>
      </w:pPr>
    </w:p>
    <w:p w14:paraId="6B6136A2" w14:textId="77777777" w:rsidR="007D642D" w:rsidRPr="00961E0F" w:rsidRDefault="007D642D">
      <w:pPr>
        <w:widowControl w:val="0"/>
        <w:suppressAutoHyphens/>
        <w:jc w:val="both"/>
        <w:rPr>
          <w:rFonts w:ascii="Times New Roman" w:hAnsi="Times New Roman"/>
          <w:color w:val="000000"/>
          <w:szCs w:val="22"/>
        </w:rPr>
      </w:pPr>
    </w:p>
    <w:p w14:paraId="0B79C404" w14:textId="77777777" w:rsidR="007D642D" w:rsidRPr="00961E0F" w:rsidRDefault="007D642D">
      <w:pPr>
        <w:widowControl w:val="0"/>
        <w:suppressAutoHyphens/>
        <w:jc w:val="both"/>
        <w:rPr>
          <w:rFonts w:ascii="Times New Roman" w:hAnsi="Times New Roman"/>
          <w:color w:val="000000"/>
          <w:szCs w:val="22"/>
        </w:rPr>
      </w:pPr>
    </w:p>
    <w:p w14:paraId="596174F0" w14:textId="77777777" w:rsidR="007D642D" w:rsidRPr="00961E0F" w:rsidRDefault="007D642D">
      <w:pPr>
        <w:pStyle w:val="EndnoteText"/>
        <w:widowControl w:val="0"/>
        <w:tabs>
          <w:tab w:val="clear" w:pos="567"/>
        </w:tabs>
        <w:suppressAutoHyphens/>
        <w:jc w:val="both"/>
        <w:rPr>
          <w:color w:val="000000"/>
          <w:szCs w:val="22"/>
          <w:lang w:val="fr-FR"/>
        </w:rPr>
      </w:pPr>
    </w:p>
    <w:p w14:paraId="0AD010D4" w14:textId="77777777" w:rsidR="007D642D" w:rsidRPr="00961E0F" w:rsidRDefault="007D642D">
      <w:pPr>
        <w:widowControl w:val="0"/>
        <w:suppressAutoHyphens/>
        <w:jc w:val="both"/>
        <w:rPr>
          <w:rFonts w:ascii="Times New Roman" w:hAnsi="Times New Roman"/>
          <w:color w:val="000000"/>
          <w:szCs w:val="22"/>
        </w:rPr>
      </w:pPr>
    </w:p>
    <w:p w14:paraId="6B224F3C" w14:textId="77777777" w:rsidR="007D642D" w:rsidRPr="00961E0F" w:rsidRDefault="007D642D">
      <w:pPr>
        <w:widowControl w:val="0"/>
        <w:suppressAutoHyphens/>
        <w:jc w:val="both"/>
        <w:rPr>
          <w:rFonts w:ascii="Times New Roman" w:hAnsi="Times New Roman"/>
          <w:color w:val="000000"/>
          <w:szCs w:val="22"/>
        </w:rPr>
      </w:pPr>
    </w:p>
    <w:p w14:paraId="1E468FCF" w14:textId="77777777" w:rsidR="007D642D" w:rsidRPr="00961E0F" w:rsidRDefault="007D642D">
      <w:pPr>
        <w:widowControl w:val="0"/>
        <w:suppressAutoHyphens/>
        <w:jc w:val="both"/>
        <w:rPr>
          <w:rFonts w:ascii="Times New Roman" w:hAnsi="Times New Roman"/>
          <w:color w:val="000000"/>
          <w:szCs w:val="22"/>
        </w:rPr>
      </w:pPr>
    </w:p>
    <w:p w14:paraId="1407B7F7" w14:textId="77777777" w:rsidR="007D642D" w:rsidRDefault="007D642D">
      <w:pPr>
        <w:widowControl w:val="0"/>
        <w:suppressAutoHyphens/>
        <w:jc w:val="both"/>
        <w:rPr>
          <w:rFonts w:ascii="Times New Roman" w:hAnsi="Times New Roman"/>
          <w:color w:val="000000"/>
          <w:szCs w:val="22"/>
        </w:rPr>
      </w:pPr>
    </w:p>
    <w:p w14:paraId="07294850" w14:textId="77777777" w:rsidR="00C67CDE" w:rsidRPr="00961E0F" w:rsidRDefault="00C67CDE">
      <w:pPr>
        <w:widowControl w:val="0"/>
        <w:suppressAutoHyphens/>
        <w:jc w:val="both"/>
        <w:rPr>
          <w:rFonts w:ascii="Times New Roman" w:hAnsi="Times New Roman"/>
          <w:color w:val="000000"/>
          <w:szCs w:val="22"/>
        </w:rPr>
      </w:pPr>
    </w:p>
    <w:p w14:paraId="55C7E6C6" w14:textId="77777777" w:rsidR="007D642D" w:rsidRPr="00961E0F" w:rsidRDefault="007D642D">
      <w:pPr>
        <w:pStyle w:val="Heading3"/>
        <w:keepNext w:val="0"/>
        <w:widowControl w:val="0"/>
        <w:rPr>
          <w:color w:val="000000"/>
          <w:szCs w:val="22"/>
        </w:rPr>
      </w:pPr>
      <w:r w:rsidRPr="00961E0F">
        <w:rPr>
          <w:color w:val="000000"/>
          <w:szCs w:val="22"/>
        </w:rPr>
        <w:t xml:space="preserve">ANNEXE </w:t>
      </w:r>
      <w:smartTag w:uri="urn:schemas-microsoft-com:office:smarttags" w:element="stockticker">
        <w:r w:rsidRPr="00961E0F">
          <w:rPr>
            <w:color w:val="000000"/>
            <w:szCs w:val="22"/>
          </w:rPr>
          <w:t>III</w:t>
        </w:r>
      </w:smartTag>
    </w:p>
    <w:p w14:paraId="70ED1F3B" w14:textId="77777777" w:rsidR="007D642D" w:rsidRPr="00961E0F" w:rsidRDefault="007D642D">
      <w:pPr>
        <w:widowControl w:val="0"/>
        <w:suppressAutoHyphens/>
        <w:jc w:val="center"/>
        <w:rPr>
          <w:rFonts w:ascii="Times New Roman" w:hAnsi="Times New Roman"/>
          <w:color w:val="000000"/>
          <w:szCs w:val="22"/>
        </w:rPr>
      </w:pPr>
    </w:p>
    <w:p w14:paraId="53D40A73" w14:textId="77777777" w:rsidR="007D642D" w:rsidRPr="00961E0F" w:rsidRDefault="00482AC8">
      <w:pPr>
        <w:widowControl w:val="0"/>
        <w:suppressAutoHyphens/>
        <w:jc w:val="center"/>
        <w:rPr>
          <w:rFonts w:ascii="Times New Roman" w:hAnsi="Times New Roman"/>
          <w:b/>
          <w:color w:val="000000"/>
          <w:szCs w:val="22"/>
        </w:rPr>
      </w:pPr>
      <w:r w:rsidRPr="00961E0F">
        <w:rPr>
          <w:rFonts w:ascii="Times New Roman" w:hAnsi="Times New Roman"/>
          <w:b/>
          <w:color w:val="000000"/>
          <w:szCs w:val="22"/>
        </w:rPr>
        <w:t>É</w:t>
      </w:r>
      <w:r w:rsidR="007D642D" w:rsidRPr="00961E0F">
        <w:rPr>
          <w:rFonts w:ascii="Times New Roman" w:hAnsi="Times New Roman"/>
          <w:b/>
          <w:color w:val="000000"/>
          <w:szCs w:val="22"/>
        </w:rPr>
        <w:t>TIQUETAGE ET NOTICE</w:t>
      </w:r>
    </w:p>
    <w:p w14:paraId="08A1CCE6"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br w:type="page"/>
      </w:r>
    </w:p>
    <w:p w14:paraId="423E5558" w14:textId="77777777" w:rsidR="007D642D" w:rsidRPr="00961E0F" w:rsidRDefault="007D642D">
      <w:pPr>
        <w:widowControl w:val="0"/>
        <w:suppressAutoHyphens/>
        <w:rPr>
          <w:rFonts w:ascii="Times New Roman" w:hAnsi="Times New Roman"/>
          <w:color w:val="000000"/>
          <w:szCs w:val="22"/>
        </w:rPr>
      </w:pPr>
    </w:p>
    <w:p w14:paraId="6C5CD6E0" w14:textId="77777777" w:rsidR="007D642D" w:rsidRPr="00961E0F" w:rsidRDefault="007D642D">
      <w:pPr>
        <w:widowControl w:val="0"/>
        <w:suppressAutoHyphens/>
        <w:rPr>
          <w:rFonts w:ascii="Times New Roman" w:hAnsi="Times New Roman"/>
          <w:color w:val="000000"/>
          <w:szCs w:val="22"/>
        </w:rPr>
      </w:pPr>
    </w:p>
    <w:p w14:paraId="40AC3B46" w14:textId="77777777" w:rsidR="007D642D" w:rsidRPr="00961E0F" w:rsidRDefault="007D642D">
      <w:pPr>
        <w:widowControl w:val="0"/>
        <w:suppressAutoHyphens/>
        <w:rPr>
          <w:rFonts w:ascii="Times New Roman" w:hAnsi="Times New Roman"/>
          <w:color w:val="000000"/>
          <w:szCs w:val="22"/>
        </w:rPr>
      </w:pPr>
    </w:p>
    <w:p w14:paraId="2A6AB57D" w14:textId="77777777" w:rsidR="007D642D" w:rsidRPr="00961E0F" w:rsidRDefault="007D642D">
      <w:pPr>
        <w:widowControl w:val="0"/>
        <w:suppressAutoHyphens/>
        <w:rPr>
          <w:rFonts w:ascii="Times New Roman" w:hAnsi="Times New Roman"/>
          <w:color w:val="000000"/>
          <w:szCs w:val="22"/>
        </w:rPr>
      </w:pPr>
    </w:p>
    <w:p w14:paraId="5AC133B5" w14:textId="77777777" w:rsidR="007D642D" w:rsidRPr="00961E0F" w:rsidRDefault="007D642D">
      <w:pPr>
        <w:widowControl w:val="0"/>
        <w:suppressAutoHyphens/>
        <w:rPr>
          <w:rFonts w:ascii="Times New Roman" w:hAnsi="Times New Roman"/>
          <w:color w:val="000000"/>
          <w:szCs w:val="22"/>
        </w:rPr>
      </w:pPr>
    </w:p>
    <w:p w14:paraId="40E9828B" w14:textId="77777777" w:rsidR="007D642D" w:rsidRPr="00961E0F" w:rsidRDefault="007D642D">
      <w:pPr>
        <w:widowControl w:val="0"/>
        <w:suppressAutoHyphens/>
        <w:rPr>
          <w:rFonts w:ascii="Times New Roman" w:hAnsi="Times New Roman"/>
          <w:color w:val="000000"/>
          <w:szCs w:val="22"/>
        </w:rPr>
      </w:pPr>
    </w:p>
    <w:p w14:paraId="5941D587" w14:textId="77777777" w:rsidR="007D642D" w:rsidRPr="00961E0F" w:rsidRDefault="007D642D">
      <w:pPr>
        <w:widowControl w:val="0"/>
        <w:suppressAutoHyphens/>
        <w:rPr>
          <w:rFonts w:ascii="Times New Roman" w:hAnsi="Times New Roman"/>
          <w:color w:val="000000"/>
          <w:szCs w:val="22"/>
        </w:rPr>
      </w:pPr>
    </w:p>
    <w:p w14:paraId="4DA97D60" w14:textId="77777777" w:rsidR="007D642D" w:rsidRPr="00961E0F" w:rsidRDefault="007D642D">
      <w:pPr>
        <w:widowControl w:val="0"/>
        <w:suppressAutoHyphens/>
        <w:rPr>
          <w:rFonts w:ascii="Times New Roman" w:hAnsi="Times New Roman"/>
          <w:color w:val="000000"/>
          <w:szCs w:val="22"/>
        </w:rPr>
      </w:pPr>
    </w:p>
    <w:p w14:paraId="7A3BA3D6" w14:textId="77777777" w:rsidR="007D642D" w:rsidRPr="00961E0F" w:rsidRDefault="007D642D">
      <w:pPr>
        <w:widowControl w:val="0"/>
        <w:suppressAutoHyphens/>
        <w:rPr>
          <w:rFonts w:ascii="Times New Roman" w:hAnsi="Times New Roman"/>
          <w:color w:val="000000"/>
          <w:szCs w:val="22"/>
        </w:rPr>
      </w:pPr>
    </w:p>
    <w:p w14:paraId="5D095262" w14:textId="77777777" w:rsidR="007D642D" w:rsidRPr="00961E0F" w:rsidRDefault="007D642D">
      <w:pPr>
        <w:widowControl w:val="0"/>
        <w:suppressAutoHyphens/>
        <w:rPr>
          <w:rFonts w:ascii="Times New Roman" w:hAnsi="Times New Roman"/>
          <w:color w:val="000000"/>
          <w:szCs w:val="22"/>
        </w:rPr>
      </w:pPr>
    </w:p>
    <w:p w14:paraId="49AA6D5E" w14:textId="77777777" w:rsidR="007D642D" w:rsidRPr="00961E0F" w:rsidRDefault="007D642D">
      <w:pPr>
        <w:widowControl w:val="0"/>
        <w:suppressAutoHyphens/>
        <w:rPr>
          <w:rFonts w:ascii="Times New Roman" w:hAnsi="Times New Roman"/>
          <w:color w:val="000000"/>
          <w:szCs w:val="22"/>
        </w:rPr>
      </w:pPr>
    </w:p>
    <w:p w14:paraId="2A327AFA" w14:textId="77777777" w:rsidR="007D642D" w:rsidRPr="00961E0F" w:rsidRDefault="007D642D">
      <w:pPr>
        <w:widowControl w:val="0"/>
        <w:suppressAutoHyphens/>
        <w:rPr>
          <w:rFonts w:ascii="Times New Roman" w:hAnsi="Times New Roman"/>
          <w:color w:val="000000"/>
          <w:szCs w:val="22"/>
        </w:rPr>
      </w:pPr>
    </w:p>
    <w:p w14:paraId="6DA49BC3" w14:textId="77777777" w:rsidR="007D642D" w:rsidRPr="00961E0F" w:rsidRDefault="007D642D">
      <w:pPr>
        <w:widowControl w:val="0"/>
        <w:suppressAutoHyphens/>
        <w:rPr>
          <w:rFonts w:ascii="Times New Roman" w:hAnsi="Times New Roman"/>
          <w:color w:val="000000"/>
          <w:szCs w:val="22"/>
        </w:rPr>
      </w:pPr>
    </w:p>
    <w:p w14:paraId="5EF88AF6" w14:textId="77777777" w:rsidR="007D642D" w:rsidRPr="00961E0F" w:rsidRDefault="007D642D">
      <w:pPr>
        <w:widowControl w:val="0"/>
        <w:suppressAutoHyphens/>
        <w:rPr>
          <w:rFonts w:ascii="Times New Roman" w:hAnsi="Times New Roman"/>
          <w:color w:val="000000"/>
          <w:szCs w:val="22"/>
        </w:rPr>
      </w:pPr>
    </w:p>
    <w:p w14:paraId="7FF7FAC5" w14:textId="77777777" w:rsidR="007D642D" w:rsidRPr="00961E0F" w:rsidRDefault="007D642D">
      <w:pPr>
        <w:widowControl w:val="0"/>
        <w:suppressAutoHyphens/>
        <w:rPr>
          <w:rFonts w:ascii="Times New Roman" w:hAnsi="Times New Roman"/>
          <w:color w:val="000000"/>
          <w:szCs w:val="22"/>
        </w:rPr>
      </w:pPr>
    </w:p>
    <w:p w14:paraId="675C5DFC" w14:textId="77777777" w:rsidR="007D642D" w:rsidRPr="00961E0F" w:rsidRDefault="007D642D">
      <w:pPr>
        <w:widowControl w:val="0"/>
        <w:suppressAutoHyphens/>
        <w:rPr>
          <w:rFonts w:ascii="Times New Roman" w:hAnsi="Times New Roman"/>
          <w:color w:val="000000"/>
          <w:szCs w:val="22"/>
        </w:rPr>
      </w:pPr>
    </w:p>
    <w:p w14:paraId="5D8E87A7" w14:textId="77777777" w:rsidR="007D642D" w:rsidRPr="00961E0F" w:rsidRDefault="007D642D">
      <w:pPr>
        <w:widowControl w:val="0"/>
        <w:suppressAutoHyphens/>
        <w:rPr>
          <w:rFonts w:ascii="Times New Roman" w:hAnsi="Times New Roman"/>
          <w:color w:val="000000"/>
          <w:szCs w:val="22"/>
        </w:rPr>
      </w:pPr>
    </w:p>
    <w:p w14:paraId="3FF6FC37" w14:textId="77777777" w:rsidR="007D642D" w:rsidRPr="00961E0F" w:rsidRDefault="007D642D">
      <w:pPr>
        <w:widowControl w:val="0"/>
        <w:suppressAutoHyphens/>
        <w:rPr>
          <w:rFonts w:ascii="Times New Roman" w:hAnsi="Times New Roman"/>
          <w:color w:val="000000"/>
          <w:szCs w:val="22"/>
        </w:rPr>
      </w:pPr>
    </w:p>
    <w:p w14:paraId="0136AF10" w14:textId="77777777" w:rsidR="007D642D" w:rsidRPr="00961E0F" w:rsidRDefault="007D642D">
      <w:pPr>
        <w:widowControl w:val="0"/>
        <w:suppressAutoHyphens/>
        <w:rPr>
          <w:rFonts w:ascii="Times New Roman" w:hAnsi="Times New Roman"/>
          <w:color w:val="000000"/>
          <w:szCs w:val="22"/>
        </w:rPr>
      </w:pPr>
    </w:p>
    <w:p w14:paraId="29E6AD90" w14:textId="77777777" w:rsidR="007D642D" w:rsidRPr="00961E0F" w:rsidRDefault="007D642D">
      <w:pPr>
        <w:widowControl w:val="0"/>
        <w:suppressAutoHyphens/>
        <w:rPr>
          <w:rFonts w:ascii="Times New Roman" w:hAnsi="Times New Roman"/>
          <w:color w:val="000000"/>
          <w:szCs w:val="22"/>
        </w:rPr>
      </w:pPr>
    </w:p>
    <w:p w14:paraId="119D425C" w14:textId="77777777" w:rsidR="007D642D" w:rsidRPr="00961E0F" w:rsidRDefault="007D642D">
      <w:pPr>
        <w:pStyle w:val="EndnoteText"/>
        <w:widowControl w:val="0"/>
        <w:tabs>
          <w:tab w:val="clear" w:pos="567"/>
        </w:tabs>
        <w:suppressAutoHyphens/>
        <w:rPr>
          <w:color w:val="000000"/>
          <w:szCs w:val="22"/>
          <w:lang w:val="fr-FR"/>
        </w:rPr>
      </w:pPr>
    </w:p>
    <w:p w14:paraId="5907889E" w14:textId="77777777" w:rsidR="007D642D" w:rsidRDefault="007D642D">
      <w:pPr>
        <w:widowControl w:val="0"/>
        <w:suppressAutoHyphens/>
        <w:rPr>
          <w:rFonts w:ascii="Times New Roman" w:hAnsi="Times New Roman"/>
          <w:color w:val="000000"/>
          <w:szCs w:val="22"/>
        </w:rPr>
      </w:pPr>
    </w:p>
    <w:p w14:paraId="1110F8A5" w14:textId="77777777" w:rsidR="00C67CDE" w:rsidRPr="00961E0F" w:rsidRDefault="00C67CDE">
      <w:pPr>
        <w:widowControl w:val="0"/>
        <w:suppressAutoHyphens/>
        <w:rPr>
          <w:rFonts w:ascii="Times New Roman" w:hAnsi="Times New Roman"/>
          <w:color w:val="000000"/>
          <w:szCs w:val="22"/>
        </w:rPr>
      </w:pPr>
    </w:p>
    <w:p w14:paraId="531F88A3" w14:textId="77777777" w:rsidR="007D642D" w:rsidRPr="00961E0F" w:rsidRDefault="007D642D">
      <w:pPr>
        <w:pStyle w:val="Heading5"/>
        <w:numPr>
          <w:ilvl w:val="0"/>
          <w:numId w:val="0"/>
        </w:numPr>
        <w:jc w:val="center"/>
        <w:rPr>
          <w:color w:val="000000"/>
          <w:szCs w:val="22"/>
        </w:rPr>
      </w:pPr>
      <w:r w:rsidRPr="00961E0F">
        <w:rPr>
          <w:color w:val="000000"/>
          <w:szCs w:val="22"/>
        </w:rPr>
        <w:t xml:space="preserve">A. </w:t>
      </w:r>
      <w:r w:rsidR="00482AC8" w:rsidRPr="00961E0F">
        <w:rPr>
          <w:color w:val="000000"/>
          <w:szCs w:val="22"/>
        </w:rPr>
        <w:t>É</w:t>
      </w:r>
      <w:r w:rsidRPr="00961E0F">
        <w:rPr>
          <w:color w:val="000000"/>
          <w:szCs w:val="22"/>
        </w:rPr>
        <w:t>TIQUETAGE</w:t>
      </w:r>
    </w:p>
    <w:p w14:paraId="7BC9C5FB" w14:textId="77777777" w:rsidR="007D642D" w:rsidRPr="00961E0F" w:rsidRDefault="007D642D">
      <w:pPr>
        <w:suppressAutoHyphens/>
        <w:rPr>
          <w:rFonts w:ascii="Times New Roman" w:hAnsi="Times New Roman"/>
          <w:color w:val="000000"/>
          <w:szCs w:val="22"/>
        </w:rPr>
      </w:pPr>
      <w:r w:rsidRPr="00961E0F">
        <w:rPr>
          <w:rFonts w:ascii="Times New Roman" w:hAnsi="Times New Roman"/>
          <w:b/>
          <w:color w:val="000000"/>
          <w:szCs w:val="22"/>
        </w:rPr>
        <w:br w:type="page"/>
      </w:r>
    </w:p>
    <w:p w14:paraId="464CEBC3" w14:textId="77777777" w:rsidR="00C67CDE" w:rsidRPr="00C67CDE" w:rsidRDefault="00C67CDE" w:rsidP="00C67CDE">
      <w:pPr>
        <w:rPr>
          <w:rFonts w:ascii="Times New Roman" w:hAnsi="Times New Roman"/>
          <w:color w:val="000000"/>
          <w:szCs w:val="22"/>
        </w:rPr>
      </w:pPr>
    </w:p>
    <w:p w14:paraId="0FFD60D3" w14:textId="77777777" w:rsidR="007D642D" w:rsidRPr="00961E0F" w:rsidRDefault="007D642D">
      <w:pPr>
        <w:pBdr>
          <w:top w:val="single" w:sz="4" w:space="1" w:color="auto"/>
          <w:left w:val="single" w:sz="4" w:space="4" w:color="auto"/>
          <w:bottom w:val="single" w:sz="4" w:space="1" w:color="auto"/>
          <w:right w:val="single" w:sz="4" w:space="4" w:color="auto"/>
        </w:pBdr>
        <w:rPr>
          <w:rFonts w:ascii="Times New Roman" w:hAnsi="Times New Roman"/>
          <w:color w:val="000000"/>
          <w:szCs w:val="22"/>
        </w:rPr>
      </w:pPr>
      <w:r w:rsidRPr="00961E0F">
        <w:rPr>
          <w:rFonts w:ascii="Times New Roman" w:hAnsi="Times New Roman"/>
          <w:b/>
          <w:color w:val="000000"/>
          <w:szCs w:val="22"/>
        </w:rPr>
        <w:t xml:space="preserve">MENTIONS DEVANT FIGURER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L’EMBALLAGE EXT</w:t>
      </w:r>
      <w:r w:rsidR="009C0A2B" w:rsidRPr="00961E0F">
        <w:rPr>
          <w:rFonts w:ascii="Times New Roman" w:hAnsi="Times New Roman"/>
          <w:b/>
          <w:color w:val="000000"/>
          <w:szCs w:val="22"/>
        </w:rPr>
        <w:t>É</w:t>
      </w:r>
      <w:r w:rsidRPr="00961E0F">
        <w:rPr>
          <w:rFonts w:ascii="Times New Roman" w:hAnsi="Times New Roman"/>
          <w:b/>
          <w:color w:val="000000"/>
          <w:szCs w:val="22"/>
        </w:rPr>
        <w:t>RIEUR</w:t>
      </w:r>
    </w:p>
    <w:p w14:paraId="06782EFC" w14:textId="77777777" w:rsidR="007D642D" w:rsidRPr="00961E0F" w:rsidRDefault="007D642D">
      <w:pPr>
        <w:pBdr>
          <w:top w:val="single" w:sz="4" w:space="1" w:color="auto"/>
          <w:left w:val="single" w:sz="4" w:space="4" w:color="auto"/>
          <w:bottom w:val="single" w:sz="4" w:space="1" w:color="auto"/>
          <w:right w:val="single" w:sz="4" w:space="4" w:color="auto"/>
        </w:pBdr>
        <w:rPr>
          <w:rFonts w:ascii="Times New Roman" w:hAnsi="Times New Roman"/>
          <w:color w:val="000000"/>
          <w:szCs w:val="22"/>
        </w:rPr>
      </w:pPr>
    </w:p>
    <w:p w14:paraId="4BAF3317" w14:textId="77777777" w:rsidR="007D642D" w:rsidRPr="00961E0F" w:rsidRDefault="009C0A2B">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É</w:t>
      </w:r>
      <w:r w:rsidR="007D642D" w:rsidRPr="00961E0F">
        <w:rPr>
          <w:rFonts w:ascii="Times New Roman" w:hAnsi="Times New Roman"/>
          <w:b/>
          <w:color w:val="000000"/>
          <w:szCs w:val="22"/>
        </w:rPr>
        <w:t>TUI CARTON</w:t>
      </w:r>
    </w:p>
    <w:p w14:paraId="1B47E661" w14:textId="77777777" w:rsidR="007D642D" w:rsidRPr="00961E0F" w:rsidRDefault="007D642D">
      <w:pPr>
        <w:pStyle w:val="EndnoteText"/>
        <w:tabs>
          <w:tab w:val="clear" w:pos="567"/>
        </w:tabs>
        <w:suppressAutoHyphens/>
        <w:rPr>
          <w:color w:val="000000"/>
          <w:szCs w:val="22"/>
          <w:lang w:val="fr-FR"/>
        </w:rPr>
      </w:pPr>
    </w:p>
    <w:p w14:paraId="305DD5BB" w14:textId="77777777" w:rsidR="007D642D" w:rsidRPr="00961E0F" w:rsidRDefault="007D642D">
      <w:pPr>
        <w:suppressAutoHyphens/>
        <w:rPr>
          <w:rFonts w:ascii="Times New Roman" w:hAnsi="Times New Roman"/>
          <w:color w:val="000000"/>
          <w:szCs w:val="22"/>
        </w:rPr>
      </w:pPr>
    </w:p>
    <w:p w14:paraId="1ADD2D2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9C0A2B" w:rsidRPr="00961E0F">
        <w:rPr>
          <w:rFonts w:ascii="Times New Roman" w:hAnsi="Times New Roman"/>
          <w:b/>
          <w:color w:val="000000"/>
          <w:szCs w:val="22"/>
        </w:rPr>
        <w:t>É</w:t>
      </w:r>
      <w:r w:rsidRPr="00961E0F">
        <w:rPr>
          <w:rFonts w:ascii="Times New Roman" w:hAnsi="Times New Roman"/>
          <w:b/>
          <w:color w:val="000000"/>
          <w:szCs w:val="22"/>
        </w:rPr>
        <w:t>NOMINATION DU M</w:t>
      </w:r>
      <w:r w:rsidR="009C0A2B" w:rsidRPr="00961E0F">
        <w:rPr>
          <w:rFonts w:ascii="Times New Roman" w:hAnsi="Times New Roman"/>
          <w:b/>
          <w:color w:val="000000"/>
          <w:szCs w:val="22"/>
        </w:rPr>
        <w:t>É</w:t>
      </w:r>
      <w:r w:rsidRPr="00961E0F">
        <w:rPr>
          <w:rFonts w:ascii="Times New Roman" w:hAnsi="Times New Roman"/>
          <w:b/>
          <w:color w:val="000000"/>
          <w:szCs w:val="22"/>
        </w:rPr>
        <w:t>DICAMENT</w:t>
      </w:r>
    </w:p>
    <w:p w14:paraId="32199F7C" w14:textId="77777777" w:rsidR="007D642D" w:rsidRPr="00961E0F" w:rsidRDefault="007D642D">
      <w:pPr>
        <w:suppressAutoHyphens/>
        <w:rPr>
          <w:rFonts w:ascii="Times New Roman" w:hAnsi="Times New Roman"/>
          <w:color w:val="000000"/>
          <w:szCs w:val="22"/>
        </w:rPr>
      </w:pPr>
    </w:p>
    <w:p w14:paraId="1C0836F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100 mg gélules</w:t>
      </w:r>
    </w:p>
    <w:p w14:paraId="02321A59"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57296FAB" w14:textId="77777777" w:rsidR="007D642D" w:rsidRPr="00961E0F" w:rsidRDefault="007D642D">
      <w:pPr>
        <w:suppressAutoHyphens/>
        <w:rPr>
          <w:rFonts w:ascii="Times New Roman" w:hAnsi="Times New Roman"/>
          <w:color w:val="000000"/>
          <w:szCs w:val="22"/>
        </w:rPr>
      </w:pPr>
    </w:p>
    <w:p w14:paraId="6BADDAD2" w14:textId="77777777" w:rsidR="007D642D" w:rsidRPr="00961E0F" w:rsidRDefault="007D642D">
      <w:pPr>
        <w:suppressAutoHyphens/>
        <w:rPr>
          <w:rFonts w:ascii="Times New Roman" w:hAnsi="Times New Roman"/>
          <w:color w:val="000000"/>
          <w:szCs w:val="22"/>
        </w:rPr>
      </w:pPr>
    </w:p>
    <w:p w14:paraId="07B0AA1F"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COMPOSITION EN </w:t>
      </w:r>
      <w:r w:rsidR="003C0788" w:rsidRPr="00961E0F">
        <w:rPr>
          <w:rFonts w:ascii="Times New Roman" w:hAnsi="Times New Roman"/>
          <w:b/>
          <w:noProof/>
        </w:rPr>
        <w:t>SUBSTANCE(S) ACTIVE(S)</w:t>
      </w:r>
    </w:p>
    <w:p w14:paraId="1F7B163E" w14:textId="77777777" w:rsidR="007D642D" w:rsidRPr="00961E0F" w:rsidRDefault="007D642D">
      <w:pPr>
        <w:suppressAutoHyphens/>
        <w:rPr>
          <w:rFonts w:ascii="Times New Roman" w:hAnsi="Times New Roman"/>
          <w:color w:val="000000"/>
          <w:szCs w:val="22"/>
        </w:rPr>
      </w:pPr>
    </w:p>
    <w:p w14:paraId="50111E1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Chaque gélule contient 100 mg d’imatinib (sous forme de mésilate).</w:t>
      </w:r>
    </w:p>
    <w:p w14:paraId="3BBC42D4" w14:textId="77777777" w:rsidR="007D642D" w:rsidRPr="00961E0F" w:rsidRDefault="007D642D">
      <w:pPr>
        <w:suppressAutoHyphens/>
        <w:rPr>
          <w:rFonts w:ascii="Times New Roman" w:hAnsi="Times New Roman"/>
          <w:color w:val="000000"/>
          <w:szCs w:val="22"/>
        </w:rPr>
      </w:pPr>
    </w:p>
    <w:p w14:paraId="405C9D20" w14:textId="77777777" w:rsidR="007D642D" w:rsidRPr="00961E0F" w:rsidRDefault="007D642D">
      <w:pPr>
        <w:suppressAutoHyphens/>
        <w:rPr>
          <w:rFonts w:ascii="Times New Roman" w:hAnsi="Times New Roman"/>
          <w:color w:val="000000"/>
          <w:szCs w:val="22"/>
        </w:rPr>
      </w:pPr>
    </w:p>
    <w:p w14:paraId="3C04B3DC"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 xml:space="preserve">LISTE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EXCIPIENTS</w:t>
      </w:r>
    </w:p>
    <w:p w14:paraId="1B74D398" w14:textId="77777777" w:rsidR="007D642D" w:rsidRPr="00961E0F" w:rsidRDefault="007D642D">
      <w:pPr>
        <w:suppressAutoHyphens/>
        <w:rPr>
          <w:rFonts w:ascii="Times New Roman" w:hAnsi="Times New Roman"/>
          <w:color w:val="000000"/>
          <w:szCs w:val="22"/>
        </w:rPr>
      </w:pPr>
    </w:p>
    <w:p w14:paraId="6BE62B6F" w14:textId="77777777" w:rsidR="007D642D" w:rsidRPr="00961E0F" w:rsidRDefault="007D642D">
      <w:pPr>
        <w:suppressAutoHyphens/>
        <w:rPr>
          <w:rFonts w:ascii="Times New Roman" w:hAnsi="Times New Roman"/>
          <w:color w:val="000000"/>
          <w:szCs w:val="22"/>
        </w:rPr>
      </w:pPr>
    </w:p>
    <w:p w14:paraId="781D2A8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FORME PHARMACEUTIQUE ET CONTENU</w:t>
      </w:r>
    </w:p>
    <w:p w14:paraId="11F5316C" w14:textId="77777777" w:rsidR="007D642D" w:rsidRPr="00961E0F" w:rsidRDefault="007D642D">
      <w:pPr>
        <w:suppressAutoHyphens/>
        <w:rPr>
          <w:rFonts w:ascii="Times New Roman" w:hAnsi="Times New Roman"/>
          <w:color w:val="000000"/>
          <w:szCs w:val="22"/>
        </w:rPr>
      </w:pPr>
    </w:p>
    <w:p w14:paraId="0675AE84"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24 gélules</w:t>
      </w:r>
    </w:p>
    <w:p w14:paraId="6BB4ACDB"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48 gélules</w:t>
      </w:r>
    </w:p>
    <w:p w14:paraId="0D584286"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96 gélules</w:t>
      </w:r>
    </w:p>
    <w:p w14:paraId="0DFCD6FD"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120 gélules</w:t>
      </w:r>
    </w:p>
    <w:p w14:paraId="37D06640"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180 gélules</w:t>
      </w:r>
    </w:p>
    <w:p w14:paraId="50EF83E2" w14:textId="77777777" w:rsidR="007D642D" w:rsidRPr="00961E0F" w:rsidRDefault="007D642D">
      <w:pPr>
        <w:suppressAutoHyphens/>
        <w:rPr>
          <w:rFonts w:ascii="Times New Roman" w:hAnsi="Times New Roman"/>
          <w:color w:val="000000"/>
          <w:szCs w:val="22"/>
        </w:rPr>
      </w:pPr>
    </w:p>
    <w:p w14:paraId="0FA35EC1" w14:textId="77777777" w:rsidR="007D642D" w:rsidRPr="00961E0F" w:rsidRDefault="007D642D">
      <w:pPr>
        <w:suppressAutoHyphens/>
        <w:rPr>
          <w:rFonts w:ascii="Times New Roman" w:hAnsi="Times New Roman"/>
          <w:color w:val="000000"/>
          <w:szCs w:val="22"/>
        </w:rPr>
      </w:pPr>
    </w:p>
    <w:p w14:paraId="0976C9F0"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MODE ET VOIE(S) D’ADMINISTRATION</w:t>
      </w:r>
    </w:p>
    <w:p w14:paraId="2D2DBC07" w14:textId="77777777" w:rsidR="007D642D" w:rsidRPr="00961E0F" w:rsidRDefault="007D642D">
      <w:pPr>
        <w:suppressAutoHyphens/>
        <w:rPr>
          <w:rFonts w:ascii="Times New Roman" w:hAnsi="Times New Roman"/>
          <w:color w:val="000000"/>
          <w:szCs w:val="22"/>
        </w:rPr>
      </w:pPr>
    </w:p>
    <w:p w14:paraId="4E93291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Voie orale. Lire la notice avant utilisation.</w:t>
      </w:r>
    </w:p>
    <w:p w14:paraId="7E9C3B4E" w14:textId="77777777" w:rsidR="007D642D" w:rsidRPr="00961E0F" w:rsidRDefault="007D642D">
      <w:pPr>
        <w:suppressAutoHyphens/>
        <w:rPr>
          <w:rFonts w:ascii="Times New Roman" w:hAnsi="Times New Roman"/>
          <w:color w:val="000000"/>
          <w:szCs w:val="22"/>
        </w:rPr>
      </w:pPr>
    </w:p>
    <w:p w14:paraId="4A9C2B60" w14:textId="77777777" w:rsidR="007D642D" w:rsidRPr="00961E0F" w:rsidRDefault="007D642D">
      <w:pPr>
        <w:suppressAutoHyphens/>
        <w:rPr>
          <w:rFonts w:ascii="Times New Roman" w:hAnsi="Times New Roman"/>
          <w:color w:val="000000"/>
          <w:szCs w:val="22"/>
        </w:rPr>
      </w:pPr>
    </w:p>
    <w:p w14:paraId="6438EE72"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MISE EN GARDE SP</w:t>
      </w:r>
      <w:r w:rsidR="009C0A2B" w:rsidRPr="00961E0F">
        <w:rPr>
          <w:rFonts w:ascii="Times New Roman" w:hAnsi="Times New Roman"/>
          <w:b/>
          <w:color w:val="000000"/>
          <w:szCs w:val="22"/>
        </w:rPr>
        <w:t>É</w:t>
      </w:r>
      <w:r w:rsidRPr="00961E0F">
        <w:rPr>
          <w:rFonts w:ascii="Times New Roman" w:hAnsi="Times New Roman"/>
          <w:b/>
          <w:color w:val="000000"/>
          <w:szCs w:val="22"/>
        </w:rPr>
        <w:t>CIALE INDIQUANT QUE LE M</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DICAMENT DOIT </w:t>
      </w:r>
      <w:r w:rsidR="009C0A2B" w:rsidRPr="00961E0F">
        <w:rPr>
          <w:rFonts w:ascii="Times New Roman" w:hAnsi="Times New Roman"/>
          <w:b/>
          <w:color w:val="000000"/>
          <w:szCs w:val="22"/>
        </w:rPr>
        <w:t>Ê</w:t>
      </w:r>
      <w:r w:rsidRPr="00961E0F">
        <w:rPr>
          <w:rFonts w:ascii="Times New Roman" w:hAnsi="Times New Roman"/>
          <w:b/>
          <w:color w:val="000000"/>
          <w:szCs w:val="22"/>
        </w:rPr>
        <w:t>TRE CONSERV</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 HORS DE PORT</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E ET DE VUE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ENFANTS</w:t>
      </w:r>
    </w:p>
    <w:p w14:paraId="77206CD1" w14:textId="77777777" w:rsidR="007D642D" w:rsidRPr="00961E0F" w:rsidRDefault="007D642D">
      <w:pPr>
        <w:suppressAutoHyphens/>
        <w:rPr>
          <w:rFonts w:ascii="Times New Roman" w:hAnsi="Times New Roman"/>
          <w:color w:val="000000"/>
          <w:szCs w:val="22"/>
        </w:rPr>
      </w:pPr>
    </w:p>
    <w:p w14:paraId="31FB933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Tenir hors de la vue et de la portée des enfants.</w:t>
      </w:r>
    </w:p>
    <w:p w14:paraId="1B4BD0F2" w14:textId="77777777" w:rsidR="007D642D" w:rsidRPr="00961E0F" w:rsidRDefault="007D642D">
      <w:pPr>
        <w:suppressAutoHyphens/>
        <w:rPr>
          <w:rFonts w:ascii="Times New Roman" w:hAnsi="Times New Roman"/>
          <w:color w:val="000000"/>
          <w:szCs w:val="22"/>
        </w:rPr>
      </w:pPr>
    </w:p>
    <w:p w14:paraId="469B8238" w14:textId="77777777" w:rsidR="007D642D" w:rsidRPr="00961E0F" w:rsidRDefault="007D642D">
      <w:pPr>
        <w:suppressAutoHyphens/>
        <w:rPr>
          <w:rFonts w:ascii="Times New Roman" w:hAnsi="Times New Roman"/>
          <w:color w:val="000000"/>
          <w:szCs w:val="22"/>
        </w:rPr>
      </w:pPr>
    </w:p>
    <w:p w14:paraId="56DF81EC"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7.</w:t>
      </w:r>
      <w:r w:rsidRPr="00961E0F">
        <w:rPr>
          <w:rFonts w:ascii="Times New Roman" w:hAnsi="Times New Roman"/>
          <w:b/>
          <w:color w:val="000000"/>
          <w:szCs w:val="22"/>
        </w:rPr>
        <w:tab/>
        <w:t>AUTRE(S) MISE(S) EN GARDE SP</w:t>
      </w:r>
      <w:r w:rsidR="009C0A2B" w:rsidRPr="00961E0F">
        <w:rPr>
          <w:rFonts w:ascii="Times New Roman" w:hAnsi="Times New Roman"/>
          <w:b/>
          <w:color w:val="000000"/>
          <w:szCs w:val="22"/>
        </w:rPr>
        <w:t>É</w:t>
      </w:r>
      <w:r w:rsidRPr="00961E0F">
        <w:rPr>
          <w:rFonts w:ascii="Times New Roman" w:hAnsi="Times New Roman"/>
          <w:b/>
          <w:color w:val="000000"/>
          <w:szCs w:val="22"/>
        </w:rPr>
        <w:t>CIALE(S), SI N</w:t>
      </w:r>
      <w:r w:rsidR="009C0A2B" w:rsidRPr="00961E0F">
        <w:rPr>
          <w:rFonts w:ascii="Times New Roman" w:hAnsi="Times New Roman"/>
          <w:b/>
          <w:color w:val="000000"/>
          <w:szCs w:val="22"/>
        </w:rPr>
        <w:t>É</w:t>
      </w:r>
      <w:r w:rsidRPr="00961E0F">
        <w:rPr>
          <w:rFonts w:ascii="Times New Roman" w:hAnsi="Times New Roman"/>
          <w:b/>
          <w:color w:val="000000"/>
          <w:szCs w:val="22"/>
        </w:rPr>
        <w:t>CESSAIRE</w:t>
      </w:r>
    </w:p>
    <w:p w14:paraId="578823EF" w14:textId="77777777" w:rsidR="007D642D" w:rsidRPr="00961E0F" w:rsidRDefault="007D642D">
      <w:pPr>
        <w:suppressAutoHyphens/>
        <w:rPr>
          <w:rFonts w:ascii="Times New Roman" w:hAnsi="Times New Roman"/>
          <w:color w:val="000000"/>
          <w:szCs w:val="22"/>
        </w:rPr>
      </w:pPr>
    </w:p>
    <w:p w14:paraId="1CD76291"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utiliser uniquement selon les instructions données par votre médecin.</w:t>
      </w:r>
    </w:p>
    <w:p w14:paraId="0DED06E2" w14:textId="77777777" w:rsidR="007D642D" w:rsidRPr="00961E0F" w:rsidRDefault="007D642D">
      <w:pPr>
        <w:suppressAutoHyphens/>
        <w:rPr>
          <w:rFonts w:ascii="Times New Roman" w:hAnsi="Times New Roman"/>
          <w:color w:val="000000"/>
          <w:szCs w:val="22"/>
        </w:rPr>
      </w:pPr>
    </w:p>
    <w:p w14:paraId="592DB40A" w14:textId="77777777" w:rsidR="007D642D" w:rsidRPr="00961E0F" w:rsidRDefault="007D642D">
      <w:pPr>
        <w:suppressAutoHyphens/>
        <w:rPr>
          <w:rFonts w:ascii="Times New Roman" w:hAnsi="Times New Roman"/>
          <w:color w:val="000000"/>
          <w:szCs w:val="22"/>
        </w:rPr>
      </w:pPr>
    </w:p>
    <w:p w14:paraId="4960B65A"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8.</w:t>
      </w:r>
      <w:r w:rsidRPr="00961E0F">
        <w:rPr>
          <w:rFonts w:ascii="Times New Roman" w:hAnsi="Times New Roman"/>
          <w:b/>
          <w:color w:val="000000"/>
          <w:szCs w:val="22"/>
        </w:rPr>
        <w:tab/>
        <w:t>DATE DE P</w:t>
      </w:r>
      <w:r w:rsidR="009C0A2B" w:rsidRPr="00961E0F">
        <w:rPr>
          <w:rFonts w:ascii="Times New Roman" w:hAnsi="Times New Roman"/>
          <w:b/>
          <w:color w:val="000000"/>
          <w:szCs w:val="22"/>
        </w:rPr>
        <w:t>É</w:t>
      </w:r>
      <w:r w:rsidRPr="00961E0F">
        <w:rPr>
          <w:rFonts w:ascii="Times New Roman" w:hAnsi="Times New Roman"/>
          <w:b/>
          <w:color w:val="000000"/>
          <w:szCs w:val="22"/>
        </w:rPr>
        <w:t>REMPTION</w:t>
      </w:r>
    </w:p>
    <w:p w14:paraId="1E4088EB" w14:textId="77777777" w:rsidR="007D642D" w:rsidRPr="00961E0F" w:rsidRDefault="007D642D">
      <w:pPr>
        <w:suppressAutoHyphens/>
        <w:rPr>
          <w:rFonts w:ascii="Times New Roman" w:hAnsi="Times New Roman"/>
          <w:color w:val="000000"/>
          <w:szCs w:val="22"/>
        </w:rPr>
      </w:pPr>
    </w:p>
    <w:p w14:paraId="2CD15A44"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7680B3B3" w14:textId="77777777" w:rsidR="007D642D" w:rsidRPr="00961E0F" w:rsidRDefault="007D642D">
      <w:pPr>
        <w:suppressAutoHyphens/>
        <w:rPr>
          <w:rFonts w:ascii="Times New Roman" w:hAnsi="Times New Roman"/>
          <w:color w:val="000000"/>
          <w:szCs w:val="22"/>
        </w:rPr>
      </w:pPr>
    </w:p>
    <w:p w14:paraId="427AC16E" w14:textId="77777777" w:rsidR="007D642D" w:rsidRPr="00961E0F" w:rsidRDefault="007D642D">
      <w:pPr>
        <w:suppressAutoHyphens/>
        <w:rPr>
          <w:rFonts w:ascii="Times New Roman" w:hAnsi="Times New Roman"/>
          <w:color w:val="000000"/>
          <w:szCs w:val="22"/>
        </w:rPr>
      </w:pPr>
    </w:p>
    <w:p w14:paraId="7A5B65E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9.</w:t>
      </w:r>
      <w:r w:rsidRPr="00961E0F">
        <w:rPr>
          <w:rFonts w:ascii="Times New Roman" w:hAnsi="Times New Roman"/>
          <w:b/>
          <w:color w:val="000000"/>
          <w:szCs w:val="22"/>
        </w:rPr>
        <w:tab/>
        <w:t>PR</w:t>
      </w:r>
      <w:r w:rsidR="009C0A2B" w:rsidRPr="00961E0F">
        <w:rPr>
          <w:rFonts w:ascii="Times New Roman" w:hAnsi="Times New Roman"/>
          <w:b/>
          <w:color w:val="000000"/>
          <w:szCs w:val="22"/>
        </w:rPr>
        <w:t>É</w:t>
      </w:r>
      <w:r w:rsidRPr="00961E0F">
        <w:rPr>
          <w:rFonts w:ascii="Times New Roman" w:hAnsi="Times New Roman"/>
          <w:b/>
          <w:color w:val="000000"/>
          <w:szCs w:val="22"/>
        </w:rPr>
        <w:t>CAUTIONS PARTICULI</w:t>
      </w:r>
      <w:r w:rsidR="009C0A2B" w:rsidRPr="00961E0F">
        <w:rPr>
          <w:rFonts w:ascii="Times New Roman" w:hAnsi="Times New Roman"/>
          <w:b/>
          <w:color w:val="000000"/>
          <w:szCs w:val="22"/>
        </w:rPr>
        <w:t>È</w:t>
      </w:r>
      <w:r w:rsidRPr="00961E0F">
        <w:rPr>
          <w:rFonts w:ascii="Times New Roman" w:hAnsi="Times New Roman"/>
          <w:b/>
          <w:color w:val="000000"/>
          <w:szCs w:val="22"/>
        </w:rPr>
        <w:t>RES DE CONSERVATION</w:t>
      </w:r>
    </w:p>
    <w:p w14:paraId="1F618A64" w14:textId="77777777" w:rsidR="007D642D" w:rsidRPr="00961E0F" w:rsidRDefault="007D642D">
      <w:pPr>
        <w:suppressAutoHyphens/>
        <w:rPr>
          <w:rFonts w:ascii="Times New Roman" w:hAnsi="Times New Roman"/>
          <w:color w:val="000000"/>
          <w:szCs w:val="22"/>
        </w:rPr>
      </w:pPr>
    </w:p>
    <w:p w14:paraId="7C06E3C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A conserver à une température ne dépassant pas </w:t>
      </w:r>
      <w:smartTag w:uri="urn:schemas-microsoft-com:office:smarttags" w:element="metricconverter">
        <w:smartTagPr>
          <w:attr w:name="ProductID" w:val="30ﾰC"/>
        </w:smartTagPr>
        <w:r w:rsidRPr="00961E0F">
          <w:rPr>
            <w:rFonts w:ascii="Times New Roman" w:hAnsi="Times New Roman"/>
            <w:color w:val="000000"/>
            <w:szCs w:val="22"/>
          </w:rPr>
          <w:t>30°C</w:t>
        </w:r>
      </w:smartTag>
      <w:r w:rsidRPr="00961E0F">
        <w:rPr>
          <w:rFonts w:ascii="Times New Roman" w:hAnsi="Times New Roman"/>
          <w:color w:val="000000"/>
          <w:szCs w:val="22"/>
        </w:rPr>
        <w:t>. A conserver dans l’emballage extérieur d’origine à l’abri de l’humidité.</w:t>
      </w:r>
    </w:p>
    <w:p w14:paraId="2F5D7E79" w14:textId="77777777" w:rsidR="007D642D" w:rsidRPr="00961E0F" w:rsidRDefault="007D642D">
      <w:pPr>
        <w:suppressAutoHyphens/>
        <w:rPr>
          <w:rFonts w:ascii="Times New Roman" w:hAnsi="Times New Roman"/>
          <w:color w:val="000000"/>
          <w:szCs w:val="22"/>
        </w:rPr>
      </w:pPr>
    </w:p>
    <w:p w14:paraId="30C9A387" w14:textId="77777777" w:rsidR="007D642D" w:rsidRPr="00961E0F" w:rsidRDefault="007D642D">
      <w:pPr>
        <w:suppressAutoHyphens/>
        <w:rPr>
          <w:rFonts w:ascii="Times New Roman" w:hAnsi="Times New Roman"/>
          <w:color w:val="000000"/>
          <w:szCs w:val="22"/>
        </w:rPr>
      </w:pPr>
    </w:p>
    <w:p w14:paraId="42933507"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10.</w:t>
      </w:r>
      <w:r w:rsidRPr="00961E0F">
        <w:rPr>
          <w:rFonts w:ascii="Times New Roman" w:hAnsi="Times New Roman"/>
          <w:b/>
          <w:color w:val="000000"/>
          <w:szCs w:val="22"/>
        </w:rPr>
        <w:tab/>
        <w:t>PR</w:t>
      </w:r>
      <w:r w:rsidR="009C0A2B" w:rsidRPr="00961E0F">
        <w:rPr>
          <w:rFonts w:ascii="Times New Roman" w:hAnsi="Times New Roman"/>
          <w:b/>
          <w:color w:val="000000"/>
          <w:szCs w:val="22"/>
        </w:rPr>
        <w:t>É</w:t>
      </w:r>
      <w:r w:rsidRPr="00961E0F">
        <w:rPr>
          <w:rFonts w:ascii="Times New Roman" w:hAnsi="Times New Roman"/>
          <w:b/>
          <w:color w:val="000000"/>
          <w:szCs w:val="22"/>
        </w:rPr>
        <w:t>CAUTIONS PARTICULI</w:t>
      </w:r>
      <w:r w:rsidR="009C0A2B" w:rsidRPr="00961E0F">
        <w:rPr>
          <w:rFonts w:ascii="Times New Roman" w:hAnsi="Times New Roman"/>
          <w:b/>
          <w:color w:val="000000"/>
          <w:szCs w:val="22"/>
        </w:rPr>
        <w:t>È</w:t>
      </w:r>
      <w:r w:rsidRPr="00961E0F">
        <w:rPr>
          <w:rFonts w:ascii="Times New Roman" w:hAnsi="Times New Roman"/>
          <w:b/>
          <w:color w:val="000000"/>
          <w:szCs w:val="22"/>
        </w:rPr>
        <w:t>RES D’</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LIMINATION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M</w:t>
      </w:r>
      <w:r w:rsidR="009C0A2B" w:rsidRPr="00961E0F">
        <w:rPr>
          <w:rFonts w:ascii="Times New Roman" w:hAnsi="Times New Roman"/>
          <w:b/>
          <w:color w:val="000000"/>
          <w:szCs w:val="22"/>
        </w:rPr>
        <w:t>É</w:t>
      </w:r>
      <w:r w:rsidRPr="00961E0F">
        <w:rPr>
          <w:rFonts w:ascii="Times New Roman" w:hAnsi="Times New Roman"/>
          <w:b/>
          <w:color w:val="000000"/>
          <w:szCs w:val="22"/>
        </w:rPr>
        <w:t>DICAMENTS NON UTILIS</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S OU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D</w:t>
      </w:r>
      <w:r w:rsidR="009C0A2B" w:rsidRPr="00961E0F">
        <w:rPr>
          <w:rFonts w:ascii="Times New Roman" w:hAnsi="Times New Roman"/>
          <w:b/>
          <w:color w:val="000000"/>
          <w:szCs w:val="22"/>
        </w:rPr>
        <w:t>É</w:t>
      </w:r>
      <w:r w:rsidRPr="00961E0F">
        <w:rPr>
          <w:rFonts w:ascii="Times New Roman" w:hAnsi="Times New Roman"/>
          <w:b/>
          <w:color w:val="000000"/>
          <w:szCs w:val="22"/>
        </w:rPr>
        <w:t>CHETS PROVENANT DE CES M</w:t>
      </w:r>
      <w:r w:rsidR="009C0A2B" w:rsidRPr="00961E0F">
        <w:rPr>
          <w:rFonts w:ascii="Times New Roman" w:hAnsi="Times New Roman"/>
          <w:b/>
          <w:color w:val="000000"/>
          <w:szCs w:val="22"/>
        </w:rPr>
        <w:t>É</w:t>
      </w:r>
      <w:r w:rsidRPr="00961E0F">
        <w:rPr>
          <w:rFonts w:ascii="Times New Roman" w:hAnsi="Times New Roman"/>
          <w:b/>
          <w:color w:val="000000"/>
          <w:szCs w:val="22"/>
        </w:rPr>
        <w:t>DICAMENTS S’IL Y A LIEU</w:t>
      </w:r>
    </w:p>
    <w:p w14:paraId="24663638" w14:textId="77777777" w:rsidR="007D642D" w:rsidRPr="00961E0F" w:rsidRDefault="007D642D">
      <w:pPr>
        <w:suppressAutoHyphens/>
        <w:rPr>
          <w:rFonts w:ascii="Times New Roman" w:hAnsi="Times New Roman"/>
          <w:color w:val="000000"/>
          <w:szCs w:val="22"/>
        </w:rPr>
      </w:pPr>
    </w:p>
    <w:p w14:paraId="003AD2AC" w14:textId="77777777" w:rsidR="007D642D" w:rsidRPr="00961E0F" w:rsidRDefault="007D642D">
      <w:pPr>
        <w:suppressAutoHyphens/>
        <w:rPr>
          <w:rFonts w:ascii="Times New Roman" w:hAnsi="Times New Roman"/>
          <w:color w:val="000000"/>
          <w:szCs w:val="22"/>
        </w:rPr>
      </w:pPr>
    </w:p>
    <w:p w14:paraId="6BB0B92B"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11.</w:t>
      </w:r>
      <w:r w:rsidRPr="00961E0F">
        <w:rPr>
          <w:rFonts w:ascii="Times New Roman" w:hAnsi="Times New Roman"/>
          <w:b/>
          <w:color w:val="000000"/>
          <w:szCs w:val="22"/>
        </w:rPr>
        <w:tab/>
        <w:t xml:space="preserve">NOM ET ADRESSE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9C0A2B" w:rsidRPr="00961E0F">
        <w:rPr>
          <w:rFonts w:ascii="Times New Roman" w:hAnsi="Times New Roman"/>
          <w:b/>
          <w:color w:val="000000"/>
          <w:szCs w:val="22"/>
        </w:rPr>
        <w:t>É</w:t>
      </w:r>
    </w:p>
    <w:p w14:paraId="75BC98A9" w14:textId="77777777" w:rsidR="007D642D" w:rsidRPr="00961E0F" w:rsidRDefault="007D642D">
      <w:pPr>
        <w:suppressAutoHyphens/>
        <w:rPr>
          <w:rFonts w:ascii="Times New Roman" w:hAnsi="Times New Roman"/>
          <w:color w:val="000000"/>
          <w:szCs w:val="22"/>
        </w:rPr>
      </w:pPr>
    </w:p>
    <w:p w14:paraId="5F398527" w14:textId="77777777" w:rsidR="007D642D" w:rsidRPr="00961E0F" w:rsidRDefault="007D642D">
      <w:pPr>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3CB60974"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2E956A47"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351AF60B"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665DCC13"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376AEB11" w14:textId="77777777" w:rsidR="007D642D" w:rsidRPr="00961E0F" w:rsidRDefault="007D642D">
      <w:pPr>
        <w:suppressAutoHyphens/>
        <w:rPr>
          <w:rFonts w:ascii="Times New Roman" w:hAnsi="Times New Roman"/>
          <w:color w:val="000000"/>
          <w:szCs w:val="22"/>
        </w:rPr>
      </w:pPr>
    </w:p>
    <w:p w14:paraId="1BC8AFD0" w14:textId="77777777" w:rsidR="007D642D" w:rsidRPr="00961E0F" w:rsidRDefault="007D642D">
      <w:pPr>
        <w:suppressAutoHyphens/>
        <w:rPr>
          <w:rFonts w:ascii="Times New Roman" w:hAnsi="Times New Roman"/>
          <w:color w:val="000000"/>
          <w:szCs w:val="22"/>
        </w:rPr>
      </w:pPr>
    </w:p>
    <w:p w14:paraId="7D0D80B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12.</w:t>
      </w:r>
      <w:r w:rsidRPr="00961E0F">
        <w:rPr>
          <w:rFonts w:ascii="Times New Roman" w:hAnsi="Times New Roman"/>
          <w:b/>
          <w:color w:val="000000"/>
          <w:szCs w:val="22"/>
        </w:rPr>
        <w:tab/>
        <w:t>NUM</w:t>
      </w:r>
      <w:r w:rsidR="009C0A2B" w:rsidRPr="00961E0F">
        <w:rPr>
          <w:rFonts w:ascii="Times New Roman" w:hAnsi="Times New Roman"/>
          <w:b/>
          <w:color w:val="000000"/>
          <w:szCs w:val="22"/>
        </w:rPr>
        <w:t>É</w:t>
      </w:r>
      <w:r w:rsidRPr="00961E0F">
        <w:rPr>
          <w:rFonts w:ascii="Times New Roman" w:hAnsi="Times New Roman"/>
          <w:b/>
          <w:color w:val="000000"/>
          <w:szCs w:val="22"/>
        </w:rPr>
        <w:t xml:space="preserve">RO(S) D’AUTORISATION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9C0A2B" w:rsidRPr="00961E0F">
        <w:rPr>
          <w:rFonts w:ascii="Times New Roman" w:hAnsi="Times New Roman"/>
          <w:b/>
          <w:color w:val="000000"/>
          <w:szCs w:val="22"/>
        </w:rPr>
        <w:t>É</w:t>
      </w:r>
    </w:p>
    <w:p w14:paraId="0A1021F6" w14:textId="77777777" w:rsidR="007D642D" w:rsidRPr="00961E0F" w:rsidRDefault="007D642D">
      <w:pPr>
        <w:suppressAutoHyphens/>
        <w:rPr>
          <w:rFonts w:ascii="Times New Roman" w:hAnsi="Times New Roman"/>
          <w:color w:val="000000"/>
          <w:szCs w:val="22"/>
        </w:rPr>
      </w:pPr>
    </w:p>
    <w:p w14:paraId="27F38B72" w14:textId="77777777" w:rsidR="007D642D" w:rsidRPr="00961E0F" w:rsidRDefault="007D642D">
      <w:pPr>
        <w:widowControl w:val="0"/>
        <w:tabs>
          <w:tab w:val="left" w:pos="2268"/>
        </w:tabs>
        <w:rPr>
          <w:rFonts w:ascii="Times New Roman" w:hAnsi="Times New Roman"/>
          <w:color w:val="000000"/>
          <w:szCs w:val="22"/>
          <w:shd w:val="clear" w:color="auto" w:fill="D9D9D9"/>
        </w:rPr>
      </w:pPr>
      <w:r w:rsidRPr="00961E0F">
        <w:rPr>
          <w:rFonts w:ascii="Times New Roman" w:hAnsi="Times New Roman"/>
          <w:color w:val="000000"/>
          <w:szCs w:val="22"/>
        </w:rPr>
        <w:t>EU/1/01/198/002</w:t>
      </w:r>
      <w:r w:rsidRPr="00961E0F">
        <w:rPr>
          <w:rFonts w:ascii="Times New Roman" w:hAnsi="Times New Roman"/>
          <w:color w:val="000000"/>
          <w:szCs w:val="22"/>
        </w:rPr>
        <w:tab/>
      </w:r>
      <w:r w:rsidRPr="00961E0F">
        <w:rPr>
          <w:rFonts w:ascii="Times New Roman" w:hAnsi="Times New Roman"/>
          <w:color w:val="000000"/>
          <w:szCs w:val="22"/>
          <w:shd w:val="clear" w:color="auto" w:fill="D9D9D9"/>
        </w:rPr>
        <w:t>24 gélules</w:t>
      </w:r>
    </w:p>
    <w:p w14:paraId="45396D47"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EU/1/01/198/003</w:t>
      </w:r>
      <w:r w:rsidRPr="00961E0F">
        <w:rPr>
          <w:rFonts w:ascii="Times New Roman" w:hAnsi="Times New Roman"/>
          <w:color w:val="000000"/>
          <w:szCs w:val="22"/>
          <w:shd w:val="clear" w:color="auto" w:fill="D9D9D9"/>
        </w:rPr>
        <w:tab/>
        <w:t>48 gélules</w:t>
      </w:r>
    </w:p>
    <w:p w14:paraId="472226F7"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EU/1/01/198/004</w:t>
      </w:r>
      <w:r w:rsidRPr="00961E0F">
        <w:rPr>
          <w:rFonts w:ascii="Times New Roman" w:hAnsi="Times New Roman"/>
          <w:color w:val="000000"/>
          <w:szCs w:val="22"/>
          <w:shd w:val="clear" w:color="auto" w:fill="D9D9D9"/>
        </w:rPr>
        <w:tab/>
        <w:t>96 gélules</w:t>
      </w:r>
    </w:p>
    <w:p w14:paraId="043DBA56"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EU/1/01/198/005</w:t>
      </w:r>
      <w:r w:rsidRPr="00961E0F">
        <w:rPr>
          <w:rFonts w:ascii="Times New Roman" w:hAnsi="Times New Roman"/>
          <w:color w:val="000000"/>
          <w:szCs w:val="22"/>
          <w:shd w:val="clear" w:color="auto" w:fill="D9D9D9"/>
        </w:rPr>
        <w:tab/>
        <w:t>120 gélules</w:t>
      </w:r>
    </w:p>
    <w:p w14:paraId="4F22183C"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EU/1/01/198/006</w:t>
      </w:r>
      <w:r w:rsidRPr="00961E0F">
        <w:rPr>
          <w:rFonts w:ascii="Times New Roman" w:hAnsi="Times New Roman"/>
          <w:color w:val="000000"/>
          <w:szCs w:val="22"/>
          <w:shd w:val="clear" w:color="auto" w:fill="D9D9D9"/>
        </w:rPr>
        <w:tab/>
        <w:t>180 gélules</w:t>
      </w:r>
    </w:p>
    <w:p w14:paraId="6A0888F7" w14:textId="77777777" w:rsidR="007D642D" w:rsidRPr="00961E0F" w:rsidRDefault="007D642D">
      <w:pPr>
        <w:widowControl w:val="0"/>
        <w:rPr>
          <w:rFonts w:ascii="Times New Roman" w:hAnsi="Times New Roman"/>
          <w:color w:val="000000"/>
          <w:szCs w:val="22"/>
        </w:rPr>
      </w:pPr>
    </w:p>
    <w:p w14:paraId="647B5D65" w14:textId="77777777" w:rsidR="007D642D" w:rsidRPr="00961E0F" w:rsidRDefault="007D642D">
      <w:pPr>
        <w:suppressAutoHyphens/>
        <w:rPr>
          <w:rFonts w:ascii="Times New Roman" w:hAnsi="Times New Roman"/>
          <w:color w:val="000000"/>
          <w:szCs w:val="22"/>
        </w:rPr>
      </w:pPr>
    </w:p>
    <w:p w14:paraId="6BBADA9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13.</w:t>
      </w:r>
      <w:r w:rsidRPr="00961E0F">
        <w:rPr>
          <w:rFonts w:ascii="Times New Roman" w:hAnsi="Times New Roman"/>
          <w:b/>
          <w:color w:val="000000"/>
          <w:szCs w:val="22"/>
        </w:rPr>
        <w:tab/>
        <w:t>NUM</w:t>
      </w:r>
      <w:r w:rsidR="009C0A2B" w:rsidRPr="00961E0F">
        <w:rPr>
          <w:rFonts w:ascii="Times New Roman" w:hAnsi="Times New Roman"/>
          <w:b/>
          <w:color w:val="000000"/>
          <w:szCs w:val="22"/>
        </w:rPr>
        <w:t>É</w:t>
      </w:r>
      <w:r w:rsidRPr="00961E0F">
        <w:rPr>
          <w:rFonts w:ascii="Times New Roman" w:hAnsi="Times New Roman"/>
          <w:b/>
          <w:color w:val="000000"/>
          <w:szCs w:val="22"/>
        </w:rPr>
        <w:t>RO DU LOT</w:t>
      </w:r>
    </w:p>
    <w:p w14:paraId="7A607FBC" w14:textId="77777777" w:rsidR="007D642D" w:rsidRPr="00961E0F" w:rsidRDefault="007D642D">
      <w:pPr>
        <w:suppressAutoHyphens/>
        <w:rPr>
          <w:rFonts w:ascii="Times New Roman" w:hAnsi="Times New Roman"/>
          <w:color w:val="000000"/>
          <w:szCs w:val="22"/>
        </w:rPr>
      </w:pPr>
    </w:p>
    <w:p w14:paraId="63114801"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2904402E" w14:textId="77777777" w:rsidR="007D642D" w:rsidRPr="00961E0F" w:rsidRDefault="007D642D">
      <w:pPr>
        <w:suppressAutoHyphens/>
        <w:rPr>
          <w:rFonts w:ascii="Times New Roman" w:hAnsi="Times New Roman"/>
          <w:color w:val="000000"/>
          <w:szCs w:val="22"/>
        </w:rPr>
      </w:pPr>
    </w:p>
    <w:p w14:paraId="231EFB2E" w14:textId="77777777" w:rsidR="007D642D" w:rsidRPr="00961E0F" w:rsidRDefault="007D642D">
      <w:pPr>
        <w:suppressAutoHyphens/>
        <w:rPr>
          <w:rFonts w:ascii="Times New Roman" w:hAnsi="Times New Roman"/>
          <w:color w:val="000000"/>
          <w:szCs w:val="22"/>
        </w:rPr>
      </w:pPr>
    </w:p>
    <w:p w14:paraId="7696DEB6"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14.</w:t>
      </w:r>
      <w:r w:rsidRPr="00961E0F">
        <w:rPr>
          <w:rFonts w:ascii="Times New Roman" w:hAnsi="Times New Roman"/>
          <w:b/>
          <w:color w:val="000000"/>
          <w:szCs w:val="22"/>
        </w:rPr>
        <w:tab/>
        <w:t>CONDITIONS DE PRESCRIPTION ET DE D</w:t>
      </w:r>
      <w:r w:rsidR="00786985" w:rsidRPr="00961E0F">
        <w:rPr>
          <w:rFonts w:ascii="Times New Roman" w:hAnsi="Times New Roman"/>
          <w:b/>
          <w:color w:val="000000"/>
          <w:szCs w:val="22"/>
        </w:rPr>
        <w:t>É</w:t>
      </w:r>
      <w:r w:rsidRPr="00961E0F">
        <w:rPr>
          <w:rFonts w:ascii="Times New Roman" w:hAnsi="Times New Roman"/>
          <w:b/>
          <w:color w:val="000000"/>
          <w:szCs w:val="22"/>
        </w:rPr>
        <w:t>LIVRANCE</w:t>
      </w:r>
    </w:p>
    <w:p w14:paraId="14EAE581" w14:textId="77777777" w:rsidR="007D642D" w:rsidRPr="00961E0F" w:rsidRDefault="007D642D">
      <w:pPr>
        <w:suppressAutoHyphens/>
        <w:rPr>
          <w:rFonts w:ascii="Times New Roman" w:hAnsi="Times New Roman"/>
          <w:color w:val="000000"/>
          <w:szCs w:val="22"/>
        </w:rPr>
      </w:pPr>
    </w:p>
    <w:p w14:paraId="1273433C" w14:textId="77777777" w:rsidR="007D642D" w:rsidRPr="00961E0F" w:rsidRDefault="007D642D">
      <w:pPr>
        <w:suppressAutoHyphens/>
        <w:rPr>
          <w:rFonts w:ascii="Times New Roman" w:hAnsi="Times New Roman"/>
          <w:color w:val="000000"/>
          <w:szCs w:val="22"/>
        </w:rPr>
      </w:pPr>
    </w:p>
    <w:p w14:paraId="6AE6FF34"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15.</w:t>
      </w:r>
      <w:r w:rsidRPr="00961E0F">
        <w:rPr>
          <w:rFonts w:ascii="Times New Roman" w:hAnsi="Times New Roman"/>
          <w:b/>
          <w:color w:val="000000"/>
          <w:szCs w:val="22"/>
        </w:rPr>
        <w:tab/>
        <w:t>INDICATIONS D’UTILISATION</w:t>
      </w:r>
    </w:p>
    <w:p w14:paraId="3AD966C0" w14:textId="77777777" w:rsidR="007D642D" w:rsidRPr="00961E0F" w:rsidRDefault="007D642D">
      <w:pPr>
        <w:suppressAutoHyphens/>
        <w:rPr>
          <w:rFonts w:ascii="Times New Roman" w:hAnsi="Times New Roman"/>
          <w:color w:val="000000"/>
          <w:szCs w:val="22"/>
        </w:rPr>
      </w:pPr>
    </w:p>
    <w:p w14:paraId="4147AD24" w14:textId="77777777" w:rsidR="007D642D" w:rsidRPr="00961E0F" w:rsidRDefault="007D642D">
      <w:pPr>
        <w:suppressAutoHyphens/>
        <w:rPr>
          <w:rFonts w:ascii="Times New Roman" w:hAnsi="Times New Roman"/>
          <w:color w:val="000000"/>
          <w:szCs w:val="22"/>
        </w:rPr>
      </w:pPr>
    </w:p>
    <w:p w14:paraId="75CA0C4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16.</w:t>
      </w:r>
      <w:r w:rsidRPr="00961E0F">
        <w:rPr>
          <w:rFonts w:ascii="Times New Roman" w:hAnsi="Times New Roman"/>
          <w:b/>
          <w:color w:val="000000"/>
          <w:szCs w:val="22"/>
        </w:rPr>
        <w:tab/>
        <w:t>INFORMATIONS EN BRAILLE</w:t>
      </w:r>
    </w:p>
    <w:p w14:paraId="6346D816" w14:textId="77777777" w:rsidR="007D642D" w:rsidRPr="00961E0F" w:rsidRDefault="007D642D">
      <w:pPr>
        <w:suppressAutoHyphens/>
        <w:rPr>
          <w:rFonts w:ascii="Times New Roman" w:hAnsi="Times New Roman"/>
          <w:color w:val="000000"/>
          <w:szCs w:val="22"/>
        </w:rPr>
      </w:pPr>
    </w:p>
    <w:p w14:paraId="2FDCB669"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t>Glivec 100 mg</w:t>
      </w:r>
    </w:p>
    <w:p w14:paraId="414E9BA2" w14:textId="77777777" w:rsidR="00777258" w:rsidRPr="00961E0F" w:rsidRDefault="00777258">
      <w:pPr>
        <w:suppressAutoHyphens/>
        <w:rPr>
          <w:rFonts w:ascii="Times New Roman" w:hAnsi="Times New Roman"/>
          <w:color w:val="000000"/>
          <w:szCs w:val="22"/>
        </w:rPr>
      </w:pPr>
    </w:p>
    <w:p w14:paraId="7FB5663F" w14:textId="77777777" w:rsidR="007D642D" w:rsidRPr="00961E0F" w:rsidRDefault="007D642D">
      <w:pPr>
        <w:suppressAutoHyphens/>
        <w:rPr>
          <w:rFonts w:ascii="Times New Roman" w:hAnsi="Times New Roman"/>
          <w:color w:val="000000"/>
          <w:szCs w:val="22"/>
        </w:rPr>
      </w:pPr>
    </w:p>
    <w:p w14:paraId="6D207B44" w14:textId="77777777" w:rsidR="008104C6" w:rsidRPr="00961E0F" w:rsidRDefault="008104C6" w:rsidP="008104C6">
      <w:pPr>
        <w:widowControl w:val="0"/>
        <w:pBdr>
          <w:top w:val="single" w:sz="4" w:space="1" w:color="auto"/>
          <w:left w:val="single" w:sz="4" w:space="4" w:color="auto"/>
          <w:bottom w:val="single" w:sz="4" w:space="1" w:color="auto"/>
          <w:right w:val="single" w:sz="4" w:space="4" w:color="auto"/>
        </w:pBdr>
        <w:outlineLvl w:val="0"/>
        <w:rPr>
          <w:rFonts w:ascii="Times New Roman" w:hAnsi="Times New Roman"/>
          <w:i/>
          <w:noProof/>
        </w:rPr>
      </w:pPr>
      <w:r w:rsidRPr="00961E0F">
        <w:rPr>
          <w:rFonts w:ascii="Times New Roman" w:hAnsi="Times New Roman"/>
          <w:b/>
          <w:noProof/>
        </w:rPr>
        <w:t>17.</w:t>
      </w:r>
      <w:r w:rsidRPr="00961E0F">
        <w:rPr>
          <w:rFonts w:ascii="Times New Roman" w:hAnsi="Times New Roman"/>
          <w:b/>
          <w:noProof/>
        </w:rPr>
        <w:tab/>
        <w:t>IDENTIFIANT UNIQUE - CODE-BARRES 2D</w:t>
      </w:r>
    </w:p>
    <w:p w14:paraId="1225CDA0" w14:textId="77777777" w:rsidR="008104C6" w:rsidRPr="00961E0F" w:rsidRDefault="008104C6" w:rsidP="008104C6">
      <w:pPr>
        <w:widowControl w:val="0"/>
        <w:rPr>
          <w:rFonts w:ascii="Times New Roman" w:hAnsi="Times New Roman"/>
          <w:shd w:val="pct15" w:color="auto" w:fill="auto"/>
        </w:rPr>
      </w:pPr>
    </w:p>
    <w:p w14:paraId="4F4E3895" w14:textId="77777777" w:rsidR="008104C6" w:rsidRPr="00961E0F" w:rsidRDefault="008104C6" w:rsidP="008104C6">
      <w:pPr>
        <w:widowControl w:val="0"/>
        <w:rPr>
          <w:rFonts w:ascii="Times New Roman" w:hAnsi="Times New Roman"/>
          <w:shd w:val="pct15" w:color="auto" w:fill="auto"/>
        </w:rPr>
      </w:pPr>
      <w:r w:rsidRPr="00961E0F">
        <w:rPr>
          <w:rFonts w:ascii="Times New Roman" w:hAnsi="Times New Roman"/>
          <w:shd w:val="pct15" w:color="auto" w:fill="auto"/>
        </w:rPr>
        <w:t>Code-barres 2D portant l'identifiant unique inclus.</w:t>
      </w:r>
    </w:p>
    <w:p w14:paraId="06DD9495" w14:textId="77777777" w:rsidR="008104C6" w:rsidRPr="00961E0F" w:rsidRDefault="008104C6" w:rsidP="008104C6">
      <w:pPr>
        <w:widowControl w:val="0"/>
        <w:rPr>
          <w:rFonts w:ascii="Times New Roman" w:hAnsi="Times New Roman"/>
          <w:noProof/>
        </w:rPr>
      </w:pPr>
    </w:p>
    <w:p w14:paraId="7D99D38B" w14:textId="77777777" w:rsidR="008104C6" w:rsidRPr="00961E0F" w:rsidRDefault="008104C6" w:rsidP="008104C6">
      <w:pPr>
        <w:widowControl w:val="0"/>
        <w:rPr>
          <w:rFonts w:ascii="Times New Roman" w:hAnsi="Times New Roman"/>
          <w:noProof/>
        </w:rPr>
      </w:pPr>
    </w:p>
    <w:p w14:paraId="11557D46" w14:textId="77777777" w:rsidR="008104C6" w:rsidRPr="00961E0F" w:rsidRDefault="008104C6" w:rsidP="008104C6">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i/>
          <w:noProof/>
        </w:rPr>
      </w:pPr>
      <w:r w:rsidRPr="00961E0F">
        <w:rPr>
          <w:rFonts w:ascii="Times New Roman" w:hAnsi="Times New Roman"/>
          <w:b/>
          <w:noProof/>
        </w:rPr>
        <w:t>18.</w:t>
      </w:r>
      <w:r w:rsidRPr="00961E0F">
        <w:rPr>
          <w:rFonts w:ascii="Times New Roman" w:hAnsi="Times New Roman"/>
          <w:b/>
          <w:noProof/>
        </w:rPr>
        <w:tab/>
        <w:t>IDENTIFIANT UNIQUE - DONNÉES LISIBLES PAR LES HUMAINS</w:t>
      </w:r>
    </w:p>
    <w:p w14:paraId="17B3B0FC" w14:textId="77777777" w:rsidR="008104C6" w:rsidRPr="00961E0F" w:rsidRDefault="008104C6" w:rsidP="008104C6">
      <w:pPr>
        <w:widowControl w:val="0"/>
        <w:rPr>
          <w:rFonts w:ascii="Times New Roman" w:hAnsi="Times New Roman"/>
          <w:noProof/>
        </w:rPr>
      </w:pPr>
    </w:p>
    <w:p w14:paraId="6399831E" w14:textId="77777777" w:rsidR="008104C6" w:rsidRPr="00C67CDE" w:rsidRDefault="008104C6" w:rsidP="008104C6">
      <w:pPr>
        <w:widowControl w:val="0"/>
        <w:rPr>
          <w:rFonts w:ascii="Times New Roman" w:hAnsi="Times New Roman"/>
          <w:color w:val="000000" w:themeColor="text1"/>
        </w:rPr>
      </w:pPr>
      <w:r w:rsidRPr="00C67CDE">
        <w:rPr>
          <w:rFonts w:ascii="Times New Roman" w:hAnsi="Times New Roman"/>
          <w:color w:val="000000" w:themeColor="text1"/>
        </w:rPr>
        <w:t>PC:</w:t>
      </w:r>
    </w:p>
    <w:p w14:paraId="1348125B" w14:textId="77777777" w:rsidR="008104C6" w:rsidRPr="00961E0F" w:rsidRDefault="008104C6" w:rsidP="008104C6">
      <w:pPr>
        <w:widowControl w:val="0"/>
        <w:rPr>
          <w:rFonts w:ascii="Times New Roman" w:hAnsi="Times New Roman"/>
          <w:szCs w:val="22"/>
        </w:rPr>
      </w:pPr>
      <w:r w:rsidRPr="00961E0F">
        <w:rPr>
          <w:rFonts w:ascii="Times New Roman" w:hAnsi="Times New Roman"/>
        </w:rPr>
        <w:t>SN:</w:t>
      </w:r>
    </w:p>
    <w:p w14:paraId="4EF4FB95" w14:textId="77777777" w:rsidR="008104C6" w:rsidRPr="00961E0F" w:rsidRDefault="008104C6" w:rsidP="008218C4">
      <w:pPr>
        <w:widowControl w:val="0"/>
        <w:rPr>
          <w:rFonts w:ascii="Times New Roman" w:hAnsi="Times New Roman"/>
          <w:shd w:val="pct15" w:color="auto" w:fill="auto"/>
        </w:rPr>
      </w:pPr>
      <w:r w:rsidRPr="00961E0F">
        <w:rPr>
          <w:rFonts w:ascii="Times New Roman" w:hAnsi="Times New Roman"/>
        </w:rPr>
        <w:t>NN:</w:t>
      </w:r>
    </w:p>
    <w:p w14:paraId="27646AC2" w14:textId="77777777" w:rsidR="007D642D" w:rsidRPr="00961E0F" w:rsidRDefault="007D642D">
      <w:pPr>
        <w:suppressAutoHyphens/>
        <w:rPr>
          <w:rFonts w:ascii="Times New Roman" w:hAnsi="Times New Roman"/>
          <w:color w:val="000000"/>
          <w:szCs w:val="22"/>
        </w:rPr>
      </w:pPr>
      <w:r w:rsidRPr="00961E0F">
        <w:rPr>
          <w:rFonts w:ascii="Times New Roman" w:hAnsi="Times New Roman"/>
          <w:i/>
          <w:color w:val="000000"/>
          <w:szCs w:val="22"/>
        </w:rPr>
        <w:br w:type="page"/>
      </w:r>
    </w:p>
    <w:p w14:paraId="52604FF8" w14:textId="77777777" w:rsidR="00C67CDE" w:rsidRPr="00C67CDE" w:rsidRDefault="00C67CDE" w:rsidP="00C67CDE">
      <w:pPr>
        <w:suppressAutoHyphens/>
        <w:rPr>
          <w:rFonts w:ascii="Times New Roman" w:hAnsi="Times New Roman"/>
          <w:color w:val="000000"/>
          <w:szCs w:val="22"/>
        </w:rPr>
      </w:pPr>
    </w:p>
    <w:p w14:paraId="53E8BF79"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 xml:space="preserve">MENTIONS MINIMALES DEVANT FIGURER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LES PLAQUETTES OU LES FILMS THERMOSOUD</w:t>
      </w:r>
      <w:r w:rsidR="00786985" w:rsidRPr="00961E0F">
        <w:rPr>
          <w:rFonts w:ascii="Times New Roman" w:hAnsi="Times New Roman"/>
          <w:b/>
          <w:color w:val="000000"/>
          <w:szCs w:val="22"/>
        </w:rPr>
        <w:t>É</w:t>
      </w:r>
      <w:r w:rsidRPr="00961E0F">
        <w:rPr>
          <w:rFonts w:ascii="Times New Roman" w:hAnsi="Times New Roman"/>
          <w:b/>
          <w:color w:val="000000"/>
          <w:szCs w:val="22"/>
        </w:rPr>
        <w:t>S</w:t>
      </w:r>
    </w:p>
    <w:p w14:paraId="230671C1"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color w:val="000000"/>
          <w:szCs w:val="22"/>
        </w:rPr>
      </w:pPr>
    </w:p>
    <w:p w14:paraId="4946C910"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PLAQUETTES THERMOFORM</w:t>
      </w:r>
      <w:r w:rsidR="00786985" w:rsidRPr="00961E0F">
        <w:rPr>
          <w:rFonts w:ascii="Times New Roman" w:hAnsi="Times New Roman"/>
          <w:b/>
          <w:color w:val="000000"/>
          <w:szCs w:val="22"/>
        </w:rPr>
        <w:t>É</w:t>
      </w:r>
      <w:r w:rsidRPr="00961E0F">
        <w:rPr>
          <w:rFonts w:ascii="Times New Roman" w:hAnsi="Times New Roman"/>
          <w:b/>
          <w:color w:val="000000"/>
          <w:szCs w:val="22"/>
        </w:rPr>
        <w:t>ES</w:t>
      </w:r>
    </w:p>
    <w:p w14:paraId="3B9C3D62" w14:textId="77777777" w:rsidR="007D642D" w:rsidRPr="00961E0F" w:rsidRDefault="007D642D">
      <w:pPr>
        <w:suppressAutoHyphens/>
        <w:rPr>
          <w:rFonts w:ascii="Times New Roman" w:hAnsi="Times New Roman"/>
          <w:color w:val="000000"/>
          <w:szCs w:val="22"/>
        </w:rPr>
      </w:pPr>
    </w:p>
    <w:p w14:paraId="73EBB8E2" w14:textId="77777777" w:rsidR="007D642D" w:rsidRPr="00961E0F" w:rsidRDefault="007D642D">
      <w:pPr>
        <w:suppressAutoHyphens/>
        <w:rPr>
          <w:rFonts w:ascii="Times New Roman" w:hAnsi="Times New Roman"/>
          <w:color w:val="000000"/>
          <w:szCs w:val="22"/>
        </w:rPr>
      </w:pPr>
    </w:p>
    <w:p w14:paraId="35209F9A"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786985" w:rsidRPr="00961E0F">
        <w:rPr>
          <w:rFonts w:ascii="Times New Roman" w:hAnsi="Times New Roman"/>
          <w:b/>
          <w:color w:val="000000"/>
          <w:szCs w:val="22"/>
        </w:rPr>
        <w:t>É</w:t>
      </w:r>
      <w:r w:rsidRPr="00961E0F">
        <w:rPr>
          <w:rFonts w:ascii="Times New Roman" w:hAnsi="Times New Roman"/>
          <w:b/>
          <w:color w:val="000000"/>
          <w:szCs w:val="22"/>
        </w:rPr>
        <w:t>NOMINATION DU M</w:t>
      </w:r>
      <w:r w:rsidR="00786985" w:rsidRPr="00961E0F">
        <w:rPr>
          <w:rFonts w:ascii="Times New Roman" w:hAnsi="Times New Roman"/>
          <w:b/>
          <w:color w:val="000000"/>
          <w:szCs w:val="22"/>
        </w:rPr>
        <w:t>É</w:t>
      </w:r>
      <w:r w:rsidRPr="00961E0F">
        <w:rPr>
          <w:rFonts w:ascii="Times New Roman" w:hAnsi="Times New Roman"/>
          <w:b/>
          <w:color w:val="000000"/>
          <w:szCs w:val="22"/>
        </w:rPr>
        <w:t>DICAMENT</w:t>
      </w:r>
    </w:p>
    <w:p w14:paraId="3F97A732" w14:textId="77777777" w:rsidR="007D642D" w:rsidRPr="00961E0F" w:rsidRDefault="007D642D">
      <w:pPr>
        <w:suppressAutoHyphens/>
        <w:rPr>
          <w:rFonts w:ascii="Times New Roman" w:hAnsi="Times New Roman"/>
          <w:color w:val="000000"/>
          <w:szCs w:val="22"/>
        </w:rPr>
      </w:pPr>
    </w:p>
    <w:p w14:paraId="37F5F13F"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100 mg gélules</w:t>
      </w:r>
    </w:p>
    <w:p w14:paraId="7134CDAF"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11C39D93" w14:textId="77777777" w:rsidR="007D642D" w:rsidRPr="00961E0F" w:rsidRDefault="007D642D">
      <w:pPr>
        <w:widowControl w:val="0"/>
        <w:rPr>
          <w:rFonts w:ascii="Times New Roman" w:hAnsi="Times New Roman"/>
          <w:color w:val="000000"/>
          <w:szCs w:val="22"/>
        </w:rPr>
      </w:pPr>
    </w:p>
    <w:p w14:paraId="1880D291" w14:textId="77777777" w:rsidR="007D642D" w:rsidRPr="00961E0F" w:rsidRDefault="007D642D">
      <w:pPr>
        <w:suppressAutoHyphens/>
        <w:rPr>
          <w:rFonts w:ascii="Times New Roman" w:hAnsi="Times New Roman"/>
          <w:color w:val="000000"/>
          <w:szCs w:val="22"/>
        </w:rPr>
      </w:pPr>
    </w:p>
    <w:p w14:paraId="211AC711"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NOM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1B53881B" w14:textId="77777777" w:rsidR="007D642D" w:rsidRPr="00961E0F" w:rsidRDefault="007D642D">
      <w:pPr>
        <w:suppressAutoHyphens/>
        <w:rPr>
          <w:rFonts w:ascii="Times New Roman" w:hAnsi="Times New Roman"/>
          <w:color w:val="000000"/>
          <w:szCs w:val="22"/>
        </w:rPr>
      </w:pPr>
    </w:p>
    <w:p w14:paraId="6E993EB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Novartis Europharm Limited</w:t>
      </w:r>
    </w:p>
    <w:p w14:paraId="0808A4B7" w14:textId="77777777" w:rsidR="007D642D" w:rsidRPr="00961E0F" w:rsidRDefault="007D642D">
      <w:pPr>
        <w:widowControl w:val="0"/>
        <w:rPr>
          <w:rFonts w:ascii="Times New Roman" w:hAnsi="Times New Roman"/>
          <w:color w:val="000000"/>
          <w:szCs w:val="22"/>
        </w:rPr>
      </w:pPr>
    </w:p>
    <w:p w14:paraId="4EA3C20B" w14:textId="77777777" w:rsidR="007D642D" w:rsidRPr="00961E0F" w:rsidRDefault="007D642D">
      <w:pPr>
        <w:widowControl w:val="0"/>
        <w:rPr>
          <w:rFonts w:ascii="Times New Roman" w:hAnsi="Times New Roman"/>
          <w:color w:val="000000"/>
          <w:szCs w:val="22"/>
        </w:rPr>
      </w:pPr>
    </w:p>
    <w:p w14:paraId="7B57F75C"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DATE DE P</w:t>
      </w:r>
      <w:r w:rsidR="00786985" w:rsidRPr="00961E0F">
        <w:rPr>
          <w:rFonts w:ascii="Times New Roman" w:hAnsi="Times New Roman"/>
          <w:b/>
          <w:color w:val="000000"/>
          <w:szCs w:val="22"/>
        </w:rPr>
        <w:t>É</w:t>
      </w:r>
      <w:r w:rsidRPr="00961E0F">
        <w:rPr>
          <w:rFonts w:ascii="Times New Roman" w:hAnsi="Times New Roman"/>
          <w:b/>
          <w:color w:val="000000"/>
          <w:szCs w:val="22"/>
        </w:rPr>
        <w:t>REMPTION</w:t>
      </w:r>
    </w:p>
    <w:p w14:paraId="78B97CAE" w14:textId="77777777" w:rsidR="007D642D" w:rsidRPr="00961E0F" w:rsidRDefault="007D642D">
      <w:pPr>
        <w:widowControl w:val="0"/>
        <w:rPr>
          <w:rFonts w:ascii="Times New Roman" w:hAnsi="Times New Roman"/>
          <w:color w:val="000000"/>
          <w:szCs w:val="22"/>
        </w:rPr>
      </w:pPr>
    </w:p>
    <w:p w14:paraId="7EF10D94"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00A2D60A" w14:textId="77777777" w:rsidR="007D642D" w:rsidRPr="00961E0F" w:rsidRDefault="007D642D">
      <w:pPr>
        <w:widowControl w:val="0"/>
        <w:rPr>
          <w:rFonts w:ascii="Times New Roman" w:hAnsi="Times New Roman"/>
          <w:color w:val="000000"/>
          <w:szCs w:val="22"/>
        </w:rPr>
      </w:pPr>
    </w:p>
    <w:p w14:paraId="01F9E713" w14:textId="77777777" w:rsidR="007D642D" w:rsidRPr="00961E0F" w:rsidRDefault="007D642D">
      <w:pPr>
        <w:widowControl w:val="0"/>
        <w:rPr>
          <w:rFonts w:ascii="Times New Roman" w:hAnsi="Times New Roman"/>
          <w:color w:val="000000"/>
          <w:szCs w:val="22"/>
        </w:rPr>
      </w:pPr>
    </w:p>
    <w:p w14:paraId="6B22622C"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 xml:space="preserve">4. </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RO DU LOT</w:t>
      </w:r>
    </w:p>
    <w:p w14:paraId="211D2603" w14:textId="77777777" w:rsidR="007D642D" w:rsidRPr="00961E0F" w:rsidRDefault="007D642D">
      <w:pPr>
        <w:widowControl w:val="0"/>
        <w:rPr>
          <w:rFonts w:ascii="Times New Roman" w:hAnsi="Times New Roman"/>
          <w:color w:val="000000"/>
          <w:szCs w:val="22"/>
        </w:rPr>
      </w:pPr>
    </w:p>
    <w:p w14:paraId="7647FB28"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427B24F8" w14:textId="77777777" w:rsidR="007D642D" w:rsidRPr="00961E0F" w:rsidRDefault="007D642D">
      <w:pPr>
        <w:widowControl w:val="0"/>
        <w:rPr>
          <w:rFonts w:ascii="Times New Roman" w:hAnsi="Times New Roman"/>
          <w:color w:val="000000"/>
          <w:szCs w:val="22"/>
        </w:rPr>
      </w:pPr>
    </w:p>
    <w:p w14:paraId="09460641" w14:textId="77777777" w:rsidR="007D642D" w:rsidRPr="00961E0F" w:rsidRDefault="007D642D">
      <w:pPr>
        <w:widowControl w:val="0"/>
        <w:rPr>
          <w:rFonts w:ascii="Times New Roman" w:hAnsi="Times New Roman"/>
          <w:color w:val="000000"/>
          <w:szCs w:val="22"/>
        </w:rPr>
      </w:pPr>
    </w:p>
    <w:p w14:paraId="5E6A9C04"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AUTRE</w:t>
      </w:r>
    </w:p>
    <w:p w14:paraId="3AF02C55" w14:textId="77777777" w:rsidR="007D642D" w:rsidRPr="00961E0F" w:rsidRDefault="007D642D">
      <w:pPr>
        <w:widowControl w:val="0"/>
        <w:rPr>
          <w:rFonts w:ascii="Times New Roman" w:hAnsi="Times New Roman"/>
          <w:color w:val="000000"/>
          <w:szCs w:val="22"/>
        </w:rPr>
      </w:pPr>
    </w:p>
    <w:p w14:paraId="2AE17B6B"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br w:type="page"/>
      </w:r>
    </w:p>
    <w:p w14:paraId="274876BD" w14:textId="77777777" w:rsidR="00C67CDE" w:rsidRPr="00C67CDE" w:rsidRDefault="00C67CDE" w:rsidP="00C67CDE">
      <w:pPr>
        <w:pStyle w:val="BodyText3"/>
        <w:suppressAutoHyphens w:val="0"/>
        <w:rPr>
          <w:b w:val="0"/>
          <w:color w:val="000000"/>
          <w:szCs w:val="22"/>
        </w:rPr>
      </w:pPr>
    </w:p>
    <w:p w14:paraId="21FFF359" w14:textId="77777777" w:rsidR="007D642D" w:rsidRPr="00961E0F" w:rsidRDefault="007D642D">
      <w:pPr>
        <w:pStyle w:val="BodyText3"/>
        <w:pBdr>
          <w:top w:val="single" w:sz="4" w:space="1" w:color="auto"/>
          <w:left w:val="single" w:sz="4" w:space="4" w:color="auto"/>
          <w:bottom w:val="single" w:sz="4" w:space="1" w:color="auto"/>
          <w:right w:val="single" w:sz="4" w:space="4" w:color="auto"/>
        </w:pBdr>
        <w:suppressAutoHyphens w:val="0"/>
        <w:rPr>
          <w:color w:val="000000"/>
          <w:szCs w:val="22"/>
        </w:rPr>
      </w:pPr>
      <w:r w:rsidRPr="00961E0F">
        <w:rPr>
          <w:color w:val="000000"/>
          <w:szCs w:val="22"/>
        </w:rPr>
        <w:t xml:space="preserve">MENTIONS DEVANT FIGURER </w:t>
      </w:r>
      <w:smartTag w:uri="urn:schemas-microsoft-com:office:smarttags" w:element="stockticker">
        <w:r w:rsidRPr="00961E0F">
          <w:rPr>
            <w:color w:val="000000"/>
            <w:szCs w:val="22"/>
          </w:rPr>
          <w:t>SUR</w:t>
        </w:r>
      </w:smartTag>
      <w:r w:rsidRPr="00961E0F">
        <w:rPr>
          <w:color w:val="000000"/>
          <w:szCs w:val="22"/>
        </w:rPr>
        <w:t xml:space="preserve"> L’EMBALLAGE EXT</w:t>
      </w:r>
      <w:r w:rsidR="00786985" w:rsidRPr="00961E0F">
        <w:rPr>
          <w:color w:val="000000"/>
          <w:szCs w:val="22"/>
        </w:rPr>
        <w:t>É</w:t>
      </w:r>
      <w:r w:rsidRPr="00961E0F">
        <w:rPr>
          <w:color w:val="000000"/>
          <w:szCs w:val="22"/>
        </w:rPr>
        <w:t>RIEUR</w:t>
      </w:r>
    </w:p>
    <w:p w14:paraId="73276A21" w14:textId="77777777" w:rsidR="007D642D" w:rsidRPr="00961E0F" w:rsidRDefault="007D642D">
      <w:pPr>
        <w:pBdr>
          <w:top w:val="single" w:sz="4" w:space="1" w:color="auto"/>
          <w:left w:val="single" w:sz="4" w:space="4" w:color="auto"/>
          <w:bottom w:val="single" w:sz="4" w:space="1" w:color="auto"/>
          <w:right w:val="single" w:sz="4" w:space="4" w:color="auto"/>
        </w:pBdr>
        <w:rPr>
          <w:rFonts w:ascii="Times New Roman" w:hAnsi="Times New Roman"/>
          <w:color w:val="000000"/>
          <w:szCs w:val="22"/>
        </w:rPr>
      </w:pPr>
    </w:p>
    <w:p w14:paraId="4A1F7B29" w14:textId="77777777" w:rsidR="007D642D" w:rsidRPr="00961E0F" w:rsidRDefault="00786985">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É</w:t>
      </w:r>
      <w:r w:rsidR="007D642D" w:rsidRPr="00961E0F">
        <w:rPr>
          <w:rFonts w:ascii="Times New Roman" w:hAnsi="Times New Roman"/>
          <w:b/>
          <w:color w:val="000000"/>
          <w:szCs w:val="22"/>
        </w:rPr>
        <w:t>TUI CARTON</w:t>
      </w:r>
    </w:p>
    <w:p w14:paraId="34C4A172" w14:textId="77777777" w:rsidR="007D642D" w:rsidRPr="00961E0F" w:rsidRDefault="007D642D">
      <w:pPr>
        <w:suppressAutoHyphens/>
        <w:rPr>
          <w:rFonts w:ascii="Times New Roman" w:hAnsi="Times New Roman"/>
          <w:color w:val="000000"/>
          <w:szCs w:val="22"/>
        </w:rPr>
      </w:pPr>
    </w:p>
    <w:p w14:paraId="76726C2D" w14:textId="77777777" w:rsidR="007D642D" w:rsidRPr="00961E0F" w:rsidRDefault="007D642D">
      <w:pPr>
        <w:suppressAutoHyphens/>
        <w:rPr>
          <w:rFonts w:ascii="Times New Roman" w:hAnsi="Times New Roman"/>
          <w:color w:val="000000"/>
          <w:szCs w:val="22"/>
        </w:rPr>
      </w:pPr>
    </w:p>
    <w:p w14:paraId="1EACEB6B"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786985" w:rsidRPr="00961E0F">
        <w:rPr>
          <w:rFonts w:ascii="Times New Roman" w:hAnsi="Times New Roman"/>
          <w:b/>
          <w:color w:val="000000"/>
          <w:szCs w:val="22"/>
        </w:rPr>
        <w:t>É</w:t>
      </w:r>
      <w:r w:rsidRPr="00961E0F">
        <w:rPr>
          <w:rFonts w:ascii="Times New Roman" w:hAnsi="Times New Roman"/>
          <w:b/>
          <w:color w:val="000000"/>
          <w:szCs w:val="22"/>
        </w:rPr>
        <w:t>NOMINATION DU M</w:t>
      </w:r>
      <w:r w:rsidR="00786985" w:rsidRPr="00961E0F">
        <w:rPr>
          <w:rFonts w:ascii="Times New Roman" w:hAnsi="Times New Roman"/>
          <w:b/>
          <w:color w:val="000000"/>
          <w:szCs w:val="22"/>
        </w:rPr>
        <w:t>É</w:t>
      </w:r>
      <w:r w:rsidRPr="00961E0F">
        <w:rPr>
          <w:rFonts w:ascii="Times New Roman" w:hAnsi="Times New Roman"/>
          <w:b/>
          <w:color w:val="000000"/>
          <w:szCs w:val="22"/>
        </w:rPr>
        <w:t>DICAMENT</w:t>
      </w:r>
    </w:p>
    <w:p w14:paraId="6AD01F17" w14:textId="77777777" w:rsidR="007D642D" w:rsidRPr="00961E0F" w:rsidRDefault="007D642D">
      <w:pPr>
        <w:suppressAutoHyphens/>
        <w:rPr>
          <w:rFonts w:ascii="Times New Roman" w:hAnsi="Times New Roman"/>
          <w:color w:val="000000"/>
          <w:szCs w:val="22"/>
        </w:rPr>
      </w:pPr>
    </w:p>
    <w:p w14:paraId="4D45B08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100 mg comprimés pelliculés</w:t>
      </w:r>
    </w:p>
    <w:p w14:paraId="0592694A"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5CDDF67A" w14:textId="77777777" w:rsidR="007D642D" w:rsidRPr="00961E0F" w:rsidRDefault="007D642D">
      <w:pPr>
        <w:suppressAutoHyphens/>
        <w:rPr>
          <w:rFonts w:ascii="Times New Roman" w:hAnsi="Times New Roman"/>
          <w:color w:val="000000"/>
          <w:szCs w:val="22"/>
        </w:rPr>
      </w:pPr>
    </w:p>
    <w:p w14:paraId="4A4581CF" w14:textId="77777777" w:rsidR="007D642D" w:rsidRPr="00961E0F" w:rsidRDefault="007D642D">
      <w:pPr>
        <w:suppressAutoHyphens/>
        <w:rPr>
          <w:rFonts w:ascii="Times New Roman" w:hAnsi="Times New Roman"/>
          <w:color w:val="000000"/>
          <w:szCs w:val="22"/>
        </w:rPr>
      </w:pPr>
    </w:p>
    <w:p w14:paraId="6791B3B8"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COMPOSITION EN </w:t>
      </w:r>
      <w:r w:rsidR="00B6349D" w:rsidRPr="00961E0F">
        <w:rPr>
          <w:rFonts w:ascii="Times New Roman" w:hAnsi="Times New Roman"/>
          <w:b/>
          <w:color w:val="000000"/>
          <w:szCs w:val="22"/>
        </w:rPr>
        <w:t>SUBSTANCE(S) ACTIVE(S)</w:t>
      </w:r>
    </w:p>
    <w:p w14:paraId="5BA88BA9" w14:textId="77777777" w:rsidR="007D642D" w:rsidRPr="00961E0F" w:rsidRDefault="007D642D">
      <w:pPr>
        <w:suppressAutoHyphens/>
        <w:rPr>
          <w:rFonts w:ascii="Times New Roman" w:hAnsi="Times New Roman"/>
          <w:color w:val="000000"/>
          <w:szCs w:val="22"/>
        </w:rPr>
      </w:pPr>
    </w:p>
    <w:p w14:paraId="6C02A8D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Chaque comprimé pelliculé contient 100 mg d’imatinib (sous forme de mésilate).</w:t>
      </w:r>
    </w:p>
    <w:p w14:paraId="3D14F14A" w14:textId="77777777" w:rsidR="007D642D" w:rsidRPr="00961E0F" w:rsidRDefault="007D642D">
      <w:pPr>
        <w:suppressAutoHyphens/>
        <w:rPr>
          <w:rFonts w:ascii="Times New Roman" w:hAnsi="Times New Roman"/>
          <w:color w:val="000000"/>
          <w:szCs w:val="22"/>
        </w:rPr>
      </w:pPr>
    </w:p>
    <w:p w14:paraId="677976FA" w14:textId="77777777" w:rsidR="007D642D" w:rsidRPr="00961E0F" w:rsidRDefault="007D642D">
      <w:pPr>
        <w:suppressAutoHyphens/>
        <w:rPr>
          <w:rFonts w:ascii="Times New Roman" w:hAnsi="Times New Roman"/>
          <w:color w:val="000000"/>
          <w:szCs w:val="22"/>
        </w:rPr>
      </w:pPr>
    </w:p>
    <w:p w14:paraId="39D63F8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 xml:space="preserve">LISTE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EXCIPIENTS</w:t>
      </w:r>
    </w:p>
    <w:p w14:paraId="6B4F9DF7" w14:textId="77777777" w:rsidR="007D642D" w:rsidRPr="00961E0F" w:rsidRDefault="007D642D">
      <w:pPr>
        <w:suppressAutoHyphens/>
        <w:rPr>
          <w:rFonts w:ascii="Times New Roman" w:hAnsi="Times New Roman"/>
          <w:color w:val="000000"/>
          <w:szCs w:val="22"/>
        </w:rPr>
      </w:pPr>
    </w:p>
    <w:p w14:paraId="686C05F6" w14:textId="77777777" w:rsidR="007D642D" w:rsidRPr="00961E0F" w:rsidRDefault="007D642D">
      <w:pPr>
        <w:suppressAutoHyphens/>
        <w:rPr>
          <w:rFonts w:ascii="Times New Roman" w:hAnsi="Times New Roman"/>
          <w:color w:val="000000"/>
          <w:szCs w:val="22"/>
        </w:rPr>
      </w:pPr>
    </w:p>
    <w:p w14:paraId="132DAAA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FORME PHARMACEUTIQUE ET CONTENU</w:t>
      </w:r>
    </w:p>
    <w:p w14:paraId="59F96F6F" w14:textId="77777777" w:rsidR="007D642D" w:rsidRPr="00961E0F" w:rsidRDefault="007D642D">
      <w:pPr>
        <w:suppressAutoHyphens/>
        <w:rPr>
          <w:rFonts w:ascii="Times New Roman" w:hAnsi="Times New Roman"/>
          <w:color w:val="000000"/>
          <w:szCs w:val="22"/>
        </w:rPr>
      </w:pPr>
    </w:p>
    <w:p w14:paraId="5134E531" w14:textId="77777777" w:rsidR="007D642D" w:rsidRPr="00961E0F" w:rsidRDefault="007D642D">
      <w:pPr>
        <w:widowControl w:val="0"/>
        <w:rPr>
          <w:rFonts w:ascii="Times New Roman" w:hAnsi="Times New Roman"/>
          <w:color w:val="000000"/>
          <w:szCs w:val="22"/>
        </w:rPr>
      </w:pPr>
      <w:r w:rsidRPr="00034653">
        <w:rPr>
          <w:rFonts w:ascii="Times New Roman" w:hAnsi="Times New Roman"/>
          <w:color w:val="000000"/>
          <w:szCs w:val="22"/>
        </w:rPr>
        <w:t>20 comprimés pelliculés</w:t>
      </w:r>
    </w:p>
    <w:p w14:paraId="754969E8"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60 comprimés pelliculés</w:t>
      </w:r>
    </w:p>
    <w:p w14:paraId="1C70D2B5"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120 comprimés pelliculés</w:t>
      </w:r>
    </w:p>
    <w:p w14:paraId="2F50331C"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180 comprimés pelliculés</w:t>
      </w:r>
    </w:p>
    <w:p w14:paraId="32C58C58" w14:textId="77777777" w:rsidR="007D642D" w:rsidRPr="00961E0F" w:rsidRDefault="007D642D">
      <w:pPr>
        <w:suppressAutoHyphens/>
        <w:rPr>
          <w:rFonts w:ascii="Times New Roman" w:hAnsi="Times New Roman"/>
          <w:color w:val="000000"/>
          <w:szCs w:val="22"/>
        </w:rPr>
      </w:pPr>
    </w:p>
    <w:p w14:paraId="5FA5D745" w14:textId="77777777" w:rsidR="007D642D" w:rsidRPr="00961E0F" w:rsidRDefault="007D642D">
      <w:pPr>
        <w:suppressAutoHyphens/>
        <w:rPr>
          <w:rFonts w:ascii="Times New Roman" w:hAnsi="Times New Roman"/>
          <w:color w:val="000000"/>
          <w:szCs w:val="22"/>
        </w:rPr>
      </w:pPr>
    </w:p>
    <w:p w14:paraId="784060F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MODE ET VOIE(S) D’ADMINISTRATION</w:t>
      </w:r>
    </w:p>
    <w:p w14:paraId="58D4909D" w14:textId="77777777" w:rsidR="007D642D" w:rsidRPr="00961E0F" w:rsidRDefault="007D642D">
      <w:pPr>
        <w:suppressAutoHyphens/>
        <w:rPr>
          <w:rFonts w:ascii="Times New Roman" w:hAnsi="Times New Roman"/>
          <w:color w:val="000000"/>
          <w:szCs w:val="22"/>
        </w:rPr>
      </w:pPr>
    </w:p>
    <w:p w14:paraId="6DBCA961"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Voie orale. Lire la notice avant utilisation.</w:t>
      </w:r>
    </w:p>
    <w:p w14:paraId="79BADFFA" w14:textId="77777777" w:rsidR="007D642D" w:rsidRPr="00961E0F" w:rsidRDefault="007D642D">
      <w:pPr>
        <w:suppressAutoHyphens/>
        <w:rPr>
          <w:rFonts w:ascii="Times New Roman" w:hAnsi="Times New Roman"/>
          <w:color w:val="000000"/>
          <w:szCs w:val="22"/>
        </w:rPr>
      </w:pPr>
    </w:p>
    <w:p w14:paraId="112F6FD6" w14:textId="77777777" w:rsidR="007D642D" w:rsidRPr="00961E0F" w:rsidRDefault="007D642D">
      <w:pPr>
        <w:suppressAutoHyphens/>
        <w:rPr>
          <w:rFonts w:ascii="Times New Roman" w:hAnsi="Times New Roman"/>
          <w:color w:val="000000"/>
          <w:szCs w:val="22"/>
        </w:rPr>
      </w:pPr>
    </w:p>
    <w:p w14:paraId="63E21B83"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MISE EN GARDE SP</w:t>
      </w:r>
      <w:r w:rsidR="00786985" w:rsidRPr="00961E0F">
        <w:rPr>
          <w:rFonts w:ascii="Times New Roman" w:hAnsi="Times New Roman"/>
          <w:b/>
          <w:color w:val="000000"/>
          <w:szCs w:val="22"/>
        </w:rPr>
        <w:t>É</w:t>
      </w:r>
      <w:r w:rsidRPr="00961E0F">
        <w:rPr>
          <w:rFonts w:ascii="Times New Roman" w:hAnsi="Times New Roman"/>
          <w:b/>
          <w:color w:val="000000"/>
          <w:szCs w:val="22"/>
        </w:rPr>
        <w:t>CIALE INDIQUANT QUE LE M</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DICAMENT DOIT </w:t>
      </w:r>
      <w:r w:rsidR="00786985" w:rsidRPr="00961E0F">
        <w:rPr>
          <w:rFonts w:ascii="Times New Roman" w:hAnsi="Times New Roman"/>
          <w:b/>
          <w:color w:val="000000"/>
          <w:szCs w:val="22"/>
        </w:rPr>
        <w:t>Ê</w:t>
      </w:r>
      <w:r w:rsidRPr="00961E0F">
        <w:rPr>
          <w:rFonts w:ascii="Times New Roman" w:hAnsi="Times New Roman"/>
          <w:b/>
          <w:color w:val="000000"/>
          <w:szCs w:val="22"/>
        </w:rPr>
        <w:t>TRE CONSERV</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 HORS DE PORT</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E ET DE VUE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ENFANTS</w:t>
      </w:r>
    </w:p>
    <w:p w14:paraId="74466853" w14:textId="77777777" w:rsidR="007D642D" w:rsidRPr="00961E0F" w:rsidRDefault="007D642D">
      <w:pPr>
        <w:suppressAutoHyphens/>
        <w:rPr>
          <w:rFonts w:ascii="Times New Roman" w:hAnsi="Times New Roman"/>
          <w:color w:val="000000"/>
          <w:szCs w:val="22"/>
        </w:rPr>
      </w:pPr>
    </w:p>
    <w:p w14:paraId="4C1D1C08"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Tenir hors de la vue et de la portée des enfants.</w:t>
      </w:r>
    </w:p>
    <w:p w14:paraId="13C93DB2" w14:textId="77777777" w:rsidR="007D642D" w:rsidRPr="00961E0F" w:rsidRDefault="007D642D">
      <w:pPr>
        <w:suppressAutoHyphens/>
        <w:rPr>
          <w:rFonts w:ascii="Times New Roman" w:hAnsi="Times New Roman"/>
          <w:color w:val="000000"/>
          <w:szCs w:val="22"/>
        </w:rPr>
      </w:pPr>
    </w:p>
    <w:p w14:paraId="2A508086" w14:textId="77777777" w:rsidR="007D642D" w:rsidRPr="00961E0F" w:rsidRDefault="007D642D">
      <w:pPr>
        <w:suppressAutoHyphens/>
        <w:rPr>
          <w:rFonts w:ascii="Times New Roman" w:hAnsi="Times New Roman"/>
          <w:color w:val="000000"/>
          <w:szCs w:val="22"/>
        </w:rPr>
      </w:pPr>
    </w:p>
    <w:p w14:paraId="6D5F6A9F"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7.</w:t>
      </w:r>
      <w:r w:rsidRPr="00961E0F">
        <w:rPr>
          <w:rFonts w:ascii="Times New Roman" w:hAnsi="Times New Roman"/>
          <w:b/>
          <w:color w:val="000000"/>
          <w:szCs w:val="22"/>
        </w:rPr>
        <w:tab/>
        <w:t>AUTRE(S) MISE(S) EN GARDE SP</w:t>
      </w:r>
      <w:r w:rsidR="00786985" w:rsidRPr="00961E0F">
        <w:rPr>
          <w:rFonts w:ascii="Times New Roman" w:hAnsi="Times New Roman"/>
          <w:b/>
          <w:color w:val="000000"/>
          <w:szCs w:val="22"/>
        </w:rPr>
        <w:t>É</w:t>
      </w:r>
      <w:r w:rsidRPr="00961E0F">
        <w:rPr>
          <w:rFonts w:ascii="Times New Roman" w:hAnsi="Times New Roman"/>
          <w:b/>
          <w:color w:val="000000"/>
          <w:szCs w:val="22"/>
        </w:rPr>
        <w:t>CIALE(S), SI N</w:t>
      </w:r>
      <w:r w:rsidR="00786985" w:rsidRPr="00961E0F">
        <w:rPr>
          <w:rFonts w:ascii="Times New Roman" w:hAnsi="Times New Roman"/>
          <w:b/>
          <w:color w:val="000000"/>
          <w:szCs w:val="22"/>
        </w:rPr>
        <w:t>É</w:t>
      </w:r>
      <w:r w:rsidRPr="00961E0F">
        <w:rPr>
          <w:rFonts w:ascii="Times New Roman" w:hAnsi="Times New Roman"/>
          <w:b/>
          <w:color w:val="000000"/>
          <w:szCs w:val="22"/>
        </w:rPr>
        <w:t>CESSAIRE</w:t>
      </w:r>
    </w:p>
    <w:p w14:paraId="008A3CB8" w14:textId="77777777" w:rsidR="007D642D" w:rsidRPr="00961E0F" w:rsidRDefault="007D642D">
      <w:pPr>
        <w:suppressAutoHyphens/>
        <w:rPr>
          <w:rFonts w:ascii="Times New Roman" w:hAnsi="Times New Roman"/>
          <w:color w:val="000000"/>
          <w:szCs w:val="22"/>
        </w:rPr>
      </w:pPr>
    </w:p>
    <w:p w14:paraId="5248022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utiliser uniquement selon les instructions données par votre médecin.</w:t>
      </w:r>
    </w:p>
    <w:p w14:paraId="2F86C166" w14:textId="77777777" w:rsidR="007D642D" w:rsidRPr="00961E0F" w:rsidRDefault="007D642D">
      <w:pPr>
        <w:suppressAutoHyphens/>
        <w:rPr>
          <w:rFonts w:ascii="Times New Roman" w:hAnsi="Times New Roman"/>
          <w:color w:val="000000"/>
          <w:szCs w:val="22"/>
        </w:rPr>
      </w:pPr>
    </w:p>
    <w:p w14:paraId="5FB62C56" w14:textId="77777777" w:rsidR="007D642D" w:rsidRPr="00961E0F" w:rsidRDefault="007D642D">
      <w:pPr>
        <w:suppressAutoHyphens/>
        <w:rPr>
          <w:rFonts w:ascii="Times New Roman" w:hAnsi="Times New Roman"/>
          <w:color w:val="000000"/>
          <w:szCs w:val="22"/>
        </w:rPr>
      </w:pPr>
    </w:p>
    <w:p w14:paraId="6ACFC79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8.</w:t>
      </w:r>
      <w:r w:rsidRPr="00961E0F">
        <w:rPr>
          <w:rFonts w:ascii="Times New Roman" w:hAnsi="Times New Roman"/>
          <w:b/>
          <w:color w:val="000000"/>
          <w:szCs w:val="22"/>
        </w:rPr>
        <w:tab/>
        <w:t>DATE DE P</w:t>
      </w:r>
      <w:r w:rsidR="00786985" w:rsidRPr="00961E0F">
        <w:rPr>
          <w:rFonts w:ascii="Times New Roman" w:hAnsi="Times New Roman"/>
          <w:b/>
          <w:color w:val="000000"/>
          <w:szCs w:val="22"/>
        </w:rPr>
        <w:t>É</w:t>
      </w:r>
      <w:r w:rsidRPr="00961E0F">
        <w:rPr>
          <w:rFonts w:ascii="Times New Roman" w:hAnsi="Times New Roman"/>
          <w:b/>
          <w:color w:val="000000"/>
          <w:szCs w:val="22"/>
        </w:rPr>
        <w:t>REMPTION</w:t>
      </w:r>
    </w:p>
    <w:p w14:paraId="4029D336" w14:textId="77777777" w:rsidR="007D642D" w:rsidRPr="00961E0F" w:rsidRDefault="007D642D">
      <w:pPr>
        <w:suppressAutoHyphens/>
        <w:rPr>
          <w:rFonts w:ascii="Times New Roman" w:hAnsi="Times New Roman"/>
          <w:color w:val="000000"/>
          <w:szCs w:val="22"/>
        </w:rPr>
      </w:pPr>
    </w:p>
    <w:p w14:paraId="1F989E2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3CF80859" w14:textId="77777777" w:rsidR="007D642D" w:rsidRPr="00961E0F" w:rsidRDefault="007D642D">
      <w:pPr>
        <w:suppressAutoHyphens/>
        <w:rPr>
          <w:rFonts w:ascii="Times New Roman" w:hAnsi="Times New Roman"/>
          <w:color w:val="000000"/>
          <w:szCs w:val="22"/>
        </w:rPr>
      </w:pPr>
    </w:p>
    <w:p w14:paraId="1265116E" w14:textId="77777777" w:rsidR="007D642D" w:rsidRPr="00961E0F" w:rsidRDefault="007D642D">
      <w:pPr>
        <w:suppressAutoHyphens/>
        <w:rPr>
          <w:rFonts w:ascii="Times New Roman" w:hAnsi="Times New Roman"/>
          <w:color w:val="000000"/>
          <w:szCs w:val="22"/>
        </w:rPr>
      </w:pPr>
    </w:p>
    <w:p w14:paraId="4A5A6D4C"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9.</w:t>
      </w:r>
      <w:r w:rsidRPr="00961E0F">
        <w:rPr>
          <w:rFonts w:ascii="Times New Roman" w:hAnsi="Times New Roman"/>
          <w:b/>
          <w:color w:val="000000"/>
          <w:szCs w:val="22"/>
        </w:rPr>
        <w:tab/>
        <w:t>PR</w:t>
      </w:r>
      <w:r w:rsidR="00786985" w:rsidRPr="00961E0F">
        <w:rPr>
          <w:rFonts w:ascii="Times New Roman" w:hAnsi="Times New Roman"/>
          <w:b/>
          <w:color w:val="000000"/>
          <w:szCs w:val="22"/>
        </w:rPr>
        <w:t>É</w:t>
      </w:r>
      <w:r w:rsidRPr="00961E0F">
        <w:rPr>
          <w:rFonts w:ascii="Times New Roman" w:hAnsi="Times New Roman"/>
          <w:b/>
          <w:color w:val="000000"/>
          <w:szCs w:val="22"/>
        </w:rPr>
        <w:t>CAUTIONS PARTICULI</w:t>
      </w:r>
      <w:r w:rsidR="00786985" w:rsidRPr="00961E0F">
        <w:rPr>
          <w:rFonts w:ascii="Times New Roman" w:hAnsi="Times New Roman"/>
          <w:b/>
          <w:color w:val="000000"/>
          <w:szCs w:val="22"/>
        </w:rPr>
        <w:t>È</w:t>
      </w:r>
      <w:r w:rsidRPr="00961E0F">
        <w:rPr>
          <w:rFonts w:ascii="Times New Roman" w:hAnsi="Times New Roman"/>
          <w:b/>
          <w:color w:val="000000"/>
          <w:szCs w:val="22"/>
        </w:rPr>
        <w:t>RES DE CONSERVATION</w:t>
      </w:r>
    </w:p>
    <w:p w14:paraId="0A1FC944" w14:textId="77777777" w:rsidR="007D642D" w:rsidRPr="00961E0F" w:rsidRDefault="007D642D">
      <w:pPr>
        <w:suppressAutoHyphens/>
        <w:rPr>
          <w:rFonts w:ascii="Times New Roman" w:hAnsi="Times New Roman"/>
          <w:color w:val="000000"/>
          <w:szCs w:val="22"/>
        </w:rPr>
      </w:pPr>
    </w:p>
    <w:p w14:paraId="0078E23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A conserver à une température ne dépassant pas </w:t>
      </w:r>
      <w:smartTag w:uri="urn:schemas-microsoft-com:office:smarttags" w:element="metricconverter">
        <w:smartTagPr>
          <w:attr w:name="ProductID" w:val="30ﾰC"/>
        </w:smartTagPr>
        <w:r w:rsidRPr="00961E0F">
          <w:rPr>
            <w:rFonts w:ascii="Times New Roman" w:hAnsi="Times New Roman"/>
            <w:color w:val="000000"/>
            <w:szCs w:val="22"/>
          </w:rPr>
          <w:t>30°C</w:t>
        </w:r>
      </w:smartTag>
      <w:r w:rsidRPr="00961E0F">
        <w:rPr>
          <w:rFonts w:ascii="Times New Roman" w:hAnsi="Times New Roman"/>
          <w:color w:val="000000"/>
          <w:szCs w:val="22"/>
        </w:rPr>
        <w:t>. A conserver dans l’emballage extérieur d’origine à l’abri de l’humidité.</w:t>
      </w:r>
    </w:p>
    <w:p w14:paraId="388B0769" w14:textId="77777777" w:rsidR="007D642D" w:rsidRPr="00961E0F" w:rsidRDefault="007D642D">
      <w:pPr>
        <w:suppressAutoHyphens/>
        <w:rPr>
          <w:rFonts w:ascii="Times New Roman" w:hAnsi="Times New Roman"/>
          <w:color w:val="000000"/>
          <w:szCs w:val="22"/>
        </w:rPr>
      </w:pPr>
    </w:p>
    <w:p w14:paraId="48A82029" w14:textId="77777777" w:rsidR="007D642D" w:rsidRPr="00961E0F" w:rsidRDefault="007D642D">
      <w:pPr>
        <w:suppressAutoHyphens/>
        <w:rPr>
          <w:rFonts w:ascii="Times New Roman" w:hAnsi="Times New Roman"/>
          <w:color w:val="000000"/>
          <w:szCs w:val="22"/>
        </w:rPr>
      </w:pPr>
    </w:p>
    <w:p w14:paraId="74E6A21A"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lastRenderedPageBreak/>
        <w:t>10.</w:t>
      </w:r>
      <w:r w:rsidRPr="00961E0F">
        <w:rPr>
          <w:rFonts w:ascii="Times New Roman" w:hAnsi="Times New Roman"/>
          <w:b/>
          <w:color w:val="000000"/>
          <w:szCs w:val="22"/>
        </w:rPr>
        <w:tab/>
        <w:t>PR</w:t>
      </w:r>
      <w:r w:rsidR="00786985" w:rsidRPr="00961E0F">
        <w:rPr>
          <w:rFonts w:ascii="Times New Roman" w:hAnsi="Times New Roman"/>
          <w:b/>
          <w:color w:val="000000"/>
          <w:szCs w:val="22"/>
        </w:rPr>
        <w:t>É</w:t>
      </w:r>
      <w:r w:rsidRPr="00961E0F">
        <w:rPr>
          <w:rFonts w:ascii="Times New Roman" w:hAnsi="Times New Roman"/>
          <w:b/>
          <w:color w:val="000000"/>
          <w:szCs w:val="22"/>
        </w:rPr>
        <w:t>CAUTIONS PARTICULI</w:t>
      </w:r>
      <w:r w:rsidR="00786985" w:rsidRPr="00961E0F">
        <w:rPr>
          <w:rFonts w:ascii="Times New Roman" w:hAnsi="Times New Roman"/>
          <w:b/>
          <w:color w:val="000000"/>
          <w:szCs w:val="22"/>
        </w:rPr>
        <w:t>È</w:t>
      </w:r>
      <w:r w:rsidRPr="00961E0F">
        <w:rPr>
          <w:rFonts w:ascii="Times New Roman" w:hAnsi="Times New Roman"/>
          <w:b/>
          <w:color w:val="000000"/>
          <w:szCs w:val="22"/>
        </w:rPr>
        <w:t>RES D’</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LIMINATION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M</w:t>
      </w:r>
      <w:r w:rsidR="00786985" w:rsidRPr="00961E0F">
        <w:rPr>
          <w:rFonts w:ascii="Times New Roman" w:hAnsi="Times New Roman"/>
          <w:b/>
          <w:color w:val="000000"/>
          <w:szCs w:val="22"/>
        </w:rPr>
        <w:t>É</w:t>
      </w:r>
      <w:r w:rsidRPr="00961E0F">
        <w:rPr>
          <w:rFonts w:ascii="Times New Roman" w:hAnsi="Times New Roman"/>
          <w:b/>
          <w:color w:val="000000"/>
          <w:szCs w:val="22"/>
        </w:rPr>
        <w:t>DICAMENTS NON UTILIS</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S OU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D</w:t>
      </w:r>
      <w:r w:rsidR="00786985" w:rsidRPr="00961E0F">
        <w:rPr>
          <w:rFonts w:ascii="Times New Roman" w:hAnsi="Times New Roman"/>
          <w:b/>
          <w:color w:val="000000"/>
          <w:szCs w:val="22"/>
        </w:rPr>
        <w:t>É</w:t>
      </w:r>
      <w:r w:rsidRPr="00961E0F">
        <w:rPr>
          <w:rFonts w:ascii="Times New Roman" w:hAnsi="Times New Roman"/>
          <w:b/>
          <w:color w:val="000000"/>
          <w:szCs w:val="22"/>
        </w:rPr>
        <w:t>CHETS PROVENANT DE CES M</w:t>
      </w:r>
      <w:r w:rsidR="00786985" w:rsidRPr="00961E0F">
        <w:rPr>
          <w:rFonts w:ascii="Times New Roman" w:hAnsi="Times New Roman"/>
          <w:b/>
          <w:color w:val="000000"/>
          <w:szCs w:val="22"/>
        </w:rPr>
        <w:t>É</w:t>
      </w:r>
      <w:r w:rsidRPr="00961E0F">
        <w:rPr>
          <w:rFonts w:ascii="Times New Roman" w:hAnsi="Times New Roman"/>
          <w:b/>
          <w:color w:val="000000"/>
          <w:szCs w:val="22"/>
        </w:rPr>
        <w:t>DICAMENTS S’IL Y A LIEU</w:t>
      </w:r>
    </w:p>
    <w:p w14:paraId="4EE5BE26" w14:textId="77777777" w:rsidR="007D642D" w:rsidRPr="00961E0F" w:rsidRDefault="007D642D">
      <w:pPr>
        <w:suppressAutoHyphens/>
        <w:rPr>
          <w:rFonts w:ascii="Times New Roman" w:hAnsi="Times New Roman"/>
          <w:b/>
          <w:color w:val="000000"/>
          <w:szCs w:val="22"/>
        </w:rPr>
      </w:pPr>
    </w:p>
    <w:p w14:paraId="5EBC97A3" w14:textId="77777777" w:rsidR="007D642D" w:rsidRPr="00961E0F" w:rsidRDefault="007D642D">
      <w:pPr>
        <w:suppressAutoHyphens/>
        <w:rPr>
          <w:rFonts w:ascii="Times New Roman" w:hAnsi="Times New Roman"/>
          <w:color w:val="000000"/>
          <w:szCs w:val="22"/>
        </w:rPr>
      </w:pPr>
    </w:p>
    <w:p w14:paraId="04122E4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11.</w:t>
      </w:r>
      <w:r w:rsidRPr="00961E0F">
        <w:rPr>
          <w:rFonts w:ascii="Times New Roman" w:hAnsi="Times New Roman"/>
          <w:b/>
          <w:color w:val="000000"/>
          <w:szCs w:val="22"/>
        </w:rPr>
        <w:tab/>
        <w:t xml:space="preserve">NOM ET ADRESSE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4885CFAD" w14:textId="77777777" w:rsidR="007D642D" w:rsidRPr="00961E0F" w:rsidRDefault="007D642D">
      <w:pPr>
        <w:suppressAutoHyphens/>
        <w:rPr>
          <w:rFonts w:ascii="Times New Roman" w:hAnsi="Times New Roman"/>
          <w:color w:val="000000"/>
          <w:szCs w:val="22"/>
        </w:rPr>
      </w:pPr>
    </w:p>
    <w:p w14:paraId="507D0C0B" w14:textId="77777777" w:rsidR="007D642D" w:rsidRPr="00961E0F" w:rsidRDefault="007D642D">
      <w:pPr>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6843E6EC"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0FFEDF47"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3FC85DB7"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04C014CB"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57EA6505" w14:textId="77777777" w:rsidR="007D642D" w:rsidRPr="00961E0F" w:rsidRDefault="007D642D">
      <w:pPr>
        <w:suppressAutoHyphens/>
        <w:rPr>
          <w:rFonts w:ascii="Times New Roman" w:hAnsi="Times New Roman"/>
          <w:color w:val="000000"/>
          <w:szCs w:val="22"/>
        </w:rPr>
      </w:pPr>
    </w:p>
    <w:p w14:paraId="56325046" w14:textId="77777777" w:rsidR="007D642D" w:rsidRPr="00961E0F" w:rsidRDefault="007D642D">
      <w:pPr>
        <w:suppressAutoHyphens/>
        <w:rPr>
          <w:rFonts w:ascii="Times New Roman" w:hAnsi="Times New Roman"/>
          <w:color w:val="000000"/>
          <w:szCs w:val="22"/>
        </w:rPr>
      </w:pPr>
    </w:p>
    <w:p w14:paraId="633E7700"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12.</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RO(S) D’AUTORISATION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6E683894" w14:textId="77777777" w:rsidR="007D642D" w:rsidRPr="00961E0F" w:rsidRDefault="007D642D">
      <w:pPr>
        <w:suppressAutoHyphens/>
        <w:rPr>
          <w:rFonts w:ascii="Times New Roman" w:hAnsi="Times New Roman"/>
          <w:color w:val="000000"/>
          <w:szCs w:val="22"/>
        </w:rPr>
      </w:pPr>
    </w:p>
    <w:p w14:paraId="2F4F7017"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rPr>
        <w:t>EU/1/01/198/007</w:t>
      </w:r>
      <w:r w:rsidRPr="00961E0F">
        <w:rPr>
          <w:rFonts w:ascii="Times New Roman" w:hAnsi="Times New Roman"/>
          <w:color w:val="000000"/>
          <w:szCs w:val="22"/>
        </w:rPr>
        <w:tab/>
      </w:r>
      <w:r w:rsidRPr="00961E0F">
        <w:rPr>
          <w:rFonts w:ascii="Times New Roman" w:hAnsi="Times New Roman"/>
          <w:color w:val="000000"/>
          <w:szCs w:val="22"/>
          <w:shd w:val="clear" w:color="auto" w:fill="D9D9D9"/>
        </w:rPr>
        <w:t>20 comprimés</w:t>
      </w:r>
      <w:r w:rsidR="005A129E" w:rsidRPr="004050A0">
        <w:rPr>
          <w:rFonts w:ascii="Times New Roman" w:hAnsi="Times New Roman"/>
          <w:color w:val="000000"/>
          <w:szCs w:val="22"/>
          <w:shd w:val="pct15" w:color="auto" w:fill="auto"/>
        </w:rPr>
        <w:t xml:space="preserve"> (Plaquettes thermoformées en PVC/aluminium)</w:t>
      </w:r>
    </w:p>
    <w:p w14:paraId="158BF29B"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EU/1/01/198/008</w:t>
      </w:r>
      <w:r w:rsidRPr="00961E0F">
        <w:rPr>
          <w:rFonts w:ascii="Times New Roman" w:hAnsi="Times New Roman"/>
          <w:color w:val="000000"/>
          <w:szCs w:val="22"/>
          <w:shd w:val="clear" w:color="auto" w:fill="D9D9D9"/>
        </w:rPr>
        <w:tab/>
        <w:t>60 comprimés</w:t>
      </w:r>
      <w:r w:rsidR="005A129E" w:rsidRPr="004050A0">
        <w:rPr>
          <w:rFonts w:ascii="Times New Roman" w:hAnsi="Times New Roman"/>
          <w:color w:val="000000"/>
          <w:szCs w:val="22"/>
          <w:shd w:val="pct15" w:color="auto" w:fill="auto"/>
        </w:rPr>
        <w:t xml:space="preserve"> (Plaquettes thermoformées en PVC/aluminium)</w:t>
      </w:r>
    </w:p>
    <w:p w14:paraId="34E6EC64"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EU/1/01/198/011</w:t>
      </w:r>
      <w:r w:rsidRPr="00961E0F">
        <w:rPr>
          <w:rFonts w:ascii="Times New Roman" w:hAnsi="Times New Roman"/>
          <w:color w:val="000000"/>
          <w:szCs w:val="22"/>
          <w:shd w:val="clear" w:color="auto" w:fill="D9D9D9"/>
        </w:rPr>
        <w:tab/>
        <w:t>120 comprimés</w:t>
      </w:r>
      <w:r w:rsidR="005A129E" w:rsidRPr="004050A0">
        <w:rPr>
          <w:rFonts w:ascii="Times New Roman" w:hAnsi="Times New Roman"/>
          <w:color w:val="000000"/>
          <w:szCs w:val="22"/>
          <w:shd w:val="pct15" w:color="auto" w:fill="auto"/>
        </w:rPr>
        <w:t xml:space="preserve"> (Plaquettes thermoformées en PVC/aluminium)</w:t>
      </w:r>
    </w:p>
    <w:p w14:paraId="1A078821"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EU/1/01/198/012</w:t>
      </w:r>
      <w:r w:rsidRPr="00961E0F">
        <w:rPr>
          <w:rFonts w:ascii="Times New Roman" w:hAnsi="Times New Roman"/>
          <w:color w:val="000000"/>
          <w:szCs w:val="22"/>
          <w:shd w:val="clear" w:color="auto" w:fill="D9D9D9"/>
        </w:rPr>
        <w:tab/>
        <w:t>180 comprimés</w:t>
      </w:r>
      <w:r w:rsidR="005A129E" w:rsidRPr="004050A0">
        <w:rPr>
          <w:rFonts w:ascii="Times New Roman" w:hAnsi="Times New Roman"/>
          <w:color w:val="000000"/>
          <w:szCs w:val="22"/>
          <w:shd w:val="pct15" w:color="auto" w:fill="auto"/>
        </w:rPr>
        <w:t xml:space="preserve"> (Plaquettes thermoformées en PVC/aluminium)</w:t>
      </w:r>
    </w:p>
    <w:p w14:paraId="2DFE1EA0" w14:textId="77777777" w:rsidR="005A129E" w:rsidRPr="004050A0" w:rsidRDefault="005A129E" w:rsidP="005A129E">
      <w:pPr>
        <w:widowControl w:val="0"/>
        <w:suppressAutoHyphens/>
        <w:ind w:left="2268" w:hanging="2268"/>
        <w:rPr>
          <w:rFonts w:ascii="Times New Roman" w:hAnsi="Times New Roman"/>
          <w:color w:val="000000"/>
          <w:szCs w:val="22"/>
          <w:shd w:val="pct15" w:color="auto" w:fill="auto"/>
        </w:rPr>
      </w:pPr>
      <w:r w:rsidRPr="004050A0">
        <w:rPr>
          <w:rFonts w:ascii="Times New Roman" w:hAnsi="Times New Roman"/>
          <w:color w:val="000000"/>
          <w:szCs w:val="22"/>
          <w:shd w:val="pct15" w:color="auto" w:fill="auto"/>
        </w:rPr>
        <w:t>EU/1/01/198/01</w:t>
      </w:r>
      <w:r w:rsidR="00846CCA">
        <w:rPr>
          <w:rFonts w:ascii="Times New Roman" w:hAnsi="Times New Roman"/>
          <w:color w:val="000000"/>
          <w:szCs w:val="22"/>
          <w:shd w:val="pct15" w:color="auto" w:fill="auto"/>
        </w:rPr>
        <w:t>4</w:t>
      </w:r>
      <w:r w:rsidRPr="004050A0">
        <w:rPr>
          <w:rFonts w:ascii="Times New Roman" w:hAnsi="Times New Roman"/>
          <w:color w:val="000000"/>
          <w:szCs w:val="22"/>
          <w:shd w:val="pct15" w:color="auto" w:fill="auto"/>
        </w:rPr>
        <w:tab/>
      </w:r>
      <w:r w:rsidR="00846CCA">
        <w:rPr>
          <w:rFonts w:ascii="Times New Roman" w:hAnsi="Times New Roman"/>
          <w:color w:val="000000"/>
          <w:szCs w:val="22"/>
          <w:shd w:val="pct15" w:color="auto" w:fill="auto"/>
        </w:rPr>
        <w:t>6</w:t>
      </w:r>
      <w:r w:rsidRPr="004050A0">
        <w:rPr>
          <w:rFonts w:ascii="Times New Roman" w:hAnsi="Times New Roman"/>
          <w:color w:val="000000"/>
          <w:szCs w:val="22"/>
          <w:shd w:val="pct15" w:color="auto" w:fill="auto"/>
        </w:rPr>
        <w:t>0 comprimés (Plaquettes thermoformées en PVDC/aluminium)</w:t>
      </w:r>
    </w:p>
    <w:p w14:paraId="08E9A24A" w14:textId="77777777" w:rsidR="005A129E" w:rsidRPr="004050A0" w:rsidRDefault="005A129E" w:rsidP="005A129E">
      <w:pPr>
        <w:widowControl w:val="0"/>
        <w:suppressAutoHyphens/>
        <w:ind w:left="2268" w:hanging="2268"/>
        <w:rPr>
          <w:rFonts w:ascii="Times New Roman" w:hAnsi="Times New Roman"/>
          <w:color w:val="000000"/>
          <w:szCs w:val="22"/>
          <w:shd w:val="pct15" w:color="auto" w:fill="auto"/>
        </w:rPr>
      </w:pPr>
      <w:r w:rsidRPr="004050A0">
        <w:rPr>
          <w:rFonts w:ascii="Times New Roman" w:hAnsi="Times New Roman"/>
          <w:color w:val="000000"/>
          <w:szCs w:val="22"/>
          <w:shd w:val="pct15" w:color="auto" w:fill="auto"/>
        </w:rPr>
        <w:t>EU/1/01/198/01</w:t>
      </w:r>
      <w:r w:rsidR="00846CCA">
        <w:rPr>
          <w:rFonts w:ascii="Times New Roman" w:hAnsi="Times New Roman"/>
          <w:color w:val="000000"/>
          <w:szCs w:val="22"/>
          <w:shd w:val="pct15" w:color="auto" w:fill="auto"/>
        </w:rPr>
        <w:t>5</w:t>
      </w:r>
      <w:r w:rsidRPr="004050A0">
        <w:rPr>
          <w:rFonts w:ascii="Times New Roman" w:hAnsi="Times New Roman"/>
          <w:color w:val="000000"/>
          <w:szCs w:val="22"/>
          <w:shd w:val="pct15" w:color="auto" w:fill="auto"/>
        </w:rPr>
        <w:tab/>
        <w:t>1</w:t>
      </w:r>
      <w:r w:rsidR="00846CCA">
        <w:rPr>
          <w:rFonts w:ascii="Times New Roman" w:hAnsi="Times New Roman"/>
          <w:color w:val="000000"/>
          <w:szCs w:val="22"/>
          <w:shd w:val="pct15" w:color="auto" w:fill="auto"/>
        </w:rPr>
        <w:t>2</w:t>
      </w:r>
      <w:r w:rsidRPr="004050A0">
        <w:rPr>
          <w:rFonts w:ascii="Times New Roman" w:hAnsi="Times New Roman"/>
          <w:color w:val="000000"/>
          <w:szCs w:val="22"/>
          <w:shd w:val="pct15" w:color="auto" w:fill="auto"/>
        </w:rPr>
        <w:t>0 comprimés (Plaquettes thermoformées en PVDC/aluminium)</w:t>
      </w:r>
    </w:p>
    <w:p w14:paraId="0603B346" w14:textId="77777777" w:rsidR="00034653" w:rsidRPr="00961E0F" w:rsidRDefault="00034653" w:rsidP="00034653">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w:t>
      </w:r>
      <w:r>
        <w:rPr>
          <w:rFonts w:ascii="Times New Roman" w:hAnsi="Times New Roman"/>
          <w:color w:val="000000"/>
          <w:szCs w:val="22"/>
          <w:shd w:val="clear" w:color="auto" w:fill="D9D9D9"/>
        </w:rPr>
        <w:t>1</w:t>
      </w:r>
      <w:r w:rsidR="00846CCA">
        <w:rPr>
          <w:rFonts w:ascii="Times New Roman" w:hAnsi="Times New Roman"/>
          <w:color w:val="000000"/>
          <w:szCs w:val="22"/>
          <w:shd w:val="clear" w:color="auto" w:fill="D9D9D9"/>
        </w:rPr>
        <w:t>6</w:t>
      </w:r>
      <w:r w:rsidRPr="00961E0F">
        <w:rPr>
          <w:rFonts w:ascii="Times New Roman" w:hAnsi="Times New Roman"/>
          <w:color w:val="000000"/>
          <w:szCs w:val="22"/>
          <w:shd w:val="clear" w:color="auto" w:fill="D9D9D9"/>
        </w:rPr>
        <w:tab/>
      </w:r>
      <w:r w:rsidR="00846CCA">
        <w:rPr>
          <w:rFonts w:ascii="Times New Roman" w:hAnsi="Times New Roman"/>
          <w:color w:val="000000"/>
          <w:szCs w:val="22"/>
          <w:shd w:val="clear" w:color="auto" w:fill="D9D9D9"/>
        </w:rPr>
        <w:t>18</w:t>
      </w:r>
      <w:r w:rsidRPr="00961E0F">
        <w:rPr>
          <w:rFonts w:ascii="Times New Roman" w:hAnsi="Times New Roman"/>
          <w:color w:val="000000"/>
          <w:szCs w:val="22"/>
          <w:shd w:val="clear" w:color="auto" w:fill="D9D9D9"/>
        </w:rPr>
        <w:t>0 comprimés</w:t>
      </w:r>
      <w:r w:rsidRPr="004050A0">
        <w:rPr>
          <w:rFonts w:ascii="Times New Roman" w:hAnsi="Times New Roman"/>
          <w:color w:val="000000"/>
          <w:szCs w:val="22"/>
          <w:shd w:val="pct15" w:color="auto" w:fill="auto"/>
        </w:rPr>
        <w:t xml:space="preserve"> (Plaquettes thermoformées en PV</w:t>
      </w:r>
      <w:r>
        <w:rPr>
          <w:rFonts w:ascii="Times New Roman" w:hAnsi="Times New Roman"/>
          <w:color w:val="000000"/>
          <w:szCs w:val="22"/>
          <w:shd w:val="pct15" w:color="auto" w:fill="auto"/>
        </w:rPr>
        <w:t>D</w:t>
      </w:r>
      <w:r w:rsidRPr="004050A0">
        <w:rPr>
          <w:rFonts w:ascii="Times New Roman" w:hAnsi="Times New Roman"/>
          <w:color w:val="000000"/>
          <w:szCs w:val="22"/>
          <w:shd w:val="pct15" w:color="auto" w:fill="auto"/>
        </w:rPr>
        <w:t>C/aluminium)</w:t>
      </w:r>
    </w:p>
    <w:p w14:paraId="5701355B" w14:textId="77777777" w:rsidR="007D642D" w:rsidRPr="00961E0F" w:rsidRDefault="007D642D">
      <w:pPr>
        <w:widowControl w:val="0"/>
        <w:suppressAutoHyphens/>
        <w:ind w:left="567" w:hanging="567"/>
        <w:rPr>
          <w:rFonts w:ascii="Times New Roman" w:hAnsi="Times New Roman"/>
          <w:color w:val="000000"/>
          <w:szCs w:val="22"/>
        </w:rPr>
      </w:pPr>
    </w:p>
    <w:p w14:paraId="6468D559" w14:textId="77777777" w:rsidR="007D642D" w:rsidRPr="00961E0F" w:rsidRDefault="007D642D">
      <w:pPr>
        <w:suppressAutoHyphens/>
        <w:rPr>
          <w:rFonts w:ascii="Times New Roman" w:hAnsi="Times New Roman"/>
          <w:color w:val="000000"/>
          <w:szCs w:val="22"/>
        </w:rPr>
      </w:pPr>
    </w:p>
    <w:p w14:paraId="24CDA9C0"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13.</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RO DU LOT</w:t>
      </w:r>
    </w:p>
    <w:p w14:paraId="00F5EC3E" w14:textId="77777777" w:rsidR="007D642D" w:rsidRPr="00961E0F" w:rsidRDefault="007D642D">
      <w:pPr>
        <w:suppressAutoHyphens/>
        <w:rPr>
          <w:rFonts w:ascii="Times New Roman" w:hAnsi="Times New Roman"/>
          <w:color w:val="000000"/>
          <w:szCs w:val="22"/>
        </w:rPr>
      </w:pPr>
    </w:p>
    <w:p w14:paraId="7574B08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18A633F9" w14:textId="77777777" w:rsidR="007D642D" w:rsidRPr="00961E0F" w:rsidRDefault="007D642D">
      <w:pPr>
        <w:suppressAutoHyphens/>
        <w:rPr>
          <w:rFonts w:ascii="Times New Roman" w:hAnsi="Times New Roman"/>
          <w:color w:val="000000"/>
          <w:szCs w:val="22"/>
        </w:rPr>
      </w:pPr>
    </w:p>
    <w:p w14:paraId="3B248431" w14:textId="77777777" w:rsidR="007D642D" w:rsidRPr="00961E0F" w:rsidRDefault="007D642D">
      <w:pPr>
        <w:suppressAutoHyphens/>
        <w:rPr>
          <w:rFonts w:ascii="Times New Roman" w:hAnsi="Times New Roman"/>
          <w:color w:val="000000"/>
          <w:szCs w:val="22"/>
        </w:rPr>
      </w:pPr>
    </w:p>
    <w:p w14:paraId="02F01024"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14.</w:t>
      </w:r>
      <w:r w:rsidRPr="00961E0F">
        <w:rPr>
          <w:rFonts w:ascii="Times New Roman" w:hAnsi="Times New Roman"/>
          <w:b/>
          <w:color w:val="000000"/>
          <w:szCs w:val="22"/>
        </w:rPr>
        <w:tab/>
        <w:t>CONDITIONS DE PRESCRIPTION ET DE D</w:t>
      </w:r>
      <w:r w:rsidR="00786985" w:rsidRPr="00961E0F">
        <w:rPr>
          <w:rFonts w:ascii="Times New Roman" w:hAnsi="Times New Roman"/>
          <w:b/>
          <w:color w:val="000000"/>
          <w:szCs w:val="22"/>
        </w:rPr>
        <w:t>É</w:t>
      </w:r>
      <w:r w:rsidRPr="00961E0F">
        <w:rPr>
          <w:rFonts w:ascii="Times New Roman" w:hAnsi="Times New Roman"/>
          <w:b/>
          <w:color w:val="000000"/>
          <w:szCs w:val="22"/>
        </w:rPr>
        <w:t>LIVRANCE</w:t>
      </w:r>
    </w:p>
    <w:p w14:paraId="4EA7DB5E" w14:textId="77777777" w:rsidR="007D642D" w:rsidRPr="00961E0F" w:rsidRDefault="007D642D">
      <w:pPr>
        <w:suppressAutoHyphens/>
        <w:rPr>
          <w:rFonts w:ascii="Times New Roman" w:hAnsi="Times New Roman"/>
          <w:color w:val="000000"/>
          <w:szCs w:val="22"/>
        </w:rPr>
      </w:pPr>
    </w:p>
    <w:p w14:paraId="18977806" w14:textId="77777777" w:rsidR="007D642D" w:rsidRPr="00961E0F" w:rsidRDefault="007D642D">
      <w:pPr>
        <w:suppressAutoHyphens/>
        <w:rPr>
          <w:rFonts w:ascii="Times New Roman" w:hAnsi="Times New Roman"/>
          <w:color w:val="000000"/>
          <w:szCs w:val="22"/>
        </w:rPr>
      </w:pPr>
    </w:p>
    <w:p w14:paraId="05E4449E"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15.</w:t>
      </w:r>
      <w:r w:rsidRPr="00961E0F">
        <w:rPr>
          <w:rFonts w:ascii="Times New Roman" w:hAnsi="Times New Roman"/>
          <w:b/>
          <w:color w:val="000000"/>
          <w:szCs w:val="22"/>
        </w:rPr>
        <w:tab/>
        <w:t>INDICATIONS D’UTILISATION</w:t>
      </w:r>
    </w:p>
    <w:p w14:paraId="21290AFC" w14:textId="77777777" w:rsidR="007D642D" w:rsidRPr="00961E0F" w:rsidRDefault="007D642D">
      <w:pPr>
        <w:suppressAutoHyphens/>
        <w:rPr>
          <w:rFonts w:ascii="Times New Roman" w:hAnsi="Times New Roman"/>
          <w:color w:val="000000"/>
          <w:szCs w:val="22"/>
        </w:rPr>
      </w:pPr>
    </w:p>
    <w:p w14:paraId="3E97381E" w14:textId="77777777" w:rsidR="007D642D" w:rsidRPr="00961E0F" w:rsidRDefault="007D642D">
      <w:pPr>
        <w:suppressAutoHyphens/>
        <w:rPr>
          <w:rFonts w:ascii="Times New Roman" w:hAnsi="Times New Roman"/>
          <w:color w:val="000000"/>
          <w:szCs w:val="22"/>
        </w:rPr>
      </w:pPr>
    </w:p>
    <w:p w14:paraId="4A50B72E"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16.</w:t>
      </w:r>
      <w:r w:rsidRPr="00961E0F">
        <w:rPr>
          <w:rFonts w:ascii="Times New Roman" w:hAnsi="Times New Roman"/>
          <w:b/>
          <w:color w:val="000000"/>
          <w:szCs w:val="22"/>
        </w:rPr>
        <w:tab/>
        <w:t>INFORMATIONS EN BRAILLE</w:t>
      </w:r>
    </w:p>
    <w:p w14:paraId="15904936" w14:textId="77777777" w:rsidR="007D642D" w:rsidRPr="00961E0F" w:rsidRDefault="007D642D">
      <w:pPr>
        <w:suppressAutoHyphens/>
        <w:rPr>
          <w:rFonts w:ascii="Times New Roman" w:hAnsi="Times New Roman"/>
          <w:color w:val="000000"/>
          <w:szCs w:val="22"/>
        </w:rPr>
      </w:pPr>
    </w:p>
    <w:p w14:paraId="5B556CDD"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t>Glivec 100 mg</w:t>
      </w:r>
    </w:p>
    <w:p w14:paraId="773E48BA" w14:textId="77777777" w:rsidR="00777258" w:rsidRPr="00961E0F" w:rsidRDefault="00777258">
      <w:pPr>
        <w:suppressAutoHyphens/>
        <w:rPr>
          <w:rFonts w:ascii="Times New Roman" w:hAnsi="Times New Roman"/>
          <w:color w:val="000000"/>
          <w:szCs w:val="22"/>
        </w:rPr>
      </w:pPr>
    </w:p>
    <w:p w14:paraId="2B78FDBC" w14:textId="77777777" w:rsidR="007D642D" w:rsidRPr="00961E0F" w:rsidRDefault="007D642D">
      <w:pPr>
        <w:suppressAutoHyphens/>
        <w:rPr>
          <w:rFonts w:ascii="Times New Roman" w:hAnsi="Times New Roman"/>
          <w:color w:val="000000"/>
          <w:szCs w:val="22"/>
        </w:rPr>
      </w:pPr>
    </w:p>
    <w:p w14:paraId="5BAADA01" w14:textId="77777777" w:rsidR="002D19F2" w:rsidRPr="00961E0F" w:rsidRDefault="002D19F2" w:rsidP="002D19F2">
      <w:pPr>
        <w:widowControl w:val="0"/>
        <w:pBdr>
          <w:top w:val="single" w:sz="4" w:space="1" w:color="auto"/>
          <w:left w:val="single" w:sz="4" w:space="4" w:color="auto"/>
          <w:bottom w:val="single" w:sz="4" w:space="1" w:color="auto"/>
          <w:right w:val="single" w:sz="4" w:space="4" w:color="auto"/>
        </w:pBdr>
        <w:outlineLvl w:val="0"/>
        <w:rPr>
          <w:rFonts w:ascii="Times New Roman" w:hAnsi="Times New Roman"/>
          <w:i/>
          <w:noProof/>
        </w:rPr>
      </w:pPr>
      <w:r w:rsidRPr="00961E0F">
        <w:rPr>
          <w:rFonts w:ascii="Times New Roman" w:hAnsi="Times New Roman"/>
          <w:b/>
          <w:noProof/>
        </w:rPr>
        <w:t>17.</w:t>
      </w:r>
      <w:r w:rsidRPr="00961E0F">
        <w:rPr>
          <w:rFonts w:ascii="Times New Roman" w:hAnsi="Times New Roman"/>
          <w:b/>
          <w:noProof/>
        </w:rPr>
        <w:tab/>
        <w:t>IDENTIFIANT UNIQUE - CODE-BARRES 2D</w:t>
      </w:r>
    </w:p>
    <w:p w14:paraId="447A47DB" w14:textId="77777777" w:rsidR="002D19F2" w:rsidRPr="00961E0F" w:rsidRDefault="002D19F2" w:rsidP="002D19F2">
      <w:pPr>
        <w:widowControl w:val="0"/>
        <w:rPr>
          <w:rFonts w:ascii="Times New Roman" w:hAnsi="Times New Roman"/>
          <w:shd w:val="pct15" w:color="auto" w:fill="auto"/>
        </w:rPr>
      </w:pPr>
    </w:p>
    <w:p w14:paraId="22238130" w14:textId="77777777" w:rsidR="002D19F2" w:rsidRPr="00961E0F" w:rsidRDefault="002D19F2" w:rsidP="002D19F2">
      <w:pPr>
        <w:widowControl w:val="0"/>
        <w:rPr>
          <w:rFonts w:ascii="Times New Roman" w:hAnsi="Times New Roman"/>
          <w:shd w:val="pct15" w:color="auto" w:fill="auto"/>
        </w:rPr>
      </w:pPr>
      <w:r w:rsidRPr="00961E0F">
        <w:rPr>
          <w:rFonts w:ascii="Times New Roman" w:hAnsi="Times New Roman"/>
          <w:shd w:val="pct15" w:color="auto" w:fill="auto"/>
        </w:rPr>
        <w:t>Code-barres 2D portant l'identifiant unique inclus.</w:t>
      </w:r>
    </w:p>
    <w:p w14:paraId="471FE61A" w14:textId="77777777" w:rsidR="002D19F2" w:rsidRPr="00961E0F" w:rsidRDefault="002D19F2" w:rsidP="002D19F2">
      <w:pPr>
        <w:widowControl w:val="0"/>
        <w:rPr>
          <w:rFonts w:ascii="Times New Roman" w:hAnsi="Times New Roman"/>
          <w:noProof/>
        </w:rPr>
      </w:pPr>
    </w:p>
    <w:p w14:paraId="2DCB6137" w14:textId="77777777" w:rsidR="002D19F2" w:rsidRPr="00961E0F" w:rsidRDefault="002D19F2" w:rsidP="002D19F2">
      <w:pPr>
        <w:widowControl w:val="0"/>
        <w:rPr>
          <w:rFonts w:ascii="Times New Roman" w:hAnsi="Times New Roman"/>
          <w:noProof/>
        </w:rPr>
      </w:pPr>
    </w:p>
    <w:p w14:paraId="6E5D58CA" w14:textId="77777777" w:rsidR="002D19F2" w:rsidRPr="00961E0F" w:rsidRDefault="002D19F2" w:rsidP="002D19F2">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i/>
          <w:noProof/>
        </w:rPr>
      </w:pPr>
      <w:r w:rsidRPr="00961E0F">
        <w:rPr>
          <w:rFonts w:ascii="Times New Roman" w:hAnsi="Times New Roman"/>
          <w:b/>
          <w:noProof/>
        </w:rPr>
        <w:t>18.</w:t>
      </w:r>
      <w:r w:rsidRPr="00961E0F">
        <w:rPr>
          <w:rFonts w:ascii="Times New Roman" w:hAnsi="Times New Roman"/>
          <w:b/>
          <w:noProof/>
        </w:rPr>
        <w:tab/>
        <w:t>IDENTIFIANT UNIQUE - DONNÉES LISIBLES PAR LES HUMAINS</w:t>
      </w:r>
    </w:p>
    <w:p w14:paraId="0E24271C" w14:textId="77777777" w:rsidR="002D19F2" w:rsidRPr="00961E0F" w:rsidRDefault="002D19F2" w:rsidP="002D19F2">
      <w:pPr>
        <w:widowControl w:val="0"/>
        <w:rPr>
          <w:rFonts w:ascii="Times New Roman" w:hAnsi="Times New Roman"/>
          <w:noProof/>
        </w:rPr>
      </w:pPr>
    </w:p>
    <w:p w14:paraId="1BFD1C0A" w14:textId="77777777" w:rsidR="002D19F2" w:rsidRPr="00C67CDE" w:rsidRDefault="002D19F2" w:rsidP="002D19F2">
      <w:pPr>
        <w:widowControl w:val="0"/>
        <w:rPr>
          <w:rFonts w:ascii="Times New Roman" w:hAnsi="Times New Roman"/>
          <w:color w:val="000000" w:themeColor="text1"/>
        </w:rPr>
      </w:pPr>
      <w:r w:rsidRPr="00C67CDE">
        <w:rPr>
          <w:rFonts w:ascii="Times New Roman" w:hAnsi="Times New Roman"/>
          <w:color w:val="000000" w:themeColor="text1"/>
        </w:rPr>
        <w:t>PC:</w:t>
      </w:r>
    </w:p>
    <w:p w14:paraId="58296E51" w14:textId="77777777" w:rsidR="002D19F2" w:rsidRPr="00961E0F" w:rsidRDefault="002D19F2" w:rsidP="002D19F2">
      <w:pPr>
        <w:widowControl w:val="0"/>
        <w:rPr>
          <w:rFonts w:ascii="Times New Roman" w:hAnsi="Times New Roman"/>
          <w:szCs w:val="22"/>
        </w:rPr>
      </w:pPr>
      <w:r w:rsidRPr="00961E0F">
        <w:rPr>
          <w:rFonts w:ascii="Times New Roman" w:hAnsi="Times New Roman"/>
        </w:rPr>
        <w:t>SN:</w:t>
      </w:r>
    </w:p>
    <w:p w14:paraId="487A0C97" w14:textId="77777777" w:rsidR="002D19F2" w:rsidRPr="00961E0F" w:rsidRDefault="002D19F2" w:rsidP="002D19F2">
      <w:pPr>
        <w:widowControl w:val="0"/>
        <w:rPr>
          <w:rFonts w:ascii="Times New Roman" w:hAnsi="Times New Roman"/>
          <w:shd w:val="pct15" w:color="auto" w:fill="auto"/>
        </w:rPr>
      </w:pPr>
      <w:r w:rsidRPr="00961E0F">
        <w:rPr>
          <w:rFonts w:ascii="Times New Roman" w:hAnsi="Times New Roman"/>
        </w:rPr>
        <w:t>NN:</w:t>
      </w:r>
    </w:p>
    <w:p w14:paraId="0D41DDAB" w14:textId="77777777" w:rsidR="002D19F2" w:rsidRPr="00961E0F" w:rsidRDefault="002D19F2">
      <w:pPr>
        <w:suppressAutoHyphens/>
        <w:rPr>
          <w:rFonts w:ascii="Times New Roman" w:hAnsi="Times New Roman"/>
          <w:color w:val="000000"/>
          <w:szCs w:val="22"/>
        </w:rPr>
      </w:pPr>
    </w:p>
    <w:p w14:paraId="32E1904F" w14:textId="77777777" w:rsidR="007D642D" w:rsidRPr="00961E0F" w:rsidRDefault="007D642D">
      <w:pPr>
        <w:suppressAutoHyphens/>
        <w:rPr>
          <w:rFonts w:ascii="Times New Roman" w:hAnsi="Times New Roman"/>
          <w:color w:val="000000"/>
          <w:szCs w:val="22"/>
        </w:rPr>
      </w:pPr>
      <w:r w:rsidRPr="00961E0F">
        <w:rPr>
          <w:rFonts w:ascii="Times New Roman" w:hAnsi="Times New Roman"/>
          <w:i/>
          <w:color w:val="000000"/>
          <w:szCs w:val="22"/>
        </w:rPr>
        <w:br w:type="page"/>
      </w:r>
    </w:p>
    <w:p w14:paraId="126A0077" w14:textId="77777777" w:rsidR="00C67CDE" w:rsidRPr="00C67CDE" w:rsidRDefault="00C67CDE" w:rsidP="00C67CDE">
      <w:pPr>
        <w:suppressAutoHyphens/>
        <w:rPr>
          <w:rFonts w:ascii="Times New Roman" w:hAnsi="Times New Roman"/>
          <w:color w:val="000000"/>
          <w:szCs w:val="22"/>
        </w:rPr>
      </w:pPr>
    </w:p>
    <w:p w14:paraId="07A09FF0"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 xml:space="preserve">MENTIONS MINIMALES DEVANT FIGURER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LES PLAQUETTES THERMOFORM</w:t>
      </w:r>
      <w:r w:rsidR="00786985" w:rsidRPr="00961E0F">
        <w:rPr>
          <w:rFonts w:ascii="Times New Roman" w:hAnsi="Times New Roman"/>
          <w:b/>
          <w:color w:val="000000"/>
          <w:szCs w:val="22"/>
        </w:rPr>
        <w:t>É</w:t>
      </w:r>
      <w:r w:rsidRPr="00961E0F">
        <w:rPr>
          <w:rFonts w:ascii="Times New Roman" w:hAnsi="Times New Roman"/>
          <w:b/>
          <w:color w:val="000000"/>
          <w:szCs w:val="22"/>
        </w:rPr>
        <w:t>ES OU LES FILMS THERMOSOUD</w:t>
      </w:r>
      <w:r w:rsidR="00786985" w:rsidRPr="00961E0F">
        <w:rPr>
          <w:rFonts w:ascii="Times New Roman" w:hAnsi="Times New Roman"/>
          <w:b/>
          <w:color w:val="000000"/>
          <w:szCs w:val="22"/>
        </w:rPr>
        <w:t>É</w:t>
      </w:r>
      <w:r w:rsidRPr="00961E0F">
        <w:rPr>
          <w:rFonts w:ascii="Times New Roman" w:hAnsi="Times New Roman"/>
          <w:b/>
          <w:color w:val="000000"/>
          <w:szCs w:val="22"/>
        </w:rPr>
        <w:t>S</w:t>
      </w:r>
    </w:p>
    <w:p w14:paraId="38247156"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color w:val="000000"/>
          <w:szCs w:val="22"/>
        </w:rPr>
      </w:pPr>
    </w:p>
    <w:p w14:paraId="691CBE17"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PLAQUETTES THERMOFORM</w:t>
      </w:r>
      <w:r w:rsidR="00786985" w:rsidRPr="00961E0F">
        <w:rPr>
          <w:rFonts w:ascii="Times New Roman" w:hAnsi="Times New Roman"/>
          <w:b/>
          <w:color w:val="000000"/>
          <w:szCs w:val="22"/>
        </w:rPr>
        <w:t>É</w:t>
      </w:r>
      <w:r w:rsidRPr="00961E0F">
        <w:rPr>
          <w:rFonts w:ascii="Times New Roman" w:hAnsi="Times New Roman"/>
          <w:b/>
          <w:color w:val="000000"/>
          <w:szCs w:val="22"/>
        </w:rPr>
        <w:t>ES</w:t>
      </w:r>
    </w:p>
    <w:p w14:paraId="0EB56DFF" w14:textId="77777777" w:rsidR="007D642D" w:rsidRPr="00961E0F" w:rsidRDefault="007D642D">
      <w:pPr>
        <w:suppressAutoHyphens/>
        <w:rPr>
          <w:rFonts w:ascii="Times New Roman" w:hAnsi="Times New Roman"/>
          <w:color w:val="000000"/>
          <w:szCs w:val="22"/>
        </w:rPr>
      </w:pPr>
    </w:p>
    <w:p w14:paraId="614989DB" w14:textId="77777777" w:rsidR="007D642D" w:rsidRPr="00961E0F" w:rsidRDefault="007D642D">
      <w:pPr>
        <w:suppressAutoHyphens/>
        <w:rPr>
          <w:rFonts w:ascii="Times New Roman" w:hAnsi="Times New Roman"/>
          <w:color w:val="000000"/>
          <w:szCs w:val="22"/>
        </w:rPr>
      </w:pPr>
    </w:p>
    <w:p w14:paraId="5D3A7591"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786985" w:rsidRPr="00961E0F">
        <w:rPr>
          <w:rFonts w:ascii="Times New Roman" w:hAnsi="Times New Roman"/>
          <w:b/>
          <w:color w:val="000000"/>
          <w:szCs w:val="22"/>
        </w:rPr>
        <w:t>É</w:t>
      </w:r>
      <w:r w:rsidRPr="00961E0F">
        <w:rPr>
          <w:rFonts w:ascii="Times New Roman" w:hAnsi="Times New Roman"/>
          <w:b/>
          <w:color w:val="000000"/>
          <w:szCs w:val="22"/>
        </w:rPr>
        <w:t>NOMINATION DU M</w:t>
      </w:r>
      <w:r w:rsidR="00786985" w:rsidRPr="00961E0F">
        <w:rPr>
          <w:rFonts w:ascii="Times New Roman" w:hAnsi="Times New Roman"/>
          <w:b/>
          <w:color w:val="000000"/>
          <w:szCs w:val="22"/>
        </w:rPr>
        <w:t>É</w:t>
      </w:r>
      <w:r w:rsidRPr="00961E0F">
        <w:rPr>
          <w:rFonts w:ascii="Times New Roman" w:hAnsi="Times New Roman"/>
          <w:b/>
          <w:color w:val="000000"/>
          <w:szCs w:val="22"/>
        </w:rPr>
        <w:t>DICAMENT</w:t>
      </w:r>
    </w:p>
    <w:p w14:paraId="26BD21CE" w14:textId="77777777" w:rsidR="007D642D" w:rsidRPr="00961E0F" w:rsidRDefault="007D642D">
      <w:pPr>
        <w:suppressAutoHyphens/>
        <w:rPr>
          <w:rFonts w:ascii="Times New Roman" w:hAnsi="Times New Roman"/>
          <w:color w:val="000000"/>
          <w:szCs w:val="22"/>
        </w:rPr>
      </w:pPr>
    </w:p>
    <w:p w14:paraId="40C6A56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100 mg comprimés</w:t>
      </w:r>
    </w:p>
    <w:p w14:paraId="1FC4BB96"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595D286E" w14:textId="77777777" w:rsidR="007D642D" w:rsidRPr="00961E0F" w:rsidRDefault="007D642D">
      <w:pPr>
        <w:suppressAutoHyphens/>
        <w:rPr>
          <w:rFonts w:ascii="Times New Roman" w:hAnsi="Times New Roman"/>
          <w:color w:val="000000"/>
          <w:szCs w:val="22"/>
        </w:rPr>
      </w:pPr>
    </w:p>
    <w:p w14:paraId="65E4F3FA" w14:textId="77777777" w:rsidR="007D642D" w:rsidRPr="00961E0F" w:rsidRDefault="007D642D">
      <w:pPr>
        <w:suppressAutoHyphens/>
        <w:rPr>
          <w:rFonts w:ascii="Times New Roman" w:hAnsi="Times New Roman"/>
          <w:color w:val="000000"/>
          <w:szCs w:val="22"/>
        </w:rPr>
      </w:pPr>
    </w:p>
    <w:p w14:paraId="1B70ACDE"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NOM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4CA47B77" w14:textId="77777777" w:rsidR="007D642D" w:rsidRPr="00961E0F" w:rsidRDefault="007D642D">
      <w:pPr>
        <w:suppressAutoHyphens/>
        <w:rPr>
          <w:rFonts w:ascii="Times New Roman" w:hAnsi="Times New Roman"/>
          <w:color w:val="000000"/>
          <w:szCs w:val="22"/>
        </w:rPr>
      </w:pPr>
    </w:p>
    <w:p w14:paraId="5D21749F"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Novartis Europharm Limited</w:t>
      </w:r>
    </w:p>
    <w:p w14:paraId="6783E348" w14:textId="77777777" w:rsidR="007D642D" w:rsidRPr="00961E0F" w:rsidRDefault="007D642D">
      <w:pPr>
        <w:suppressAutoHyphens/>
        <w:rPr>
          <w:rFonts w:ascii="Times New Roman" w:hAnsi="Times New Roman"/>
          <w:color w:val="000000"/>
          <w:szCs w:val="22"/>
        </w:rPr>
      </w:pPr>
    </w:p>
    <w:p w14:paraId="49B33419" w14:textId="77777777" w:rsidR="007D642D" w:rsidRPr="00961E0F" w:rsidRDefault="007D642D">
      <w:pPr>
        <w:suppressAutoHyphens/>
        <w:rPr>
          <w:rFonts w:ascii="Times New Roman" w:hAnsi="Times New Roman"/>
          <w:color w:val="000000"/>
          <w:szCs w:val="22"/>
        </w:rPr>
      </w:pPr>
    </w:p>
    <w:p w14:paraId="7AE26EFB"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DATE DE P</w:t>
      </w:r>
      <w:r w:rsidR="00786985" w:rsidRPr="00961E0F">
        <w:rPr>
          <w:rFonts w:ascii="Times New Roman" w:hAnsi="Times New Roman"/>
          <w:b/>
          <w:color w:val="000000"/>
          <w:szCs w:val="22"/>
        </w:rPr>
        <w:t>É</w:t>
      </w:r>
      <w:r w:rsidRPr="00961E0F">
        <w:rPr>
          <w:rFonts w:ascii="Times New Roman" w:hAnsi="Times New Roman"/>
          <w:b/>
          <w:color w:val="000000"/>
          <w:szCs w:val="22"/>
        </w:rPr>
        <w:t>REMPTION</w:t>
      </w:r>
    </w:p>
    <w:p w14:paraId="5BC89376" w14:textId="77777777" w:rsidR="007D642D" w:rsidRPr="00961E0F" w:rsidRDefault="007D642D">
      <w:pPr>
        <w:suppressAutoHyphens/>
        <w:rPr>
          <w:rFonts w:ascii="Times New Roman" w:hAnsi="Times New Roman"/>
          <w:color w:val="000000"/>
          <w:szCs w:val="22"/>
        </w:rPr>
      </w:pPr>
    </w:p>
    <w:p w14:paraId="38CDEE8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4F43C67F" w14:textId="77777777" w:rsidR="007D642D" w:rsidRPr="00961E0F" w:rsidRDefault="007D642D">
      <w:pPr>
        <w:suppressAutoHyphens/>
        <w:rPr>
          <w:rFonts w:ascii="Times New Roman" w:hAnsi="Times New Roman"/>
          <w:color w:val="000000"/>
          <w:szCs w:val="22"/>
        </w:rPr>
      </w:pPr>
    </w:p>
    <w:p w14:paraId="7622C4BC" w14:textId="77777777" w:rsidR="007D642D" w:rsidRPr="00961E0F" w:rsidRDefault="007D642D">
      <w:pPr>
        <w:suppressAutoHyphens/>
        <w:rPr>
          <w:rFonts w:ascii="Times New Roman" w:hAnsi="Times New Roman"/>
          <w:color w:val="000000"/>
          <w:szCs w:val="22"/>
        </w:rPr>
      </w:pPr>
    </w:p>
    <w:p w14:paraId="2EE24EE4"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RO DU LOT</w:t>
      </w:r>
    </w:p>
    <w:p w14:paraId="3AF95E90" w14:textId="77777777" w:rsidR="007D642D" w:rsidRPr="00961E0F" w:rsidRDefault="007D642D">
      <w:pPr>
        <w:suppressAutoHyphens/>
        <w:rPr>
          <w:rFonts w:ascii="Times New Roman" w:hAnsi="Times New Roman"/>
          <w:color w:val="000000"/>
          <w:szCs w:val="22"/>
        </w:rPr>
      </w:pPr>
    </w:p>
    <w:p w14:paraId="0BAD9D1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1E6F7E74" w14:textId="77777777" w:rsidR="007D642D" w:rsidRPr="00961E0F" w:rsidRDefault="007D642D">
      <w:pPr>
        <w:widowControl w:val="0"/>
        <w:rPr>
          <w:rFonts w:ascii="Times New Roman" w:hAnsi="Times New Roman"/>
          <w:color w:val="000000"/>
          <w:szCs w:val="22"/>
        </w:rPr>
      </w:pPr>
    </w:p>
    <w:p w14:paraId="3652E37C" w14:textId="77777777" w:rsidR="007D642D" w:rsidRPr="00961E0F" w:rsidRDefault="007D642D">
      <w:pPr>
        <w:widowControl w:val="0"/>
        <w:rPr>
          <w:rFonts w:ascii="Times New Roman" w:hAnsi="Times New Roman"/>
          <w:color w:val="000000"/>
          <w:szCs w:val="22"/>
        </w:rPr>
      </w:pPr>
    </w:p>
    <w:p w14:paraId="24EDE07E"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AUTRE</w:t>
      </w:r>
    </w:p>
    <w:p w14:paraId="54CA1072" w14:textId="77777777" w:rsidR="007D642D" w:rsidRPr="00961E0F" w:rsidRDefault="007D642D">
      <w:pPr>
        <w:widowControl w:val="0"/>
        <w:rPr>
          <w:rFonts w:ascii="Times New Roman" w:hAnsi="Times New Roman"/>
          <w:color w:val="000000"/>
          <w:szCs w:val="22"/>
        </w:rPr>
      </w:pPr>
    </w:p>
    <w:p w14:paraId="66E5DAF9"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br w:type="page"/>
      </w:r>
    </w:p>
    <w:p w14:paraId="1B0E8270" w14:textId="77777777" w:rsidR="00C67CDE" w:rsidRPr="00C67CDE" w:rsidRDefault="00C67CDE" w:rsidP="00C67CDE">
      <w:pPr>
        <w:rPr>
          <w:rFonts w:ascii="Times New Roman" w:hAnsi="Times New Roman"/>
          <w:color w:val="000000"/>
          <w:szCs w:val="22"/>
        </w:rPr>
      </w:pPr>
    </w:p>
    <w:p w14:paraId="16AEBF75" w14:textId="77777777" w:rsidR="007D642D" w:rsidRPr="00961E0F" w:rsidRDefault="007D642D">
      <w:pPr>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 xml:space="preserve">MENTIONS DEVANT FIGURER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L’EMBALLAGE EXT</w:t>
      </w:r>
      <w:r w:rsidR="00786985" w:rsidRPr="00961E0F">
        <w:rPr>
          <w:rFonts w:ascii="Times New Roman" w:hAnsi="Times New Roman"/>
          <w:b/>
          <w:color w:val="000000"/>
          <w:szCs w:val="22"/>
        </w:rPr>
        <w:t>É</w:t>
      </w:r>
      <w:r w:rsidRPr="00961E0F">
        <w:rPr>
          <w:rFonts w:ascii="Times New Roman" w:hAnsi="Times New Roman"/>
          <w:b/>
          <w:color w:val="000000"/>
          <w:szCs w:val="22"/>
        </w:rPr>
        <w:t>RIEUR</w:t>
      </w:r>
    </w:p>
    <w:p w14:paraId="48F3AAE5" w14:textId="77777777" w:rsidR="007D642D" w:rsidRPr="00961E0F" w:rsidRDefault="007D642D">
      <w:pPr>
        <w:pBdr>
          <w:top w:val="single" w:sz="4" w:space="1" w:color="auto"/>
          <w:left w:val="single" w:sz="4" w:space="4" w:color="auto"/>
          <w:bottom w:val="single" w:sz="4" w:space="1" w:color="auto"/>
          <w:right w:val="single" w:sz="4" w:space="4" w:color="auto"/>
        </w:pBdr>
        <w:rPr>
          <w:rFonts w:ascii="Times New Roman" w:hAnsi="Times New Roman"/>
          <w:color w:val="000000"/>
          <w:szCs w:val="22"/>
        </w:rPr>
      </w:pPr>
    </w:p>
    <w:p w14:paraId="46EFE04B" w14:textId="77777777" w:rsidR="007D642D" w:rsidRPr="00961E0F" w:rsidRDefault="00786985">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É</w:t>
      </w:r>
      <w:r w:rsidR="007D642D" w:rsidRPr="00961E0F">
        <w:rPr>
          <w:rFonts w:ascii="Times New Roman" w:hAnsi="Times New Roman"/>
          <w:b/>
          <w:color w:val="000000"/>
          <w:szCs w:val="22"/>
        </w:rPr>
        <w:t>TUI CARTON</w:t>
      </w:r>
    </w:p>
    <w:p w14:paraId="7B7C738F" w14:textId="77777777" w:rsidR="007D642D" w:rsidRPr="00961E0F" w:rsidRDefault="007D642D">
      <w:pPr>
        <w:pStyle w:val="EndnoteText"/>
        <w:tabs>
          <w:tab w:val="clear" w:pos="567"/>
        </w:tabs>
        <w:suppressAutoHyphens/>
        <w:rPr>
          <w:color w:val="000000"/>
          <w:szCs w:val="22"/>
          <w:lang w:val="fr-FR"/>
        </w:rPr>
      </w:pPr>
    </w:p>
    <w:p w14:paraId="706A3EBD" w14:textId="77777777" w:rsidR="007D642D" w:rsidRPr="00961E0F" w:rsidRDefault="007D642D">
      <w:pPr>
        <w:suppressAutoHyphens/>
        <w:rPr>
          <w:rFonts w:ascii="Times New Roman" w:hAnsi="Times New Roman"/>
          <w:color w:val="000000"/>
          <w:szCs w:val="22"/>
        </w:rPr>
      </w:pPr>
    </w:p>
    <w:p w14:paraId="36F5DA5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786985" w:rsidRPr="00961E0F">
        <w:rPr>
          <w:rFonts w:ascii="Times New Roman" w:hAnsi="Times New Roman"/>
          <w:b/>
          <w:color w:val="000000"/>
          <w:szCs w:val="22"/>
        </w:rPr>
        <w:t>É</w:t>
      </w:r>
      <w:r w:rsidRPr="00961E0F">
        <w:rPr>
          <w:rFonts w:ascii="Times New Roman" w:hAnsi="Times New Roman"/>
          <w:b/>
          <w:color w:val="000000"/>
          <w:szCs w:val="22"/>
        </w:rPr>
        <w:t>NOMINATION DU M</w:t>
      </w:r>
      <w:r w:rsidR="00786985" w:rsidRPr="00961E0F">
        <w:rPr>
          <w:rFonts w:ascii="Times New Roman" w:hAnsi="Times New Roman"/>
          <w:b/>
          <w:color w:val="000000"/>
          <w:szCs w:val="22"/>
        </w:rPr>
        <w:t>É</w:t>
      </w:r>
      <w:r w:rsidRPr="00961E0F">
        <w:rPr>
          <w:rFonts w:ascii="Times New Roman" w:hAnsi="Times New Roman"/>
          <w:b/>
          <w:color w:val="000000"/>
          <w:szCs w:val="22"/>
        </w:rPr>
        <w:t>DICAMENT</w:t>
      </w:r>
    </w:p>
    <w:p w14:paraId="10C6E573" w14:textId="77777777" w:rsidR="007D642D" w:rsidRPr="00961E0F" w:rsidRDefault="007D642D">
      <w:pPr>
        <w:suppressAutoHyphens/>
        <w:rPr>
          <w:rFonts w:ascii="Times New Roman" w:hAnsi="Times New Roman"/>
          <w:color w:val="000000"/>
          <w:szCs w:val="22"/>
        </w:rPr>
      </w:pPr>
    </w:p>
    <w:p w14:paraId="395D2114"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400 mg comprimés pelliculés</w:t>
      </w:r>
    </w:p>
    <w:p w14:paraId="44CACDDD"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334869B5" w14:textId="77777777" w:rsidR="007D642D" w:rsidRPr="00961E0F" w:rsidRDefault="007D642D">
      <w:pPr>
        <w:suppressAutoHyphens/>
        <w:rPr>
          <w:rFonts w:ascii="Times New Roman" w:hAnsi="Times New Roman"/>
          <w:color w:val="000000"/>
          <w:szCs w:val="22"/>
        </w:rPr>
      </w:pPr>
    </w:p>
    <w:p w14:paraId="7C0C1719" w14:textId="77777777" w:rsidR="007D642D" w:rsidRPr="00961E0F" w:rsidRDefault="007D642D">
      <w:pPr>
        <w:suppressAutoHyphens/>
        <w:rPr>
          <w:rFonts w:ascii="Times New Roman" w:hAnsi="Times New Roman"/>
          <w:color w:val="000000"/>
          <w:szCs w:val="22"/>
        </w:rPr>
      </w:pPr>
    </w:p>
    <w:p w14:paraId="76DF0BD2"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COMPOSITION EN </w:t>
      </w:r>
      <w:r w:rsidR="00B6349D" w:rsidRPr="00961E0F">
        <w:rPr>
          <w:rFonts w:ascii="Times New Roman" w:hAnsi="Times New Roman"/>
          <w:b/>
          <w:color w:val="000000"/>
          <w:szCs w:val="22"/>
        </w:rPr>
        <w:t>SUBSTANCE(S) ACTIVE(S)</w:t>
      </w:r>
    </w:p>
    <w:p w14:paraId="65D56D4D" w14:textId="77777777" w:rsidR="007D642D" w:rsidRPr="00961E0F" w:rsidRDefault="007D642D">
      <w:pPr>
        <w:suppressAutoHyphens/>
        <w:rPr>
          <w:rFonts w:ascii="Times New Roman" w:hAnsi="Times New Roman"/>
          <w:color w:val="000000"/>
          <w:szCs w:val="22"/>
        </w:rPr>
      </w:pPr>
    </w:p>
    <w:p w14:paraId="47CF001C"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Chaque comprimé pelliculé contient 400 mg d’imatinib (sous forme de mésilate).</w:t>
      </w:r>
    </w:p>
    <w:p w14:paraId="6B44038B" w14:textId="77777777" w:rsidR="007D642D" w:rsidRPr="00961E0F" w:rsidRDefault="007D642D">
      <w:pPr>
        <w:suppressAutoHyphens/>
        <w:rPr>
          <w:rFonts w:ascii="Times New Roman" w:hAnsi="Times New Roman"/>
          <w:color w:val="000000"/>
          <w:szCs w:val="22"/>
        </w:rPr>
      </w:pPr>
    </w:p>
    <w:p w14:paraId="2B48CF61" w14:textId="77777777" w:rsidR="007D642D" w:rsidRPr="00961E0F" w:rsidRDefault="007D642D">
      <w:pPr>
        <w:suppressAutoHyphens/>
        <w:rPr>
          <w:rFonts w:ascii="Times New Roman" w:hAnsi="Times New Roman"/>
          <w:color w:val="000000"/>
          <w:szCs w:val="22"/>
        </w:rPr>
      </w:pPr>
    </w:p>
    <w:p w14:paraId="234874A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 xml:space="preserve">LISTE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EXCIPIENTS</w:t>
      </w:r>
    </w:p>
    <w:p w14:paraId="2DB0489E" w14:textId="77777777" w:rsidR="007D642D" w:rsidRPr="00961E0F" w:rsidRDefault="007D642D">
      <w:pPr>
        <w:suppressAutoHyphens/>
        <w:rPr>
          <w:rFonts w:ascii="Times New Roman" w:hAnsi="Times New Roman"/>
          <w:color w:val="000000"/>
          <w:szCs w:val="22"/>
        </w:rPr>
      </w:pPr>
    </w:p>
    <w:p w14:paraId="5EDEAB57" w14:textId="77777777" w:rsidR="007D642D" w:rsidRPr="00961E0F" w:rsidRDefault="007D642D">
      <w:pPr>
        <w:suppressAutoHyphens/>
        <w:rPr>
          <w:rFonts w:ascii="Times New Roman" w:hAnsi="Times New Roman"/>
          <w:color w:val="000000"/>
          <w:szCs w:val="22"/>
        </w:rPr>
      </w:pPr>
    </w:p>
    <w:p w14:paraId="1F600F8F"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FORME PHARMACEUTIQUE ET CONTENU</w:t>
      </w:r>
    </w:p>
    <w:p w14:paraId="4341AA74" w14:textId="77777777" w:rsidR="007D642D" w:rsidRPr="00961E0F" w:rsidRDefault="007D642D">
      <w:pPr>
        <w:suppressAutoHyphens/>
        <w:rPr>
          <w:rFonts w:ascii="Times New Roman" w:hAnsi="Times New Roman"/>
          <w:color w:val="000000"/>
          <w:szCs w:val="22"/>
        </w:rPr>
      </w:pPr>
    </w:p>
    <w:p w14:paraId="4935053F"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10 comprimés pelliculés</w:t>
      </w:r>
    </w:p>
    <w:p w14:paraId="12172B50"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30 comprimés pelliculés</w:t>
      </w:r>
    </w:p>
    <w:p w14:paraId="1DE56558" w14:textId="77777777" w:rsidR="007D642D" w:rsidRPr="00961E0F" w:rsidRDefault="007D642D">
      <w:pPr>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90 comprimés pelliculés</w:t>
      </w:r>
    </w:p>
    <w:p w14:paraId="046DAD2D" w14:textId="77777777" w:rsidR="007D642D" w:rsidRPr="00961E0F" w:rsidRDefault="007D642D">
      <w:pPr>
        <w:suppressAutoHyphens/>
        <w:rPr>
          <w:rFonts w:ascii="Times New Roman" w:hAnsi="Times New Roman"/>
          <w:color w:val="000000"/>
          <w:szCs w:val="22"/>
        </w:rPr>
      </w:pPr>
    </w:p>
    <w:p w14:paraId="7E994068" w14:textId="77777777" w:rsidR="007D642D" w:rsidRPr="00961E0F" w:rsidRDefault="007D642D">
      <w:pPr>
        <w:suppressAutoHyphens/>
        <w:rPr>
          <w:rFonts w:ascii="Times New Roman" w:hAnsi="Times New Roman"/>
          <w:color w:val="000000"/>
          <w:szCs w:val="22"/>
        </w:rPr>
      </w:pPr>
    </w:p>
    <w:p w14:paraId="5848C44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MODE ET VOIE(S) D’ADMINISTRATION</w:t>
      </w:r>
    </w:p>
    <w:p w14:paraId="7A9F94D0" w14:textId="77777777" w:rsidR="007D642D" w:rsidRPr="00961E0F" w:rsidRDefault="007D642D">
      <w:pPr>
        <w:suppressAutoHyphens/>
        <w:rPr>
          <w:rFonts w:ascii="Times New Roman" w:hAnsi="Times New Roman"/>
          <w:color w:val="000000"/>
          <w:szCs w:val="22"/>
        </w:rPr>
      </w:pPr>
    </w:p>
    <w:p w14:paraId="571CDD68"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Voie orale. Lire la notice avant utilisation.</w:t>
      </w:r>
    </w:p>
    <w:p w14:paraId="0966C3B7" w14:textId="77777777" w:rsidR="007D642D" w:rsidRPr="00961E0F" w:rsidRDefault="007D642D">
      <w:pPr>
        <w:suppressAutoHyphens/>
        <w:rPr>
          <w:rFonts w:ascii="Times New Roman" w:hAnsi="Times New Roman"/>
          <w:color w:val="000000"/>
          <w:szCs w:val="22"/>
        </w:rPr>
      </w:pPr>
    </w:p>
    <w:p w14:paraId="466EEA4B" w14:textId="77777777" w:rsidR="007D642D" w:rsidRPr="00961E0F" w:rsidRDefault="007D642D">
      <w:pPr>
        <w:suppressAutoHyphens/>
        <w:rPr>
          <w:rFonts w:ascii="Times New Roman" w:hAnsi="Times New Roman"/>
          <w:color w:val="000000"/>
          <w:szCs w:val="22"/>
        </w:rPr>
      </w:pPr>
    </w:p>
    <w:p w14:paraId="281F1C8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MISE EN GARDE SP</w:t>
      </w:r>
      <w:r w:rsidR="00786985" w:rsidRPr="00961E0F">
        <w:rPr>
          <w:rFonts w:ascii="Times New Roman" w:hAnsi="Times New Roman"/>
          <w:b/>
          <w:color w:val="000000"/>
          <w:szCs w:val="22"/>
        </w:rPr>
        <w:t>É</w:t>
      </w:r>
      <w:r w:rsidRPr="00961E0F">
        <w:rPr>
          <w:rFonts w:ascii="Times New Roman" w:hAnsi="Times New Roman"/>
          <w:b/>
          <w:color w:val="000000"/>
          <w:szCs w:val="22"/>
        </w:rPr>
        <w:t>CIALE INDIQUANT QUE LE M</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DICAMENT DOIT </w:t>
      </w:r>
      <w:r w:rsidR="00786985" w:rsidRPr="00961E0F">
        <w:rPr>
          <w:rFonts w:ascii="Times New Roman" w:hAnsi="Times New Roman"/>
          <w:b/>
          <w:color w:val="000000"/>
          <w:szCs w:val="22"/>
        </w:rPr>
        <w:t>Ê</w:t>
      </w:r>
      <w:r w:rsidRPr="00961E0F">
        <w:rPr>
          <w:rFonts w:ascii="Times New Roman" w:hAnsi="Times New Roman"/>
          <w:b/>
          <w:color w:val="000000"/>
          <w:szCs w:val="22"/>
        </w:rPr>
        <w:t>TRE CONSERV</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 HORS DE PORT</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E ET DE VUE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ENFANTS</w:t>
      </w:r>
    </w:p>
    <w:p w14:paraId="4C966CB7" w14:textId="77777777" w:rsidR="007D642D" w:rsidRPr="00961E0F" w:rsidRDefault="007D642D">
      <w:pPr>
        <w:suppressAutoHyphens/>
        <w:rPr>
          <w:rFonts w:ascii="Times New Roman" w:hAnsi="Times New Roman"/>
          <w:color w:val="000000"/>
          <w:szCs w:val="22"/>
        </w:rPr>
      </w:pPr>
    </w:p>
    <w:p w14:paraId="41D5841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Tenir hors de la vue et de la portée des enfants.</w:t>
      </w:r>
    </w:p>
    <w:p w14:paraId="373A525C" w14:textId="77777777" w:rsidR="007D642D" w:rsidRPr="00961E0F" w:rsidRDefault="007D642D">
      <w:pPr>
        <w:suppressAutoHyphens/>
        <w:rPr>
          <w:rFonts w:ascii="Times New Roman" w:hAnsi="Times New Roman"/>
          <w:color w:val="000000"/>
          <w:szCs w:val="22"/>
        </w:rPr>
      </w:pPr>
    </w:p>
    <w:p w14:paraId="537656A2" w14:textId="77777777" w:rsidR="007D642D" w:rsidRPr="00961E0F" w:rsidRDefault="007D642D">
      <w:pPr>
        <w:suppressAutoHyphens/>
        <w:rPr>
          <w:rFonts w:ascii="Times New Roman" w:hAnsi="Times New Roman"/>
          <w:color w:val="000000"/>
          <w:szCs w:val="22"/>
        </w:rPr>
      </w:pPr>
    </w:p>
    <w:p w14:paraId="7DE65C11"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7.</w:t>
      </w:r>
      <w:r w:rsidRPr="00961E0F">
        <w:rPr>
          <w:rFonts w:ascii="Times New Roman" w:hAnsi="Times New Roman"/>
          <w:b/>
          <w:color w:val="000000"/>
          <w:szCs w:val="22"/>
        </w:rPr>
        <w:tab/>
        <w:t>AUTRE(S) MISE(S) EN GARDE SP</w:t>
      </w:r>
      <w:r w:rsidR="00786985" w:rsidRPr="00961E0F">
        <w:rPr>
          <w:rFonts w:ascii="Times New Roman" w:hAnsi="Times New Roman"/>
          <w:b/>
          <w:color w:val="000000"/>
          <w:szCs w:val="22"/>
        </w:rPr>
        <w:t>É</w:t>
      </w:r>
      <w:r w:rsidRPr="00961E0F">
        <w:rPr>
          <w:rFonts w:ascii="Times New Roman" w:hAnsi="Times New Roman"/>
          <w:b/>
          <w:color w:val="000000"/>
          <w:szCs w:val="22"/>
        </w:rPr>
        <w:t>CIALE(S), SI N</w:t>
      </w:r>
      <w:r w:rsidR="00786985" w:rsidRPr="00961E0F">
        <w:rPr>
          <w:rFonts w:ascii="Times New Roman" w:hAnsi="Times New Roman"/>
          <w:b/>
          <w:color w:val="000000"/>
          <w:szCs w:val="22"/>
        </w:rPr>
        <w:t>É</w:t>
      </w:r>
      <w:r w:rsidRPr="00961E0F">
        <w:rPr>
          <w:rFonts w:ascii="Times New Roman" w:hAnsi="Times New Roman"/>
          <w:b/>
          <w:color w:val="000000"/>
          <w:szCs w:val="22"/>
        </w:rPr>
        <w:t>CESSAIRE</w:t>
      </w:r>
    </w:p>
    <w:p w14:paraId="0966E281" w14:textId="77777777" w:rsidR="007D642D" w:rsidRPr="00961E0F" w:rsidRDefault="007D642D">
      <w:pPr>
        <w:suppressAutoHyphens/>
        <w:rPr>
          <w:rFonts w:ascii="Times New Roman" w:hAnsi="Times New Roman"/>
          <w:color w:val="000000"/>
          <w:szCs w:val="22"/>
        </w:rPr>
      </w:pPr>
    </w:p>
    <w:p w14:paraId="4B0C18BF"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A utiliser uniquement selon les instructions données par votre médecin.</w:t>
      </w:r>
    </w:p>
    <w:p w14:paraId="2A1E45D5" w14:textId="77777777" w:rsidR="007D642D" w:rsidRPr="00961E0F" w:rsidRDefault="007D642D">
      <w:pPr>
        <w:suppressAutoHyphens/>
        <w:rPr>
          <w:rFonts w:ascii="Times New Roman" w:hAnsi="Times New Roman"/>
          <w:color w:val="000000"/>
          <w:szCs w:val="22"/>
        </w:rPr>
      </w:pPr>
    </w:p>
    <w:p w14:paraId="6669CC2D" w14:textId="77777777" w:rsidR="007D642D" w:rsidRPr="00961E0F" w:rsidRDefault="007D642D">
      <w:pPr>
        <w:suppressAutoHyphens/>
        <w:rPr>
          <w:rFonts w:ascii="Times New Roman" w:hAnsi="Times New Roman"/>
          <w:color w:val="000000"/>
          <w:szCs w:val="22"/>
        </w:rPr>
      </w:pPr>
    </w:p>
    <w:p w14:paraId="03CAC55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8.</w:t>
      </w:r>
      <w:r w:rsidRPr="00961E0F">
        <w:rPr>
          <w:rFonts w:ascii="Times New Roman" w:hAnsi="Times New Roman"/>
          <w:b/>
          <w:color w:val="000000"/>
          <w:szCs w:val="22"/>
        </w:rPr>
        <w:tab/>
        <w:t>DATE DE P</w:t>
      </w:r>
      <w:r w:rsidR="00786985" w:rsidRPr="00961E0F">
        <w:rPr>
          <w:rFonts w:ascii="Times New Roman" w:hAnsi="Times New Roman"/>
          <w:b/>
          <w:color w:val="000000"/>
          <w:szCs w:val="22"/>
        </w:rPr>
        <w:t>É</w:t>
      </w:r>
      <w:r w:rsidRPr="00961E0F">
        <w:rPr>
          <w:rFonts w:ascii="Times New Roman" w:hAnsi="Times New Roman"/>
          <w:b/>
          <w:color w:val="000000"/>
          <w:szCs w:val="22"/>
        </w:rPr>
        <w:t>REMPTION</w:t>
      </w:r>
    </w:p>
    <w:p w14:paraId="1501A97F" w14:textId="77777777" w:rsidR="007D642D" w:rsidRPr="00961E0F" w:rsidRDefault="007D642D">
      <w:pPr>
        <w:suppressAutoHyphens/>
        <w:rPr>
          <w:rFonts w:ascii="Times New Roman" w:hAnsi="Times New Roman"/>
          <w:color w:val="000000"/>
          <w:szCs w:val="22"/>
        </w:rPr>
      </w:pPr>
    </w:p>
    <w:p w14:paraId="7BD02F85"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7CBBFEF8" w14:textId="77777777" w:rsidR="007D642D" w:rsidRPr="00961E0F" w:rsidRDefault="007D642D">
      <w:pPr>
        <w:suppressAutoHyphens/>
        <w:rPr>
          <w:rFonts w:ascii="Times New Roman" w:hAnsi="Times New Roman"/>
          <w:color w:val="000000"/>
          <w:szCs w:val="22"/>
        </w:rPr>
      </w:pPr>
    </w:p>
    <w:p w14:paraId="53316176" w14:textId="77777777" w:rsidR="007D642D" w:rsidRPr="00961E0F" w:rsidRDefault="007D642D">
      <w:pPr>
        <w:suppressAutoHyphens/>
        <w:rPr>
          <w:rFonts w:ascii="Times New Roman" w:hAnsi="Times New Roman"/>
          <w:color w:val="000000"/>
          <w:szCs w:val="22"/>
        </w:rPr>
      </w:pPr>
    </w:p>
    <w:p w14:paraId="2874BEF7"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9.</w:t>
      </w:r>
      <w:r w:rsidRPr="00961E0F">
        <w:rPr>
          <w:rFonts w:ascii="Times New Roman" w:hAnsi="Times New Roman"/>
          <w:b/>
          <w:color w:val="000000"/>
          <w:szCs w:val="22"/>
        </w:rPr>
        <w:tab/>
        <w:t>PR</w:t>
      </w:r>
      <w:r w:rsidR="00786985" w:rsidRPr="00961E0F">
        <w:rPr>
          <w:rFonts w:ascii="Times New Roman" w:hAnsi="Times New Roman"/>
          <w:b/>
          <w:color w:val="000000"/>
          <w:szCs w:val="22"/>
        </w:rPr>
        <w:t>É</w:t>
      </w:r>
      <w:r w:rsidRPr="00961E0F">
        <w:rPr>
          <w:rFonts w:ascii="Times New Roman" w:hAnsi="Times New Roman"/>
          <w:b/>
          <w:color w:val="000000"/>
          <w:szCs w:val="22"/>
        </w:rPr>
        <w:t>CAUTIONS PARTICULI</w:t>
      </w:r>
      <w:r w:rsidR="00786985" w:rsidRPr="00961E0F">
        <w:rPr>
          <w:rFonts w:ascii="Times New Roman" w:hAnsi="Times New Roman"/>
          <w:b/>
          <w:color w:val="000000"/>
          <w:szCs w:val="22"/>
        </w:rPr>
        <w:t>È</w:t>
      </w:r>
      <w:r w:rsidRPr="00961E0F">
        <w:rPr>
          <w:rFonts w:ascii="Times New Roman" w:hAnsi="Times New Roman"/>
          <w:b/>
          <w:color w:val="000000"/>
          <w:szCs w:val="22"/>
        </w:rPr>
        <w:t>RES DE CONSERVATION</w:t>
      </w:r>
    </w:p>
    <w:p w14:paraId="21CECE11" w14:textId="77777777" w:rsidR="007D642D" w:rsidRPr="00961E0F" w:rsidRDefault="007D642D">
      <w:pPr>
        <w:suppressAutoHyphens/>
        <w:rPr>
          <w:rFonts w:ascii="Times New Roman" w:hAnsi="Times New Roman"/>
          <w:color w:val="000000"/>
          <w:szCs w:val="22"/>
        </w:rPr>
      </w:pPr>
    </w:p>
    <w:p w14:paraId="15C42ED5"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A conserver à une température ne dépassant pas </w:t>
      </w:r>
      <w:smartTag w:uri="urn:schemas-microsoft-com:office:smarttags" w:element="metricconverter">
        <w:smartTagPr>
          <w:attr w:name="ProductID" w:val="30ﾰC"/>
        </w:smartTagPr>
        <w:r w:rsidRPr="00961E0F">
          <w:rPr>
            <w:rFonts w:ascii="Times New Roman" w:hAnsi="Times New Roman"/>
            <w:color w:val="000000"/>
            <w:szCs w:val="22"/>
          </w:rPr>
          <w:t>30°C</w:t>
        </w:r>
      </w:smartTag>
      <w:r w:rsidRPr="00961E0F">
        <w:rPr>
          <w:rFonts w:ascii="Times New Roman" w:hAnsi="Times New Roman"/>
          <w:color w:val="000000"/>
          <w:szCs w:val="22"/>
        </w:rPr>
        <w:t>. A conserver dans l’emballage extérieur d’origine à l’abri de l’humidité.</w:t>
      </w:r>
    </w:p>
    <w:p w14:paraId="22454DE3" w14:textId="77777777" w:rsidR="007D642D" w:rsidRPr="00961E0F" w:rsidRDefault="007D642D">
      <w:pPr>
        <w:suppressAutoHyphens/>
        <w:rPr>
          <w:rFonts w:ascii="Times New Roman" w:hAnsi="Times New Roman"/>
          <w:color w:val="000000"/>
          <w:szCs w:val="22"/>
        </w:rPr>
      </w:pPr>
    </w:p>
    <w:p w14:paraId="57C9D342" w14:textId="77777777" w:rsidR="007D642D" w:rsidRPr="00961E0F" w:rsidRDefault="007D642D">
      <w:pPr>
        <w:suppressAutoHyphens/>
        <w:rPr>
          <w:rFonts w:ascii="Times New Roman" w:hAnsi="Times New Roman"/>
          <w:color w:val="000000"/>
          <w:szCs w:val="22"/>
        </w:rPr>
      </w:pPr>
    </w:p>
    <w:p w14:paraId="74BA63FD"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lastRenderedPageBreak/>
        <w:t>10.</w:t>
      </w:r>
      <w:r w:rsidRPr="00961E0F">
        <w:rPr>
          <w:rFonts w:ascii="Times New Roman" w:hAnsi="Times New Roman"/>
          <w:b/>
          <w:color w:val="000000"/>
          <w:szCs w:val="22"/>
        </w:rPr>
        <w:tab/>
        <w:t>PR</w:t>
      </w:r>
      <w:r w:rsidR="00786985" w:rsidRPr="00961E0F">
        <w:rPr>
          <w:rFonts w:ascii="Times New Roman" w:hAnsi="Times New Roman"/>
          <w:b/>
          <w:color w:val="000000"/>
          <w:szCs w:val="22"/>
        </w:rPr>
        <w:t>É</w:t>
      </w:r>
      <w:r w:rsidRPr="00961E0F">
        <w:rPr>
          <w:rFonts w:ascii="Times New Roman" w:hAnsi="Times New Roman"/>
          <w:b/>
          <w:color w:val="000000"/>
          <w:szCs w:val="22"/>
        </w:rPr>
        <w:t>CAUTIONS PARTICULI</w:t>
      </w:r>
      <w:r w:rsidR="00786985" w:rsidRPr="00961E0F">
        <w:rPr>
          <w:rFonts w:ascii="Times New Roman" w:hAnsi="Times New Roman"/>
          <w:b/>
          <w:color w:val="000000"/>
          <w:szCs w:val="22"/>
        </w:rPr>
        <w:t>È</w:t>
      </w:r>
      <w:r w:rsidRPr="00961E0F">
        <w:rPr>
          <w:rFonts w:ascii="Times New Roman" w:hAnsi="Times New Roman"/>
          <w:b/>
          <w:color w:val="000000"/>
          <w:szCs w:val="22"/>
        </w:rPr>
        <w:t>RES D’</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LIMINATION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M</w:t>
      </w:r>
      <w:r w:rsidR="00786985" w:rsidRPr="00961E0F">
        <w:rPr>
          <w:rFonts w:ascii="Times New Roman" w:hAnsi="Times New Roman"/>
          <w:b/>
          <w:color w:val="000000"/>
          <w:szCs w:val="22"/>
        </w:rPr>
        <w:t>É</w:t>
      </w:r>
      <w:r w:rsidRPr="00961E0F">
        <w:rPr>
          <w:rFonts w:ascii="Times New Roman" w:hAnsi="Times New Roman"/>
          <w:b/>
          <w:color w:val="000000"/>
          <w:szCs w:val="22"/>
        </w:rPr>
        <w:t>DICAMENTS NON UTILIS</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S OU </w:t>
      </w:r>
      <w:smartTag w:uri="urn:schemas-microsoft-com:office:smarttags" w:element="stockticker">
        <w:r w:rsidRPr="00961E0F">
          <w:rPr>
            <w:rFonts w:ascii="Times New Roman" w:hAnsi="Times New Roman"/>
            <w:b/>
            <w:color w:val="000000"/>
            <w:szCs w:val="22"/>
          </w:rPr>
          <w:t>DES</w:t>
        </w:r>
      </w:smartTag>
      <w:r w:rsidRPr="00961E0F">
        <w:rPr>
          <w:rFonts w:ascii="Times New Roman" w:hAnsi="Times New Roman"/>
          <w:b/>
          <w:color w:val="000000"/>
          <w:szCs w:val="22"/>
        </w:rPr>
        <w:t xml:space="preserve"> D</w:t>
      </w:r>
      <w:r w:rsidR="00786985" w:rsidRPr="00961E0F">
        <w:rPr>
          <w:rFonts w:ascii="Times New Roman" w:hAnsi="Times New Roman"/>
          <w:b/>
          <w:color w:val="000000"/>
          <w:szCs w:val="22"/>
        </w:rPr>
        <w:t>É</w:t>
      </w:r>
      <w:r w:rsidRPr="00961E0F">
        <w:rPr>
          <w:rFonts w:ascii="Times New Roman" w:hAnsi="Times New Roman"/>
          <w:b/>
          <w:color w:val="000000"/>
          <w:szCs w:val="22"/>
        </w:rPr>
        <w:t>CHETS PROVENANT DE CES M</w:t>
      </w:r>
      <w:r w:rsidR="00786985" w:rsidRPr="00961E0F">
        <w:rPr>
          <w:rFonts w:ascii="Times New Roman" w:hAnsi="Times New Roman"/>
          <w:b/>
          <w:color w:val="000000"/>
          <w:szCs w:val="22"/>
        </w:rPr>
        <w:t>É</w:t>
      </w:r>
      <w:r w:rsidRPr="00961E0F">
        <w:rPr>
          <w:rFonts w:ascii="Times New Roman" w:hAnsi="Times New Roman"/>
          <w:b/>
          <w:color w:val="000000"/>
          <w:szCs w:val="22"/>
        </w:rPr>
        <w:t>DICAMENTS S’IL Y A LIEU</w:t>
      </w:r>
    </w:p>
    <w:p w14:paraId="2D9AD906" w14:textId="77777777" w:rsidR="007D642D" w:rsidRPr="00961E0F" w:rsidRDefault="007D642D">
      <w:pPr>
        <w:suppressAutoHyphens/>
        <w:rPr>
          <w:rFonts w:ascii="Times New Roman" w:hAnsi="Times New Roman"/>
          <w:color w:val="000000"/>
          <w:szCs w:val="22"/>
        </w:rPr>
      </w:pPr>
    </w:p>
    <w:p w14:paraId="28847540" w14:textId="77777777" w:rsidR="007D642D" w:rsidRPr="00961E0F" w:rsidRDefault="007D642D">
      <w:pPr>
        <w:suppressAutoHyphens/>
        <w:rPr>
          <w:rFonts w:ascii="Times New Roman" w:hAnsi="Times New Roman"/>
          <w:color w:val="000000"/>
          <w:szCs w:val="22"/>
        </w:rPr>
      </w:pPr>
    </w:p>
    <w:p w14:paraId="7C92E952"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11.</w:t>
      </w:r>
      <w:r w:rsidRPr="00961E0F">
        <w:rPr>
          <w:rFonts w:ascii="Times New Roman" w:hAnsi="Times New Roman"/>
          <w:b/>
          <w:color w:val="000000"/>
          <w:szCs w:val="22"/>
        </w:rPr>
        <w:tab/>
        <w:t xml:space="preserve">NOM ET ADRESSE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2B0DDD29" w14:textId="77777777" w:rsidR="007D642D" w:rsidRPr="00961E0F" w:rsidRDefault="007D642D">
      <w:pPr>
        <w:suppressAutoHyphens/>
        <w:rPr>
          <w:rFonts w:ascii="Times New Roman" w:hAnsi="Times New Roman"/>
          <w:color w:val="000000"/>
          <w:szCs w:val="22"/>
        </w:rPr>
      </w:pPr>
    </w:p>
    <w:p w14:paraId="4DEA36CD" w14:textId="77777777" w:rsidR="007D642D" w:rsidRPr="00961E0F" w:rsidRDefault="007D642D">
      <w:pPr>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2D452633" w14:textId="77777777" w:rsidR="00381A57" w:rsidRPr="00961E0F" w:rsidRDefault="00381A57" w:rsidP="00381A57">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50D73031" w14:textId="77777777" w:rsidR="00381A57" w:rsidRPr="00961E0F" w:rsidRDefault="00381A57" w:rsidP="00381A57">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6A60B472" w14:textId="77777777" w:rsidR="00381A57" w:rsidRPr="00961E0F" w:rsidRDefault="00381A57" w:rsidP="00381A57">
      <w:pPr>
        <w:keepNext/>
        <w:widowControl w:val="0"/>
        <w:rPr>
          <w:rFonts w:ascii="Times New Roman" w:hAnsi="Times New Roman"/>
          <w:color w:val="000000"/>
        </w:rPr>
      </w:pPr>
      <w:r w:rsidRPr="00961E0F">
        <w:rPr>
          <w:rFonts w:ascii="Times New Roman" w:hAnsi="Times New Roman"/>
          <w:color w:val="000000"/>
        </w:rPr>
        <w:t>Dublin 4</w:t>
      </w:r>
    </w:p>
    <w:p w14:paraId="1AF761CB" w14:textId="77777777" w:rsidR="007D642D" w:rsidRPr="00961E0F" w:rsidRDefault="00381A57">
      <w:pPr>
        <w:widowControl w:val="0"/>
        <w:rPr>
          <w:rFonts w:ascii="Times New Roman" w:hAnsi="Times New Roman"/>
          <w:color w:val="000000"/>
          <w:szCs w:val="22"/>
        </w:rPr>
      </w:pPr>
      <w:r w:rsidRPr="00961E0F">
        <w:rPr>
          <w:rFonts w:ascii="Times New Roman" w:hAnsi="Times New Roman"/>
        </w:rPr>
        <w:t>Irlande</w:t>
      </w:r>
    </w:p>
    <w:p w14:paraId="1F6F5D33" w14:textId="77777777" w:rsidR="007D642D" w:rsidRPr="00961E0F" w:rsidRDefault="007D642D">
      <w:pPr>
        <w:suppressAutoHyphens/>
        <w:rPr>
          <w:rFonts w:ascii="Times New Roman" w:hAnsi="Times New Roman"/>
          <w:color w:val="000000"/>
          <w:szCs w:val="22"/>
        </w:rPr>
      </w:pPr>
    </w:p>
    <w:p w14:paraId="0E5726B3" w14:textId="77777777" w:rsidR="007D642D" w:rsidRPr="00961E0F" w:rsidRDefault="007D642D">
      <w:pPr>
        <w:suppressAutoHyphens/>
        <w:rPr>
          <w:rFonts w:ascii="Times New Roman" w:hAnsi="Times New Roman"/>
          <w:color w:val="000000"/>
          <w:szCs w:val="22"/>
        </w:rPr>
      </w:pPr>
    </w:p>
    <w:p w14:paraId="40746B35"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12.</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 xml:space="preserve">RO(S) D’AUTORISATION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4D41A359" w14:textId="77777777" w:rsidR="007D642D" w:rsidRPr="00961E0F" w:rsidRDefault="007D642D">
      <w:pPr>
        <w:suppressAutoHyphens/>
        <w:rPr>
          <w:rFonts w:ascii="Times New Roman" w:hAnsi="Times New Roman"/>
          <w:color w:val="000000"/>
          <w:szCs w:val="22"/>
        </w:rPr>
      </w:pPr>
    </w:p>
    <w:p w14:paraId="6A247807"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rPr>
        <w:t>EU/1/01/198/009</w:t>
      </w:r>
      <w:r w:rsidRPr="00961E0F">
        <w:rPr>
          <w:rFonts w:ascii="Times New Roman" w:hAnsi="Times New Roman"/>
          <w:color w:val="000000"/>
          <w:szCs w:val="22"/>
        </w:rPr>
        <w:tab/>
      </w:r>
      <w:r w:rsidRPr="00961E0F">
        <w:rPr>
          <w:rFonts w:ascii="Times New Roman" w:hAnsi="Times New Roman"/>
          <w:color w:val="000000"/>
          <w:szCs w:val="22"/>
          <w:shd w:val="clear" w:color="auto" w:fill="D9D9D9"/>
        </w:rPr>
        <w:t>10 comprimés</w:t>
      </w:r>
    </w:p>
    <w:p w14:paraId="141D9790"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EU/1/01/198/010</w:t>
      </w:r>
      <w:r w:rsidRPr="00961E0F">
        <w:rPr>
          <w:rFonts w:ascii="Times New Roman" w:hAnsi="Times New Roman"/>
          <w:color w:val="000000"/>
          <w:szCs w:val="22"/>
          <w:shd w:val="clear" w:color="auto" w:fill="D9D9D9"/>
        </w:rPr>
        <w:tab/>
        <w:t>30 comprimés</w:t>
      </w:r>
    </w:p>
    <w:p w14:paraId="4E4C1BD2" w14:textId="77777777" w:rsidR="007D642D" w:rsidRPr="00961E0F" w:rsidRDefault="007D642D">
      <w:pPr>
        <w:tabs>
          <w:tab w:val="left" w:pos="2268"/>
        </w:tabs>
        <w:suppressAutoHyphens/>
        <w:rPr>
          <w:rFonts w:ascii="Times New Roman" w:hAnsi="Times New Roman"/>
          <w:color w:val="000000"/>
          <w:szCs w:val="22"/>
          <w:shd w:val="clear" w:color="auto" w:fill="D9D9D9"/>
        </w:rPr>
      </w:pPr>
      <w:r w:rsidRPr="00961E0F">
        <w:rPr>
          <w:rFonts w:ascii="Times New Roman" w:hAnsi="Times New Roman"/>
          <w:color w:val="000000"/>
          <w:szCs w:val="22"/>
          <w:shd w:val="clear" w:color="auto" w:fill="D9D9D9"/>
        </w:rPr>
        <w:t>EU/1/01/198/013</w:t>
      </w:r>
      <w:r w:rsidRPr="00961E0F">
        <w:rPr>
          <w:rFonts w:ascii="Times New Roman" w:hAnsi="Times New Roman"/>
          <w:color w:val="000000"/>
          <w:szCs w:val="22"/>
          <w:shd w:val="clear" w:color="auto" w:fill="D9D9D9"/>
        </w:rPr>
        <w:tab/>
        <w:t>90 comprimés</w:t>
      </w:r>
    </w:p>
    <w:p w14:paraId="58D41D15" w14:textId="77777777" w:rsidR="007D642D" w:rsidRPr="00961E0F" w:rsidRDefault="007D642D">
      <w:pPr>
        <w:widowControl w:val="0"/>
        <w:suppressAutoHyphens/>
        <w:ind w:left="567" w:hanging="567"/>
        <w:rPr>
          <w:rFonts w:ascii="Times New Roman" w:hAnsi="Times New Roman"/>
          <w:color w:val="000000"/>
          <w:szCs w:val="22"/>
        </w:rPr>
      </w:pPr>
    </w:p>
    <w:p w14:paraId="5C6C87A4" w14:textId="77777777" w:rsidR="007D642D" w:rsidRPr="00961E0F" w:rsidRDefault="007D642D">
      <w:pPr>
        <w:suppressAutoHyphens/>
        <w:rPr>
          <w:rFonts w:ascii="Times New Roman" w:hAnsi="Times New Roman"/>
          <w:color w:val="000000"/>
          <w:szCs w:val="22"/>
        </w:rPr>
      </w:pPr>
    </w:p>
    <w:p w14:paraId="4A9C96B0"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13.</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RO DU LOT</w:t>
      </w:r>
    </w:p>
    <w:p w14:paraId="744DBE4B" w14:textId="77777777" w:rsidR="007D642D" w:rsidRPr="00961E0F" w:rsidRDefault="007D642D">
      <w:pPr>
        <w:suppressAutoHyphens/>
        <w:rPr>
          <w:rFonts w:ascii="Times New Roman" w:hAnsi="Times New Roman"/>
          <w:color w:val="000000"/>
          <w:szCs w:val="22"/>
        </w:rPr>
      </w:pPr>
    </w:p>
    <w:p w14:paraId="658A33B6"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01EEBFB0" w14:textId="77777777" w:rsidR="007D642D" w:rsidRPr="00961E0F" w:rsidRDefault="007D642D">
      <w:pPr>
        <w:suppressAutoHyphens/>
        <w:rPr>
          <w:rFonts w:ascii="Times New Roman" w:hAnsi="Times New Roman"/>
          <w:color w:val="000000"/>
          <w:szCs w:val="22"/>
        </w:rPr>
      </w:pPr>
    </w:p>
    <w:p w14:paraId="3F3C6C00" w14:textId="77777777" w:rsidR="007D642D" w:rsidRPr="00961E0F" w:rsidRDefault="007D642D">
      <w:pPr>
        <w:suppressAutoHyphens/>
        <w:rPr>
          <w:rFonts w:ascii="Times New Roman" w:hAnsi="Times New Roman"/>
          <w:color w:val="000000"/>
          <w:szCs w:val="22"/>
        </w:rPr>
      </w:pPr>
    </w:p>
    <w:p w14:paraId="0C080429"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14.</w:t>
      </w:r>
      <w:r w:rsidRPr="00961E0F">
        <w:rPr>
          <w:rFonts w:ascii="Times New Roman" w:hAnsi="Times New Roman"/>
          <w:b/>
          <w:color w:val="000000"/>
          <w:szCs w:val="22"/>
        </w:rPr>
        <w:tab/>
        <w:t>CONDITIONS DE PRESCRIPTION ET DE D</w:t>
      </w:r>
      <w:r w:rsidR="00786985" w:rsidRPr="00961E0F">
        <w:rPr>
          <w:rFonts w:ascii="Times New Roman" w:hAnsi="Times New Roman"/>
          <w:b/>
          <w:color w:val="000000"/>
          <w:szCs w:val="22"/>
        </w:rPr>
        <w:t>É</w:t>
      </w:r>
      <w:r w:rsidRPr="00961E0F">
        <w:rPr>
          <w:rFonts w:ascii="Times New Roman" w:hAnsi="Times New Roman"/>
          <w:b/>
          <w:color w:val="000000"/>
          <w:szCs w:val="22"/>
        </w:rPr>
        <w:t>LIVRANCE</w:t>
      </w:r>
    </w:p>
    <w:p w14:paraId="2A94604E" w14:textId="77777777" w:rsidR="007D642D" w:rsidRPr="00961E0F" w:rsidRDefault="007D642D">
      <w:pPr>
        <w:widowControl w:val="0"/>
        <w:rPr>
          <w:rFonts w:ascii="Times New Roman" w:hAnsi="Times New Roman"/>
          <w:color w:val="000000"/>
          <w:szCs w:val="22"/>
        </w:rPr>
      </w:pPr>
    </w:p>
    <w:p w14:paraId="193F47C9" w14:textId="77777777" w:rsidR="007D642D" w:rsidRPr="00961E0F" w:rsidRDefault="007D642D">
      <w:pPr>
        <w:suppressAutoHyphens/>
        <w:rPr>
          <w:rFonts w:ascii="Times New Roman" w:hAnsi="Times New Roman"/>
          <w:color w:val="000000"/>
          <w:szCs w:val="22"/>
        </w:rPr>
      </w:pPr>
    </w:p>
    <w:p w14:paraId="2BB1AD62"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15.</w:t>
      </w:r>
      <w:r w:rsidRPr="00961E0F">
        <w:rPr>
          <w:rFonts w:ascii="Times New Roman" w:hAnsi="Times New Roman"/>
          <w:b/>
          <w:color w:val="000000"/>
          <w:szCs w:val="22"/>
        </w:rPr>
        <w:tab/>
        <w:t>INDICATIONS D’UTILISATION</w:t>
      </w:r>
    </w:p>
    <w:p w14:paraId="5A554764" w14:textId="77777777" w:rsidR="007D642D" w:rsidRPr="00961E0F" w:rsidRDefault="007D642D">
      <w:pPr>
        <w:suppressAutoHyphens/>
        <w:rPr>
          <w:rFonts w:ascii="Times New Roman" w:hAnsi="Times New Roman"/>
          <w:color w:val="000000"/>
          <w:szCs w:val="22"/>
        </w:rPr>
      </w:pPr>
    </w:p>
    <w:p w14:paraId="14A0A96A" w14:textId="77777777" w:rsidR="007D642D" w:rsidRPr="00961E0F" w:rsidRDefault="007D642D">
      <w:pPr>
        <w:suppressAutoHyphens/>
        <w:rPr>
          <w:rFonts w:ascii="Times New Roman" w:hAnsi="Times New Roman"/>
          <w:color w:val="000000"/>
          <w:szCs w:val="22"/>
        </w:rPr>
      </w:pPr>
    </w:p>
    <w:p w14:paraId="728FF210"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16.</w:t>
      </w:r>
      <w:r w:rsidRPr="00961E0F">
        <w:rPr>
          <w:rFonts w:ascii="Times New Roman" w:hAnsi="Times New Roman"/>
          <w:b/>
          <w:color w:val="000000"/>
          <w:szCs w:val="22"/>
        </w:rPr>
        <w:tab/>
        <w:t>INFORMATIONS EN BRAILLE</w:t>
      </w:r>
    </w:p>
    <w:p w14:paraId="1746569C" w14:textId="77777777" w:rsidR="007D642D" w:rsidRPr="00961E0F" w:rsidRDefault="007D642D">
      <w:pPr>
        <w:suppressAutoHyphens/>
        <w:rPr>
          <w:rFonts w:ascii="Times New Roman" w:hAnsi="Times New Roman"/>
          <w:color w:val="000000"/>
          <w:szCs w:val="22"/>
        </w:rPr>
      </w:pPr>
    </w:p>
    <w:p w14:paraId="00756FD3"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t>Glivec 400 mg</w:t>
      </w:r>
    </w:p>
    <w:p w14:paraId="344F9A44" w14:textId="77777777" w:rsidR="007A3155" w:rsidRPr="00961E0F" w:rsidRDefault="007A3155">
      <w:pPr>
        <w:suppressAutoHyphens/>
        <w:rPr>
          <w:rFonts w:ascii="Times New Roman" w:hAnsi="Times New Roman"/>
          <w:color w:val="000000"/>
          <w:szCs w:val="22"/>
        </w:rPr>
      </w:pPr>
    </w:p>
    <w:p w14:paraId="6CDDE769" w14:textId="77777777" w:rsidR="007A3155" w:rsidRPr="00961E0F" w:rsidRDefault="007A3155">
      <w:pPr>
        <w:suppressAutoHyphens/>
        <w:rPr>
          <w:rFonts w:ascii="Times New Roman" w:hAnsi="Times New Roman"/>
          <w:color w:val="000000"/>
          <w:szCs w:val="22"/>
        </w:rPr>
      </w:pPr>
    </w:p>
    <w:p w14:paraId="1803A224" w14:textId="77777777" w:rsidR="007A3155" w:rsidRPr="00961E0F" w:rsidRDefault="007A3155" w:rsidP="007A3155">
      <w:pPr>
        <w:widowControl w:val="0"/>
        <w:pBdr>
          <w:top w:val="single" w:sz="4" w:space="1" w:color="auto"/>
          <w:left w:val="single" w:sz="4" w:space="4" w:color="auto"/>
          <w:bottom w:val="single" w:sz="4" w:space="1" w:color="auto"/>
          <w:right w:val="single" w:sz="4" w:space="4" w:color="auto"/>
        </w:pBdr>
        <w:outlineLvl w:val="0"/>
        <w:rPr>
          <w:rFonts w:ascii="Times New Roman" w:hAnsi="Times New Roman"/>
          <w:i/>
          <w:noProof/>
        </w:rPr>
      </w:pPr>
      <w:r w:rsidRPr="00961E0F">
        <w:rPr>
          <w:rFonts w:ascii="Times New Roman" w:hAnsi="Times New Roman"/>
          <w:b/>
          <w:noProof/>
        </w:rPr>
        <w:t>17.</w:t>
      </w:r>
      <w:r w:rsidRPr="00961E0F">
        <w:rPr>
          <w:rFonts w:ascii="Times New Roman" w:hAnsi="Times New Roman"/>
          <w:b/>
          <w:noProof/>
        </w:rPr>
        <w:tab/>
        <w:t>IDENTIFIANT UNIQUE - CODE-BARRES 2D</w:t>
      </w:r>
    </w:p>
    <w:p w14:paraId="5E700C07" w14:textId="77777777" w:rsidR="007A3155" w:rsidRPr="00961E0F" w:rsidRDefault="007A3155" w:rsidP="007A3155">
      <w:pPr>
        <w:widowControl w:val="0"/>
        <w:rPr>
          <w:rFonts w:ascii="Times New Roman" w:hAnsi="Times New Roman"/>
          <w:shd w:val="pct15" w:color="auto" w:fill="auto"/>
        </w:rPr>
      </w:pPr>
    </w:p>
    <w:p w14:paraId="0B8A574A" w14:textId="77777777" w:rsidR="007A3155" w:rsidRPr="00961E0F" w:rsidRDefault="007A3155" w:rsidP="007A3155">
      <w:pPr>
        <w:widowControl w:val="0"/>
        <w:rPr>
          <w:rFonts w:ascii="Times New Roman" w:hAnsi="Times New Roman"/>
          <w:shd w:val="pct15" w:color="auto" w:fill="auto"/>
        </w:rPr>
      </w:pPr>
      <w:r w:rsidRPr="00961E0F">
        <w:rPr>
          <w:rFonts w:ascii="Times New Roman" w:hAnsi="Times New Roman"/>
          <w:shd w:val="pct15" w:color="auto" w:fill="auto"/>
        </w:rPr>
        <w:t>Code-barres 2D portant l'identifiant unique inclus.</w:t>
      </w:r>
    </w:p>
    <w:p w14:paraId="55437731" w14:textId="77777777" w:rsidR="007A3155" w:rsidRPr="00961E0F" w:rsidRDefault="007A3155" w:rsidP="007A3155">
      <w:pPr>
        <w:widowControl w:val="0"/>
        <w:rPr>
          <w:rFonts w:ascii="Times New Roman" w:hAnsi="Times New Roman"/>
          <w:noProof/>
        </w:rPr>
      </w:pPr>
    </w:p>
    <w:p w14:paraId="18406D51" w14:textId="77777777" w:rsidR="007A3155" w:rsidRPr="00961E0F" w:rsidRDefault="007A3155" w:rsidP="007A3155">
      <w:pPr>
        <w:widowControl w:val="0"/>
        <w:rPr>
          <w:rFonts w:ascii="Times New Roman" w:hAnsi="Times New Roman"/>
          <w:noProof/>
        </w:rPr>
      </w:pPr>
    </w:p>
    <w:p w14:paraId="7AAE8015" w14:textId="77777777" w:rsidR="007A3155" w:rsidRPr="00961E0F" w:rsidRDefault="007A3155" w:rsidP="007A3155">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i/>
          <w:noProof/>
        </w:rPr>
      </w:pPr>
      <w:r w:rsidRPr="00961E0F">
        <w:rPr>
          <w:rFonts w:ascii="Times New Roman" w:hAnsi="Times New Roman"/>
          <w:b/>
          <w:noProof/>
        </w:rPr>
        <w:t>18.</w:t>
      </w:r>
      <w:r w:rsidRPr="00961E0F">
        <w:rPr>
          <w:rFonts w:ascii="Times New Roman" w:hAnsi="Times New Roman"/>
          <w:b/>
          <w:noProof/>
        </w:rPr>
        <w:tab/>
        <w:t>IDENTIFIANT UNIQUE - DONNÉES LISIBLES PAR LES HUMAINS</w:t>
      </w:r>
    </w:p>
    <w:p w14:paraId="1374A6A9" w14:textId="77777777" w:rsidR="007A3155" w:rsidRPr="00961E0F" w:rsidRDefault="007A3155" w:rsidP="007A3155">
      <w:pPr>
        <w:widowControl w:val="0"/>
        <w:rPr>
          <w:rFonts w:ascii="Times New Roman" w:hAnsi="Times New Roman"/>
          <w:noProof/>
        </w:rPr>
      </w:pPr>
    </w:p>
    <w:p w14:paraId="7D2A4CC6" w14:textId="77777777" w:rsidR="007A3155" w:rsidRPr="00C67CDE" w:rsidRDefault="007A3155" w:rsidP="007A3155">
      <w:pPr>
        <w:widowControl w:val="0"/>
        <w:rPr>
          <w:rFonts w:ascii="Times New Roman" w:hAnsi="Times New Roman"/>
          <w:color w:val="000000" w:themeColor="text1"/>
        </w:rPr>
      </w:pPr>
      <w:r w:rsidRPr="00C67CDE">
        <w:rPr>
          <w:rFonts w:ascii="Times New Roman" w:hAnsi="Times New Roman"/>
          <w:color w:val="000000" w:themeColor="text1"/>
        </w:rPr>
        <w:t>PC:</w:t>
      </w:r>
    </w:p>
    <w:p w14:paraId="5AD04EA6" w14:textId="77777777" w:rsidR="007A3155" w:rsidRPr="00961E0F" w:rsidRDefault="007A3155" w:rsidP="007A3155">
      <w:pPr>
        <w:widowControl w:val="0"/>
        <w:rPr>
          <w:rFonts w:ascii="Times New Roman" w:hAnsi="Times New Roman"/>
          <w:szCs w:val="22"/>
        </w:rPr>
      </w:pPr>
      <w:r w:rsidRPr="00961E0F">
        <w:rPr>
          <w:rFonts w:ascii="Times New Roman" w:hAnsi="Times New Roman"/>
        </w:rPr>
        <w:t>SN:</w:t>
      </w:r>
    </w:p>
    <w:p w14:paraId="046626ED" w14:textId="77777777" w:rsidR="007A3155" w:rsidRPr="00961E0F" w:rsidRDefault="007A3155" w:rsidP="007A3155">
      <w:pPr>
        <w:widowControl w:val="0"/>
        <w:rPr>
          <w:rFonts w:ascii="Times New Roman" w:hAnsi="Times New Roman"/>
          <w:shd w:val="pct15" w:color="auto" w:fill="auto"/>
        </w:rPr>
      </w:pPr>
      <w:r w:rsidRPr="00961E0F">
        <w:rPr>
          <w:rFonts w:ascii="Times New Roman" w:hAnsi="Times New Roman"/>
        </w:rPr>
        <w:t>NN:</w:t>
      </w:r>
    </w:p>
    <w:p w14:paraId="5DF005CC" w14:textId="77777777" w:rsidR="007D642D" w:rsidRPr="00961E0F" w:rsidRDefault="007D642D">
      <w:pPr>
        <w:suppressAutoHyphens/>
        <w:rPr>
          <w:rFonts w:ascii="Times New Roman" w:hAnsi="Times New Roman"/>
          <w:color w:val="000000"/>
          <w:szCs w:val="22"/>
        </w:rPr>
      </w:pPr>
      <w:r w:rsidRPr="00961E0F">
        <w:rPr>
          <w:rFonts w:ascii="Times New Roman" w:hAnsi="Times New Roman"/>
          <w:color w:val="000000"/>
          <w:szCs w:val="22"/>
        </w:rPr>
        <w:br w:type="page"/>
      </w:r>
    </w:p>
    <w:p w14:paraId="5C1B49AF" w14:textId="77777777" w:rsidR="00C67CDE" w:rsidRPr="00C67CDE" w:rsidRDefault="00C67CDE" w:rsidP="00C67CDE">
      <w:pPr>
        <w:suppressAutoHyphens/>
        <w:rPr>
          <w:rFonts w:ascii="Times New Roman" w:hAnsi="Times New Roman"/>
          <w:color w:val="000000"/>
          <w:szCs w:val="22"/>
        </w:rPr>
      </w:pPr>
    </w:p>
    <w:p w14:paraId="1DE6B1F7"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 xml:space="preserve">MENTIONS MINIMALES DEVANT FIGURER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LES PLAQUETTES THERMOFORM</w:t>
      </w:r>
      <w:r w:rsidR="00786985" w:rsidRPr="00961E0F">
        <w:rPr>
          <w:rFonts w:ascii="Times New Roman" w:hAnsi="Times New Roman"/>
          <w:b/>
          <w:color w:val="000000"/>
          <w:szCs w:val="22"/>
        </w:rPr>
        <w:t>É</w:t>
      </w:r>
      <w:r w:rsidRPr="00961E0F">
        <w:rPr>
          <w:rFonts w:ascii="Times New Roman" w:hAnsi="Times New Roman"/>
          <w:b/>
          <w:color w:val="000000"/>
          <w:szCs w:val="22"/>
        </w:rPr>
        <w:t>ES OU LES FILMS THERMOSOUD</w:t>
      </w:r>
      <w:r w:rsidR="00786985" w:rsidRPr="00961E0F">
        <w:rPr>
          <w:rFonts w:ascii="Times New Roman" w:hAnsi="Times New Roman"/>
          <w:b/>
          <w:color w:val="000000"/>
          <w:szCs w:val="22"/>
        </w:rPr>
        <w:t>É</w:t>
      </w:r>
      <w:r w:rsidRPr="00961E0F">
        <w:rPr>
          <w:rFonts w:ascii="Times New Roman" w:hAnsi="Times New Roman"/>
          <w:b/>
          <w:color w:val="000000"/>
          <w:szCs w:val="22"/>
        </w:rPr>
        <w:t>S</w:t>
      </w:r>
    </w:p>
    <w:p w14:paraId="36462015"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color w:val="000000"/>
          <w:szCs w:val="22"/>
        </w:rPr>
      </w:pPr>
    </w:p>
    <w:p w14:paraId="3B4986D1" w14:textId="77777777" w:rsidR="007D642D" w:rsidRPr="00961E0F" w:rsidRDefault="007D642D">
      <w:pPr>
        <w:pBdr>
          <w:top w:val="single" w:sz="4" w:space="1" w:color="auto"/>
          <w:left w:val="single" w:sz="4" w:space="4" w:color="auto"/>
          <w:bottom w:val="single" w:sz="4" w:space="1" w:color="auto"/>
          <w:right w:val="single" w:sz="4" w:space="4" w:color="auto"/>
        </w:pBdr>
        <w:suppressAutoHyphens/>
        <w:rPr>
          <w:rFonts w:ascii="Times New Roman" w:hAnsi="Times New Roman"/>
          <w:b/>
          <w:color w:val="000000"/>
          <w:szCs w:val="22"/>
        </w:rPr>
      </w:pPr>
      <w:r w:rsidRPr="00961E0F">
        <w:rPr>
          <w:rFonts w:ascii="Times New Roman" w:hAnsi="Times New Roman"/>
          <w:b/>
          <w:color w:val="000000"/>
          <w:szCs w:val="22"/>
        </w:rPr>
        <w:t>PLAQUETTES THERMOFORM</w:t>
      </w:r>
      <w:r w:rsidR="00786985" w:rsidRPr="00961E0F">
        <w:rPr>
          <w:rFonts w:ascii="Times New Roman" w:hAnsi="Times New Roman"/>
          <w:b/>
          <w:color w:val="000000"/>
          <w:szCs w:val="22"/>
        </w:rPr>
        <w:t>É</w:t>
      </w:r>
      <w:r w:rsidRPr="00961E0F">
        <w:rPr>
          <w:rFonts w:ascii="Times New Roman" w:hAnsi="Times New Roman"/>
          <w:b/>
          <w:color w:val="000000"/>
          <w:szCs w:val="22"/>
        </w:rPr>
        <w:t>ES</w:t>
      </w:r>
    </w:p>
    <w:p w14:paraId="0EC5DAD1" w14:textId="77777777" w:rsidR="007D642D" w:rsidRPr="00961E0F" w:rsidRDefault="007D642D">
      <w:pPr>
        <w:suppressAutoHyphens/>
        <w:rPr>
          <w:rFonts w:ascii="Times New Roman" w:hAnsi="Times New Roman"/>
          <w:color w:val="000000"/>
          <w:szCs w:val="22"/>
        </w:rPr>
      </w:pPr>
    </w:p>
    <w:p w14:paraId="57684410" w14:textId="77777777" w:rsidR="007D642D" w:rsidRPr="00961E0F" w:rsidRDefault="007D642D">
      <w:pPr>
        <w:suppressAutoHyphens/>
        <w:rPr>
          <w:rFonts w:ascii="Times New Roman" w:hAnsi="Times New Roman"/>
          <w:color w:val="000000"/>
          <w:szCs w:val="22"/>
        </w:rPr>
      </w:pPr>
    </w:p>
    <w:p w14:paraId="5608063C"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1.</w:t>
      </w:r>
      <w:r w:rsidRPr="00961E0F">
        <w:rPr>
          <w:rFonts w:ascii="Times New Roman" w:hAnsi="Times New Roman"/>
          <w:b/>
          <w:color w:val="000000"/>
          <w:szCs w:val="22"/>
        </w:rPr>
        <w:tab/>
        <w:t>D</w:t>
      </w:r>
      <w:r w:rsidR="00786985" w:rsidRPr="00961E0F">
        <w:rPr>
          <w:rFonts w:ascii="Times New Roman" w:hAnsi="Times New Roman"/>
          <w:b/>
          <w:color w:val="000000"/>
          <w:szCs w:val="22"/>
        </w:rPr>
        <w:t>É</w:t>
      </w:r>
      <w:r w:rsidRPr="00961E0F">
        <w:rPr>
          <w:rFonts w:ascii="Times New Roman" w:hAnsi="Times New Roman"/>
          <w:b/>
          <w:color w:val="000000"/>
          <w:szCs w:val="22"/>
        </w:rPr>
        <w:t>NOMINATION DU M</w:t>
      </w:r>
      <w:r w:rsidR="00786985" w:rsidRPr="00961E0F">
        <w:rPr>
          <w:rFonts w:ascii="Times New Roman" w:hAnsi="Times New Roman"/>
          <w:b/>
          <w:color w:val="000000"/>
          <w:szCs w:val="22"/>
        </w:rPr>
        <w:t>É</w:t>
      </w:r>
      <w:r w:rsidRPr="00961E0F">
        <w:rPr>
          <w:rFonts w:ascii="Times New Roman" w:hAnsi="Times New Roman"/>
          <w:b/>
          <w:color w:val="000000"/>
          <w:szCs w:val="22"/>
        </w:rPr>
        <w:t>DICAMENT</w:t>
      </w:r>
    </w:p>
    <w:p w14:paraId="0CE3FF45" w14:textId="77777777" w:rsidR="007D642D" w:rsidRPr="00961E0F" w:rsidRDefault="007D642D">
      <w:pPr>
        <w:suppressAutoHyphens/>
        <w:rPr>
          <w:rFonts w:ascii="Times New Roman" w:hAnsi="Times New Roman"/>
          <w:color w:val="000000"/>
          <w:szCs w:val="22"/>
        </w:rPr>
      </w:pPr>
    </w:p>
    <w:p w14:paraId="21C4BAE2"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400 mg comprimés</w:t>
      </w:r>
    </w:p>
    <w:p w14:paraId="13422827" w14:textId="77777777" w:rsidR="007D642D" w:rsidRPr="00961E0F" w:rsidRDefault="00D535F2">
      <w:pPr>
        <w:widowControl w:val="0"/>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6C0B0E8C" w14:textId="77777777" w:rsidR="007D642D" w:rsidRPr="00961E0F" w:rsidRDefault="007D642D">
      <w:pPr>
        <w:widowControl w:val="0"/>
        <w:rPr>
          <w:rFonts w:ascii="Times New Roman" w:hAnsi="Times New Roman"/>
          <w:color w:val="000000"/>
          <w:szCs w:val="22"/>
        </w:rPr>
      </w:pPr>
    </w:p>
    <w:p w14:paraId="7F39FB67" w14:textId="77777777" w:rsidR="007D642D" w:rsidRPr="00961E0F" w:rsidRDefault="007D642D">
      <w:pPr>
        <w:suppressAutoHyphens/>
        <w:rPr>
          <w:rFonts w:ascii="Times New Roman" w:hAnsi="Times New Roman"/>
          <w:color w:val="000000"/>
          <w:szCs w:val="22"/>
        </w:rPr>
      </w:pPr>
    </w:p>
    <w:p w14:paraId="6E6EAA02" w14:textId="77777777" w:rsidR="007D642D" w:rsidRPr="00961E0F" w:rsidRDefault="007D642D">
      <w:pPr>
        <w:pBdr>
          <w:top w:val="single" w:sz="4" w:space="1" w:color="auto"/>
          <w:left w:val="single" w:sz="4" w:space="4" w:color="auto"/>
          <w:bottom w:val="single" w:sz="4" w:space="1" w:color="auto"/>
          <w:right w:val="single" w:sz="4" w:space="4" w:color="auto"/>
        </w:pBdr>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 xml:space="preserve">NOM DU TITULAIRE DE L’AUTORISATION DE MISE </w:t>
      </w:r>
      <w:smartTag w:uri="urn:schemas-microsoft-com:office:smarttags" w:element="stockticker">
        <w:r w:rsidRPr="00961E0F">
          <w:rPr>
            <w:rFonts w:ascii="Times New Roman" w:hAnsi="Times New Roman"/>
            <w:b/>
            <w:color w:val="000000"/>
            <w:szCs w:val="22"/>
          </w:rPr>
          <w:t>SUR</w:t>
        </w:r>
      </w:smartTag>
      <w:r w:rsidRPr="00961E0F">
        <w:rPr>
          <w:rFonts w:ascii="Times New Roman" w:hAnsi="Times New Roman"/>
          <w:b/>
          <w:color w:val="000000"/>
          <w:szCs w:val="22"/>
        </w:rPr>
        <w:t xml:space="preserve"> LE MARCH</w:t>
      </w:r>
      <w:r w:rsidR="00786985" w:rsidRPr="00961E0F">
        <w:rPr>
          <w:rFonts w:ascii="Times New Roman" w:hAnsi="Times New Roman"/>
          <w:b/>
          <w:color w:val="000000"/>
          <w:szCs w:val="22"/>
        </w:rPr>
        <w:t>É</w:t>
      </w:r>
    </w:p>
    <w:p w14:paraId="267CF7DA" w14:textId="77777777" w:rsidR="007D642D" w:rsidRPr="00961E0F" w:rsidRDefault="007D642D">
      <w:pPr>
        <w:suppressAutoHyphens/>
        <w:rPr>
          <w:rFonts w:ascii="Times New Roman" w:hAnsi="Times New Roman"/>
          <w:color w:val="000000"/>
          <w:szCs w:val="22"/>
        </w:rPr>
      </w:pPr>
    </w:p>
    <w:p w14:paraId="233D3A0B"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Novartis Europharm Limited</w:t>
      </w:r>
    </w:p>
    <w:p w14:paraId="7EE87549" w14:textId="77777777" w:rsidR="007D642D" w:rsidRPr="00961E0F" w:rsidRDefault="007D642D">
      <w:pPr>
        <w:widowControl w:val="0"/>
        <w:rPr>
          <w:rFonts w:ascii="Times New Roman" w:hAnsi="Times New Roman"/>
          <w:color w:val="000000"/>
          <w:szCs w:val="22"/>
        </w:rPr>
      </w:pPr>
    </w:p>
    <w:p w14:paraId="36E861B0" w14:textId="77777777" w:rsidR="007D642D" w:rsidRPr="00961E0F" w:rsidRDefault="007D642D">
      <w:pPr>
        <w:widowControl w:val="0"/>
        <w:rPr>
          <w:rFonts w:ascii="Times New Roman" w:hAnsi="Times New Roman"/>
          <w:color w:val="000000"/>
          <w:szCs w:val="22"/>
        </w:rPr>
      </w:pPr>
    </w:p>
    <w:p w14:paraId="0BF873A2"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DATE DE P</w:t>
      </w:r>
      <w:r w:rsidR="00786985" w:rsidRPr="00961E0F">
        <w:rPr>
          <w:rFonts w:ascii="Times New Roman" w:hAnsi="Times New Roman"/>
          <w:b/>
          <w:color w:val="000000"/>
          <w:szCs w:val="22"/>
        </w:rPr>
        <w:t>É</w:t>
      </w:r>
      <w:r w:rsidRPr="00961E0F">
        <w:rPr>
          <w:rFonts w:ascii="Times New Roman" w:hAnsi="Times New Roman"/>
          <w:b/>
          <w:color w:val="000000"/>
          <w:szCs w:val="22"/>
        </w:rPr>
        <w:t>REMPTION</w:t>
      </w:r>
    </w:p>
    <w:p w14:paraId="5578C765" w14:textId="77777777" w:rsidR="007D642D" w:rsidRPr="00961E0F" w:rsidRDefault="007D642D">
      <w:pPr>
        <w:widowControl w:val="0"/>
        <w:rPr>
          <w:rFonts w:ascii="Times New Roman" w:hAnsi="Times New Roman"/>
          <w:color w:val="000000"/>
          <w:szCs w:val="22"/>
        </w:rPr>
      </w:pPr>
    </w:p>
    <w:p w14:paraId="15865AB7"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EXP</w:t>
      </w:r>
    </w:p>
    <w:p w14:paraId="5E52DCF8" w14:textId="77777777" w:rsidR="007D642D" w:rsidRPr="00961E0F" w:rsidRDefault="007D642D">
      <w:pPr>
        <w:widowControl w:val="0"/>
        <w:rPr>
          <w:rFonts w:ascii="Times New Roman" w:hAnsi="Times New Roman"/>
          <w:color w:val="000000"/>
          <w:szCs w:val="22"/>
        </w:rPr>
      </w:pPr>
    </w:p>
    <w:p w14:paraId="2BF402AB" w14:textId="77777777" w:rsidR="007D642D" w:rsidRPr="00961E0F" w:rsidRDefault="007D642D">
      <w:pPr>
        <w:widowControl w:val="0"/>
        <w:rPr>
          <w:rFonts w:ascii="Times New Roman" w:hAnsi="Times New Roman"/>
          <w:color w:val="000000"/>
          <w:szCs w:val="22"/>
        </w:rPr>
      </w:pPr>
    </w:p>
    <w:p w14:paraId="4B17152A"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NUM</w:t>
      </w:r>
      <w:r w:rsidR="00786985" w:rsidRPr="00961E0F">
        <w:rPr>
          <w:rFonts w:ascii="Times New Roman" w:hAnsi="Times New Roman"/>
          <w:b/>
          <w:color w:val="000000"/>
          <w:szCs w:val="22"/>
        </w:rPr>
        <w:t>É</w:t>
      </w:r>
      <w:r w:rsidRPr="00961E0F">
        <w:rPr>
          <w:rFonts w:ascii="Times New Roman" w:hAnsi="Times New Roman"/>
          <w:b/>
          <w:color w:val="000000"/>
          <w:szCs w:val="22"/>
        </w:rPr>
        <w:t>RO DU LOT</w:t>
      </w:r>
    </w:p>
    <w:p w14:paraId="4F93CB31" w14:textId="77777777" w:rsidR="007D642D" w:rsidRPr="00961E0F" w:rsidRDefault="007D642D">
      <w:pPr>
        <w:widowControl w:val="0"/>
        <w:rPr>
          <w:rFonts w:ascii="Times New Roman" w:hAnsi="Times New Roman"/>
          <w:color w:val="000000"/>
          <w:szCs w:val="22"/>
        </w:rPr>
      </w:pPr>
    </w:p>
    <w:p w14:paraId="73E6F5F5"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Lot</w:t>
      </w:r>
    </w:p>
    <w:p w14:paraId="7E76AC10" w14:textId="77777777" w:rsidR="007D642D" w:rsidRPr="00961E0F" w:rsidRDefault="007D642D">
      <w:pPr>
        <w:widowControl w:val="0"/>
        <w:rPr>
          <w:rFonts w:ascii="Times New Roman" w:hAnsi="Times New Roman"/>
          <w:color w:val="000000"/>
          <w:szCs w:val="22"/>
        </w:rPr>
      </w:pPr>
    </w:p>
    <w:p w14:paraId="29B3EFF4" w14:textId="77777777" w:rsidR="007D642D" w:rsidRPr="00961E0F" w:rsidRDefault="007D642D">
      <w:pPr>
        <w:widowControl w:val="0"/>
        <w:rPr>
          <w:rFonts w:ascii="Times New Roman" w:hAnsi="Times New Roman"/>
          <w:color w:val="000000"/>
          <w:szCs w:val="22"/>
        </w:rPr>
      </w:pPr>
    </w:p>
    <w:p w14:paraId="77092D24" w14:textId="77777777" w:rsidR="007D642D" w:rsidRPr="00961E0F" w:rsidRDefault="007D642D">
      <w:pPr>
        <w:widowControl w:val="0"/>
        <w:pBdr>
          <w:top w:val="single" w:sz="4" w:space="1" w:color="auto"/>
          <w:left w:val="single" w:sz="4" w:space="4" w:color="auto"/>
          <w:bottom w:val="single" w:sz="4" w:space="1" w:color="auto"/>
          <w:right w:val="single" w:sz="4" w:space="4" w:color="auto"/>
        </w:pBdr>
        <w:rPr>
          <w:rFonts w:ascii="Times New Roman" w:hAnsi="Times New Roman"/>
          <w:b/>
          <w:color w:val="000000"/>
          <w:szCs w:val="22"/>
        </w:rPr>
      </w:pPr>
      <w:r w:rsidRPr="00961E0F">
        <w:rPr>
          <w:rFonts w:ascii="Times New Roman" w:hAnsi="Times New Roman"/>
          <w:b/>
          <w:color w:val="000000"/>
          <w:szCs w:val="22"/>
        </w:rPr>
        <w:t>5.</w:t>
      </w:r>
      <w:r w:rsidRPr="00961E0F">
        <w:rPr>
          <w:rFonts w:ascii="Times New Roman" w:hAnsi="Times New Roman"/>
          <w:b/>
          <w:color w:val="000000"/>
          <w:szCs w:val="22"/>
        </w:rPr>
        <w:tab/>
        <w:t>AUTRE</w:t>
      </w:r>
    </w:p>
    <w:p w14:paraId="3615C58D" w14:textId="77777777" w:rsidR="007D642D" w:rsidRPr="00961E0F" w:rsidRDefault="007D642D">
      <w:pPr>
        <w:widowControl w:val="0"/>
        <w:rPr>
          <w:rFonts w:ascii="Times New Roman" w:hAnsi="Times New Roman"/>
          <w:color w:val="000000"/>
          <w:szCs w:val="22"/>
        </w:rPr>
      </w:pPr>
    </w:p>
    <w:p w14:paraId="7C487548" w14:textId="77777777" w:rsidR="007D642D" w:rsidRPr="00961E0F" w:rsidRDefault="007D642D">
      <w:pPr>
        <w:widowControl w:val="0"/>
        <w:suppressAutoHyphens/>
        <w:jc w:val="both"/>
        <w:rPr>
          <w:rFonts w:ascii="Times New Roman" w:hAnsi="Times New Roman"/>
          <w:color w:val="000000"/>
          <w:szCs w:val="22"/>
        </w:rPr>
      </w:pPr>
      <w:r w:rsidRPr="00961E0F">
        <w:rPr>
          <w:rFonts w:ascii="Times New Roman" w:hAnsi="Times New Roman"/>
          <w:color w:val="000000"/>
          <w:szCs w:val="22"/>
        </w:rPr>
        <w:br w:type="page"/>
      </w:r>
    </w:p>
    <w:p w14:paraId="02C83ACE" w14:textId="77777777" w:rsidR="007D642D" w:rsidRPr="00961E0F" w:rsidRDefault="007D642D">
      <w:pPr>
        <w:widowControl w:val="0"/>
        <w:jc w:val="both"/>
        <w:rPr>
          <w:rFonts w:ascii="Times New Roman" w:hAnsi="Times New Roman"/>
          <w:color w:val="000000"/>
          <w:szCs w:val="22"/>
        </w:rPr>
      </w:pPr>
    </w:p>
    <w:p w14:paraId="568496D3" w14:textId="77777777" w:rsidR="007D642D" w:rsidRPr="00961E0F" w:rsidRDefault="007D642D">
      <w:pPr>
        <w:widowControl w:val="0"/>
        <w:suppressAutoHyphens/>
        <w:ind w:left="-142" w:firstLine="142"/>
        <w:jc w:val="both"/>
        <w:rPr>
          <w:rFonts w:ascii="Times New Roman" w:hAnsi="Times New Roman"/>
          <w:color w:val="000000"/>
          <w:szCs w:val="22"/>
        </w:rPr>
      </w:pPr>
    </w:p>
    <w:p w14:paraId="379AFA04" w14:textId="77777777" w:rsidR="007D642D" w:rsidRPr="00961E0F" w:rsidRDefault="007D642D">
      <w:pPr>
        <w:widowControl w:val="0"/>
        <w:suppressAutoHyphens/>
        <w:ind w:left="-142" w:firstLine="142"/>
        <w:jc w:val="both"/>
        <w:rPr>
          <w:rFonts w:ascii="Times New Roman" w:hAnsi="Times New Roman"/>
          <w:color w:val="000000"/>
          <w:szCs w:val="22"/>
        </w:rPr>
      </w:pPr>
    </w:p>
    <w:p w14:paraId="4F76425F" w14:textId="77777777" w:rsidR="007D642D" w:rsidRPr="00961E0F" w:rsidRDefault="007D642D">
      <w:pPr>
        <w:widowControl w:val="0"/>
        <w:suppressAutoHyphens/>
        <w:ind w:left="-142" w:firstLine="142"/>
        <w:jc w:val="both"/>
        <w:rPr>
          <w:rFonts w:ascii="Times New Roman" w:hAnsi="Times New Roman"/>
          <w:color w:val="000000"/>
          <w:szCs w:val="22"/>
        </w:rPr>
      </w:pPr>
    </w:p>
    <w:p w14:paraId="06DD04F7" w14:textId="77777777" w:rsidR="007D642D" w:rsidRPr="00961E0F" w:rsidRDefault="007D642D">
      <w:pPr>
        <w:widowControl w:val="0"/>
        <w:suppressAutoHyphens/>
        <w:ind w:left="-142" w:firstLine="142"/>
        <w:jc w:val="both"/>
        <w:rPr>
          <w:rFonts w:ascii="Times New Roman" w:hAnsi="Times New Roman"/>
          <w:color w:val="000000"/>
          <w:szCs w:val="22"/>
        </w:rPr>
      </w:pPr>
    </w:p>
    <w:p w14:paraId="68143206" w14:textId="77777777" w:rsidR="007D642D" w:rsidRPr="00961E0F" w:rsidRDefault="007D642D">
      <w:pPr>
        <w:widowControl w:val="0"/>
        <w:suppressAutoHyphens/>
        <w:ind w:left="-142" w:firstLine="142"/>
        <w:jc w:val="both"/>
        <w:rPr>
          <w:rFonts w:ascii="Times New Roman" w:hAnsi="Times New Roman"/>
          <w:color w:val="000000"/>
          <w:szCs w:val="22"/>
        </w:rPr>
      </w:pPr>
    </w:p>
    <w:p w14:paraId="69CFF628" w14:textId="77777777" w:rsidR="007D642D" w:rsidRPr="00961E0F" w:rsidRDefault="007D642D">
      <w:pPr>
        <w:widowControl w:val="0"/>
        <w:suppressAutoHyphens/>
        <w:ind w:left="-142" w:firstLine="142"/>
        <w:jc w:val="both"/>
        <w:rPr>
          <w:rFonts w:ascii="Times New Roman" w:hAnsi="Times New Roman"/>
          <w:color w:val="000000"/>
          <w:szCs w:val="22"/>
        </w:rPr>
      </w:pPr>
    </w:p>
    <w:p w14:paraId="6A233E89" w14:textId="77777777" w:rsidR="007D642D" w:rsidRPr="00961E0F" w:rsidRDefault="007D642D">
      <w:pPr>
        <w:widowControl w:val="0"/>
        <w:suppressAutoHyphens/>
        <w:ind w:left="-142" w:firstLine="142"/>
        <w:jc w:val="both"/>
        <w:rPr>
          <w:rFonts w:ascii="Times New Roman" w:hAnsi="Times New Roman"/>
          <w:color w:val="000000"/>
          <w:szCs w:val="22"/>
        </w:rPr>
      </w:pPr>
    </w:p>
    <w:p w14:paraId="6522FE16" w14:textId="77777777" w:rsidR="007D642D" w:rsidRPr="00961E0F" w:rsidRDefault="007D642D">
      <w:pPr>
        <w:widowControl w:val="0"/>
        <w:suppressAutoHyphens/>
        <w:ind w:left="-142" w:firstLine="142"/>
        <w:jc w:val="both"/>
        <w:rPr>
          <w:rFonts w:ascii="Times New Roman" w:hAnsi="Times New Roman"/>
          <w:color w:val="000000"/>
          <w:szCs w:val="22"/>
        </w:rPr>
      </w:pPr>
    </w:p>
    <w:p w14:paraId="0A7A768D" w14:textId="77777777" w:rsidR="007D642D" w:rsidRPr="00961E0F" w:rsidRDefault="007D642D">
      <w:pPr>
        <w:widowControl w:val="0"/>
        <w:suppressAutoHyphens/>
        <w:ind w:left="-142" w:firstLine="142"/>
        <w:jc w:val="both"/>
        <w:rPr>
          <w:rFonts w:ascii="Times New Roman" w:hAnsi="Times New Roman"/>
          <w:color w:val="000000"/>
          <w:szCs w:val="22"/>
        </w:rPr>
      </w:pPr>
    </w:p>
    <w:p w14:paraId="1722A98F" w14:textId="77777777" w:rsidR="007D642D" w:rsidRPr="00961E0F" w:rsidRDefault="007D642D">
      <w:pPr>
        <w:widowControl w:val="0"/>
        <w:suppressAutoHyphens/>
        <w:ind w:left="-142" w:firstLine="142"/>
        <w:jc w:val="both"/>
        <w:rPr>
          <w:rFonts w:ascii="Times New Roman" w:hAnsi="Times New Roman"/>
          <w:color w:val="000000"/>
          <w:szCs w:val="22"/>
        </w:rPr>
      </w:pPr>
    </w:p>
    <w:p w14:paraId="27CF9E7B" w14:textId="77777777" w:rsidR="007D642D" w:rsidRPr="00961E0F" w:rsidRDefault="007D642D">
      <w:pPr>
        <w:widowControl w:val="0"/>
        <w:suppressAutoHyphens/>
        <w:ind w:left="-142" w:firstLine="142"/>
        <w:jc w:val="both"/>
        <w:rPr>
          <w:rFonts w:ascii="Times New Roman" w:hAnsi="Times New Roman"/>
          <w:color w:val="000000"/>
          <w:szCs w:val="22"/>
        </w:rPr>
      </w:pPr>
    </w:p>
    <w:p w14:paraId="62FF8BC1" w14:textId="77777777" w:rsidR="007D642D" w:rsidRPr="00961E0F" w:rsidRDefault="007D642D">
      <w:pPr>
        <w:widowControl w:val="0"/>
        <w:suppressAutoHyphens/>
        <w:ind w:left="-142" w:firstLine="142"/>
        <w:jc w:val="both"/>
        <w:rPr>
          <w:rFonts w:ascii="Times New Roman" w:hAnsi="Times New Roman"/>
          <w:color w:val="000000"/>
          <w:szCs w:val="22"/>
        </w:rPr>
      </w:pPr>
    </w:p>
    <w:p w14:paraId="00A1585D" w14:textId="77777777" w:rsidR="007D642D" w:rsidRPr="00961E0F" w:rsidRDefault="007D642D">
      <w:pPr>
        <w:widowControl w:val="0"/>
        <w:suppressAutoHyphens/>
        <w:ind w:left="-142" w:firstLine="142"/>
        <w:jc w:val="both"/>
        <w:rPr>
          <w:rFonts w:ascii="Times New Roman" w:hAnsi="Times New Roman"/>
          <w:color w:val="000000"/>
          <w:szCs w:val="22"/>
        </w:rPr>
      </w:pPr>
    </w:p>
    <w:p w14:paraId="48C794D1" w14:textId="77777777" w:rsidR="007D642D" w:rsidRPr="00961E0F" w:rsidRDefault="007D642D">
      <w:pPr>
        <w:widowControl w:val="0"/>
        <w:suppressAutoHyphens/>
        <w:ind w:left="-142" w:firstLine="142"/>
        <w:jc w:val="both"/>
        <w:rPr>
          <w:rFonts w:ascii="Times New Roman" w:hAnsi="Times New Roman"/>
          <w:color w:val="000000"/>
          <w:szCs w:val="22"/>
        </w:rPr>
      </w:pPr>
    </w:p>
    <w:p w14:paraId="2BA4F623" w14:textId="77777777" w:rsidR="007D642D" w:rsidRPr="00961E0F" w:rsidRDefault="007D642D">
      <w:pPr>
        <w:widowControl w:val="0"/>
        <w:suppressAutoHyphens/>
        <w:ind w:left="-142" w:firstLine="142"/>
        <w:jc w:val="both"/>
        <w:rPr>
          <w:rFonts w:ascii="Times New Roman" w:hAnsi="Times New Roman"/>
          <w:color w:val="000000"/>
          <w:szCs w:val="22"/>
        </w:rPr>
      </w:pPr>
    </w:p>
    <w:p w14:paraId="72836458" w14:textId="77777777" w:rsidR="007D642D" w:rsidRPr="00961E0F" w:rsidRDefault="007D642D">
      <w:pPr>
        <w:widowControl w:val="0"/>
        <w:suppressAutoHyphens/>
        <w:ind w:left="-142" w:firstLine="142"/>
        <w:jc w:val="both"/>
        <w:rPr>
          <w:rFonts w:ascii="Times New Roman" w:hAnsi="Times New Roman"/>
          <w:color w:val="000000"/>
          <w:szCs w:val="22"/>
        </w:rPr>
      </w:pPr>
    </w:p>
    <w:p w14:paraId="35AD76AF" w14:textId="77777777" w:rsidR="007D642D" w:rsidRPr="00961E0F" w:rsidRDefault="007D642D">
      <w:pPr>
        <w:widowControl w:val="0"/>
        <w:suppressAutoHyphens/>
        <w:ind w:left="-142" w:firstLine="142"/>
        <w:jc w:val="both"/>
        <w:rPr>
          <w:rFonts w:ascii="Times New Roman" w:hAnsi="Times New Roman"/>
          <w:color w:val="000000"/>
          <w:szCs w:val="22"/>
        </w:rPr>
      </w:pPr>
    </w:p>
    <w:p w14:paraId="5AAEF502" w14:textId="77777777" w:rsidR="007D642D" w:rsidRPr="00961E0F" w:rsidRDefault="007D642D">
      <w:pPr>
        <w:widowControl w:val="0"/>
        <w:suppressAutoHyphens/>
        <w:ind w:left="-142" w:firstLine="142"/>
        <w:jc w:val="both"/>
        <w:rPr>
          <w:rFonts w:ascii="Times New Roman" w:hAnsi="Times New Roman"/>
          <w:color w:val="000000"/>
          <w:szCs w:val="22"/>
        </w:rPr>
      </w:pPr>
    </w:p>
    <w:p w14:paraId="04FA3AFA" w14:textId="77777777" w:rsidR="007D642D" w:rsidRPr="00961E0F" w:rsidRDefault="007D642D">
      <w:pPr>
        <w:widowControl w:val="0"/>
        <w:suppressAutoHyphens/>
        <w:ind w:left="-142" w:firstLine="142"/>
        <w:jc w:val="both"/>
        <w:rPr>
          <w:rFonts w:ascii="Times New Roman" w:hAnsi="Times New Roman"/>
          <w:color w:val="000000"/>
          <w:szCs w:val="22"/>
        </w:rPr>
      </w:pPr>
    </w:p>
    <w:p w14:paraId="0EB535DB" w14:textId="77777777" w:rsidR="007D642D" w:rsidRPr="00961E0F" w:rsidRDefault="007D642D">
      <w:pPr>
        <w:widowControl w:val="0"/>
        <w:suppressAutoHyphens/>
        <w:ind w:left="-142" w:firstLine="142"/>
        <w:jc w:val="both"/>
        <w:rPr>
          <w:rFonts w:ascii="Times New Roman" w:hAnsi="Times New Roman"/>
          <w:color w:val="000000"/>
          <w:szCs w:val="22"/>
        </w:rPr>
      </w:pPr>
    </w:p>
    <w:p w14:paraId="58DFCC67" w14:textId="77777777" w:rsidR="007D642D" w:rsidRDefault="007D642D">
      <w:pPr>
        <w:widowControl w:val="0"/>
        <w:suppressAutoHyphens/>
        <w:ind w:left="-142" w:firstLine="142"/>
        <w:jc w:val="both"/>
        <w:rPr>
          <w:rFonts w:ascii="Times New Roman" w:hAnsi="Times New Roman"/>
          <w:color w:val="000000"/>
          <w:szCs w:val="22"/>
        </w:rPr>
      </w:pPr>
    </w:p>
    <w:p w14:paraId="1CB16DF3" w14:textId="77777777" w:rsidR="00C67CDE" w:rsidRDefault="00C67CDE">
      <w:pPr>
        <w:widowControl w:val="0"/>
        <w:suppressAutoHyphens/>
        <w:ind w:left="-142" w:firstLine="142"/>
        <w:jc w:val="both"/>
        <w:rPr>
          <w:rFonts w:ascii="Times New Roman" w:hAnsi="Times New Roman"/>
          <w:color w:val="000000"/>
          <w:szCs w:val="22"/>
        </w:rPr>
      </w:pPr>
    </w:p>
    <w:p w14:paraId="5DD3D7A5" w14:textId="77777777" w:rsidR="00C67CDE" w:rsidRPr="00961E0F" w:rsidRDefault="00C67CDE">
      <w:pPr>
        <w:widowControl w:val="0"/>
        <w:suppressAutoHyphens/>
        <w:ind w:left="-142" w:firstLine="142"/>
        <w:jc w:val="both"/>
        <w:rPr>
          <w:rFonts w:ascii="Times New Roman" w:hAnsi="Times New Roman"/>
          <w:color w:val="000000"/>
          <w:szCs w:val="22"/>
        </w:rPr>
      </w:pPr>
    </w:p>
    <w:p w14:paraId="2304C303" w14:textId="77777777" w:rsidR="007D642D" w:rsidRPr="00961E0F" w:rsidRDefault="007D642D">
      <w:pPr>
        <w:pStyle w:val="Heading4"/>
        <w:keepNext w:val="0"/>
        <w:jc w:val="center"/>
        <w:rPr>
          <w:rFonts w:ascii="Times New Roman" w:hAnsi="Times New Roman"/>
          <w:color w:val="000000"/>
          <w:szCs w:val="22"/>
          <w:u w:val="none"/>
        </w:rPr>
      </w:pPr>
      <w:r w:rsidRPr="00961E0F">
        <w:rPr>
          <w:rFonts w:ascii="Times New Roman" w:hAnsi="Times New Roman"/>
          <w:color w:val="000000"/>
          <w:szCs w:val="22"/>
          <w:u w:val="none"/>
        </w:rPr>
        <w:t>B. NOTICE</w:t>
      </w:r>
    </w:p>
    <w:p w14:paraId="5E2489D1" w14:textId="77777777" w:rsidR="007D642D" w:rsidRPr="00961E0F" w:rsidRDefault="007D642D">
      <w:pPr>
        <w:widowControl w:val="0"/>
        <w:suppressAutoHyphens/>
        <w:ind w:left="-142" w:firstLine="142"/>
        <w:jc w:val="center"/>
        <w:rPr>
          <w:rFonts w:ascii="Times New Roman" w:hAnsi="Times New Roman"/>
          <w:b/>
          <w:color w:val="000000"/>
          <w:szCs w:val="22"/>
        </w:rPr>
      </w:pPr>
      <w:r w:rsidRPr="00961E0F">
        <w:rPr>
          <w:rFonts w:ascii="Times New Roman" w:hAnsi="Times New Roman"/>
          <w:color w:val="000000"/>
          <w:szCs w:val="22"/>
        </w:rPr>
        <w:br w:type="page"/>
      </w:r>
      <w:r w:rsidRPr="00961E0F">
        <w:rPr>
          <w:rFonts w:ascii="Times New Roman" w:hAnsi="Times New Roman"/>
          <w:b/>
          <w:color w:val="000000"/>
          <w:szCs w:val="22"/>
        </w:rPr>
        <w:lastRenderedPageBreak/>
        <w:t xml:space="preserve">Notice : </w:t>
      </w:r>
      <w:r w:rsidR="0040674B" w:rsidRPr="00961E0F">
        <w:rPr>
          <w:rFonts w:ascii="Times New Roman" w:hAnsi="Times New Roman"/>
          <w:b/>
          <w:color w:val="000000"/>
          <w:szCs w:val="22"/>
        </w:rPr>
        <w:t xml:space="preserve">Information </w:t>
      </w:r>
      <w:r w:rsidRPr="00961E0F">
        <w:rPr>
          <w:rFonts w:ascii="Times New Roman" w:hAnsi="Times New Roman"/>
          <w:b/>
          <w:color w:val="000000"/>
          <w:szCs w:val="22"/>
        </w:rPr>
        <w:t>de l’utilisateur</w:t>
      </w:r>
    </w:p>
    <w:p w14:paraId="3AC7F5C9" w14:textId="77777777" w:rsidR="007D642D" w:rsidRPr="00961E0F" w:rsidRDefault="007D642D">
      <w:pPr>
        <w:widowControl w:val="0"/>
        <w:suppressAutoHyphens/>
        <w:ind w:left="-142" w:firstLine="142"/>
        <w:jc w:val="center"/>
        <w:rPr>
          <w:rFonts w:ascii="Times New Roman" w:hAnsi="Times New Roman"/>
          <w:color w:val="000000"/>
          <w:szCs w:val="22"/>
        </w:rPr>
      </w:pPr>
    </w:p>
    <w:p w14:paraId="242CF836" w14:textId="77777777" w:rsidR="007D642D" w:rsidRPr="00961E0F" w:rsidRDefault="007D642D">
      <w:pPr>
        <w:widowControl w:val="0"/>
        <w:suppressAutoHyphens/>
        <w:ind w:left="-142" w:firstLine="142"/>
        <w:jc w:val="center"/>
        <w:rPr>
          <w:rFonts w:ascii="Times New Roman" w:hAnsi="Times New Roman"/>
          <w:b/>
          <w:color w:val="000000"/>
          <w:szCs w:val="22"/>
        </w:rPr>
      </w:pPr>
      <w:r w:rsidRPr="00961E0F">
        <w:rPr>
          <w:rFonts w:ascii="Times New Roman" w:hAnsi="Times New Roman"/>
          <w:b/>
          <w:color w:val="000000"/>
          <w:szCs w:val="22"/>
        </w:rPr>
        <w:t>Glivec 100 mg gélules</w:t>
      </w:r>
    </w:p>
    <w:p w14:paraId="6C3B0170" w14:textId="77777777" w:rsidR="007D642D" w:rsidRPr="00961E0F" w:rsidRDefault="00D535F2">
      <w:pPr>
        <w:widowControl w:val="0"/>
        <w:suppressAutoHyphens/>
        <w:ind w:left="-142" w:firstLine="142"/>
        <w:jc w:val="center"/>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2EB30D04" w14:textId="77777777" w:rsidR="003A406F" w:rsidRPr="00961E0F" w:rsidRDefault="003A406F" w:rsidP="0023251A">
      <w:pPr>
        <w:widowControl w:val="0"/>
        <w:suppressAutoHyphens/>
        <w:ind w:left="-142" w:firstLine="142"/>
        <w:rPr>
          <w:rFonts w:ascii="Times New Roman" w:hAnsi="Times New Roman"/>
          <w:color w:val="000000"/>
          <w:szCs w:val="22"/>
        </w:rPr>
      </w:pPr>
    </w:p>
    <w:p w14:paraId="26071883" w14:textId="77777777" w:rsidR="003A406F" w:rsidRPr="00961E0F" w:rsidRDefault="00351949" w:rsidP="003A406F">
      <w:pPr>
        <w:tabs>
          <w:tab w:val="left" w:pos="567"/>
        </w:tabs>
        <w:spacing w:line="260" w:lineRule="exact"/>
        <w:rPr>
          <w:rFonts w:ascii="Times New Roman" w:hAnsi="Times New Roman"/>
          <w:snapToGrid w:val="0"/>
          <w:szCs w:val="22"/>
          <w:lang w:val="fr-BE"/>
        </w:rPr>
      </w:pPr>
      <w:r w:rsidRPr="00961E0F">
        <w:rPr>
          <w:rFonts w:ascii="Times New Roman" w:hAnsi="Times New Roman"/>
          <w:noProof/>
          <w:snapToGrid w:val="0"/>
          <w:lang w:val="en-US"/>
        </w:rPr>
        <w:drawing>
          <wp:inline distT="0" distB="0" distL="0" distR="0" wp14:anchorId="7C1FAA53" wp14:editId="65D626F7">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3A406F" w:rsidRPr="00961E0F">
        <w:rPr>
          <w:rFonts w:ascii="Times New Roman" w:hAnsi="Times New Roman"/>
          <w:snapToGrid w:val="0"/>
          <w:szCs w:val="22"/>
          <w:lang w:val="fr-BE"/>
        </w:rPr>
        <w:t>Ce médicament fait l’objet d’une surveillance supplémentaire qui permettra l’identification rapide de nouvelles informations relatives à la sécurité. Vous pouvez y contribuer en signalant tout effet indésirable que vous observez. Voir en fin de rubrique 4 comment déclarer les effets indésirables.</w:t>
      </w:r>
    </w:p>
    <w:p w14:paraId="79442D0F" w14:textId="77777777" w:rsidR="007D642D" w:rsidRPr="00961E0F" w:rsidRDefault="007D642D">
      <w:pPr>
        <w:widowControl w:val="0"/>
        <w:numPr>
          <w:ilvl w:val="12"/>
          <w:numId w:val="0"/>
        </w:numPr>
        <w:ind w:right="-2"/>
        <w:jc w:val="both"/>
        <w:rPr>
          <w:rFonts w:ascii="Times New Roman" w:hAnsi="Times New Roman"/>
          <w:color w:val="000000"/>
          <w:szCs w:val="22"/>
          <w:lang w:val="fr-BE"/>
        </w:rPr>
      </w:pPr>
    </w:p>
    <w:p w14:paraId="47817FA0" w14:textId="77777777" w:rsidR="007D642D" w:rsidRPr="00961E0F" w:rsidRDefault="007D642D">
      <w:pPr>
        <w:widowControl w:val="0"/>
        <w:ind w:right="-2"/>
        <w:rPr>
          <w:rFonts w:ascii="Times New Roman" w:hAnsi="Times New Roman"/>
          <w:b/>
          <w:color w:val="000000"/>
          <w:szCs w:val="22"/>
        </w:rPr>
      </w:pPr>
      <w:r w:rsidRPr="00961E0F">
        <w:rPr>
          <w:rFonts w:ascii="Times New Roman" w:hAnsi="Times New Roman"/>
          <w:b/>
          <w:color w:val="000000"/>
          <w:szCs w:val="22"/>
        </w:rPr>
        <w:t>Veuillez lire attentivement cette notice avant de prendre ce médicament car elle contient des informations importantes pour vous.</w:t>
      </w:r>
    </w:p>
    <w:p w14:paraId="4E09FB9C"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Gardez cette notice. Vous pourriez avoir besoin de la relire.</w:t>
      </w:r>
    </w:p>
    <w:p w14:paraId="70066B62"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Si vous avez d’autres questions, interrogez votre médecin, votre pharmacien ou votre infirmier/ère.</w:t>
      </w:r>
    </w:p>
    <w:p w14:paraId="41527507"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Ce médicament vous a été personnellement prescrit. Ne le donnez pas à d’autres personnes. Il pourrait leur être nocif, même si les signes de leur maladie sont identiques aux vôtres.</w:t>
      </w:r>
    </w:p>
    <w:p w14:paraId="13607313"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Si vous ressentez un quelconque effet indésirable, parlez-en à votre médecin, votre pharmacien ou votre infirmier/ère. Ceci s’applique aussi à tout effet indésirable qui ne serait pas mentionné dans cette notice.</w:t>
      </w:r>
      <w:r w:rsidR="0040674B" w:rsidRPr="00961E0F">
        <w:rPr>
          <w:rFonts w:ascii="Times New Roman" w:hAnsi="Times New Roman"/>
          <w:color w:val="000000"/>
          <w:szCs w:val="22"/>
        </w:rPr>
        <w:t xml:space="preserve"> Voir rubrique 4.</w:t>
      </w:r>
    </w:p>
    <w:p w14:paraId="762B5818" w14:textId="77777777" w:rsidR="007D642D" w:rsidRPr="00961E0F" w:rsidRDefault="007D642D">
      <w:pPr>
        <w:widowControl w:val="0"/>
        <w:ind w:right="-2"/>
        <w:rPr>
          <w:rFonts w:ascii="Times New Roman" w:hAnsi="Times New Roman"/>
          <w:color w:val="000000"/>
          <w:szCs w:val="22"/>
        </w:rPr>
      </w:pPr>
    </w:p>
    <w:p w14:paraId="77DF99C2" w14:textId="77777777" w:rsidR="007D642D" w:rsidRPr="00961E0F" w:rsidRDefault="007D642D">
      <w:pPr>
        <w:widowControl w:val="0"/>
        <w:ind w:right="-2"/>
        <w:rPr>
          <w:rFonts w:ascii="Times New Roman" w:hAnsi="Times New Roman"/>
          <w:color w:val="000000"/>
          <w:szCs w:val="22"/>
        </w:rPr>
      </w:pPr>
    </w:p>
    <w:p w14:paraId="581AB038" w14:textId="77777777" w:rsidR="007D642D" w:rsidRPr="00961E0F" w:rsidRDefault="007D642D">
      <w:pPr>
        <w:widowControl w:val="0"/>
        <w:ind w:right="-2"/>
        <w:rPr>
          <w:rFonts w:ascii="Times New Roman" w:hAnsi="Times New Roman"/>
          <w:color w:val="000000"/>
          <w:szCs w:val="22"/>
        </w:rPr>
      </w:pPr>
      <w:r w:rsidRPr="00961E0F">
        <w:rPr>
          <w:rFonts w:ascii="Times New Roman" w:hAnsi="Times New Roman"/>
          <w:b/>
          <w:color w:val="000000"/>
          <w:szCs w:val="22"/>
        </w:rPr>
        <w:t>Que contient cette notice</w:t>
      </w:r>
      <w:r w:rsidR="0040674B" w:rsidRPr="00961E0F">
        <w:rPr>
          <w:rFonts w:ascii="Times New Roman" w:hAnsi="Times New Roman"/>
          <w:b/>
          <w:color w:val="000000"/>
          <w:szCs w:val="22"/>
        </w:rPr>
        <w:t> ?</w:t>
      </w:r>
    </w:p>
    <w:p w14:paraId="12E74138"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1.</w:t>
      </w:r>
      <w:r w:rsidRPr="00961E0F">
        <w:rPr>
          <w:rFonts w:ascii="Times New Roman" w:hAnsi="Times New Roman"/>
          <w:color w:val="000000"/>
          <w:szCs w:val="22"/>
        </w:rPr>
        <w:tab/>
        <w:t>Qu</w:t>
      </w:r>
      <w:r w:rsidRPr="00961E0F">
        <w:rPr>
          <w:rFonts w:ascii="Times New Roman" w:hAnsi="Times New Roman"/>
          <w:noProof/>
          <w:color w:val="000000"/>
        </w:rPr>
        <w:t>’</w:t>
      </w:r>
      <w:r w:rsidRPr="00961E0F">
        <w:rPr>
          <w:rFonts w:ascii="Times New Roman" w:hAnsi="Times New Roman"/>
          <w:color w:val="000000"/>
          <w:szCs w:val="22"/>
        </w:rPr>
        <w:t>est-ce que Glivec et dans quel cas est-il utilisé</w:t>
      </w:r>
    </w:p>
    <w:p w14:paraId="4CBDB1E6"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2.</w:t>
      </w:r>
      <w:r w:rsidRPr="00961E0F">
        <w:rPr>
          <w:rFonts w:ascii="Times New Roman" w:hAnsi="Times New Roman"/>
          <w:color w:val="000000"/>
          <w:szCs w:val="22"/>
        </w:rPr>
        <w:tab/>
        <w:t>Quelles sont les informations à connaître avant de prendre Glivec</w:t>
      </w:r>
    </w:p>
    <w:p w14:paraId="245E9302"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3.</w:t>
      </w:r>
      <w:r w:rsidRPr="00961E0F">
        <w:rPr>
          <w:rFonts w:ascii="Times New Roman" w:hAnsi="Times New Roman"/>
          <w:color w:val="000000"/>
          <w:szCs w:val="22"/>
        </w:rPr>
        <w:tab/>
        <w:t>Comment prendre Glivec</w:t>
      </w:r>
    </w:p>
    <w:p w14:paraId="5B3A6E05"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4.</w:t>
      </w:r>
      <w:r w:rsidRPr="00961E0F">
        <w:rPr>
          <w:rFonts w:ascii="Times New Roman" w:hAnsi="Times New Roman"/>
          <w:color w:val="000000"/>
          <w:szCs w:val="22"/>
        </w:rPr>
        <w:tab/>
      </w:r>
      <w:r w:rsidR="0040674B" w:rsidRPr="00961E0F">
        <w:rPr>
          <w:rFonts w:ascii="Times New Roman" w:hAnsi="Times New Roman"/>
          <w:color w:val="000000"/>
          <w:szCs w:val="22"/>
        </w:rPr>
        <w:t>Quels sont les e</w:t>
      </w:r>
      <w:r w:rsidRPr="00961E0F">
        <w:rPr>
          <w:rFonts w:ascii="Times New Roman" w:hAnsi="Times New Roman"/>
          <w:color w:val="000000"/>
          <w:szCs w:val="22"/>
        </w:rPr>
        <w:t>ffets indésirables éventuels</w:t>
      </w:r>
    </w:p>
    <w:p w14:paraId="6B9B9BCB"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5.</w:t>
      </w:r>
      <w:r w:rsidRPr="00961E0F">
        <w:rPr>
          <w:rFonts w:ascii="Times New Roman" w:hAnsi="Times New Roman"/>
          <w:color w:val="000000"/>
          <w:szCs w:val="22"/>
        </w:rPr>
        <w:tab/>
        <w:t>Comment conserver Glivec</w:t>
      </w:r>
    </w:p>
    <w:p w14:paraId="4BB49CC0"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6.</w:t>
      </w:r>
      <w:r w:rsidRPr="00961E0F">
        <w:rPr>
          <w:rFonts w:ascii="Times New Roman" w:hAnsi="Times New Roman"/>
          <w:color w:val="000000"/>
          <w:szCs w:val="22"/>
        </w:rPr>
        <w:tab/>
        <w:t>Contenu de l’emballage et autres informations</w:t>
      </w:r>
    </w:p>
    <w:p w14:paraId="6AEE6211" w14:textId="77777777" w:rsidR="007D642D" w:rsidRPr="00961E0F" w:rsidRDefault="007D642D">
      <w:pPr>
        <w:widowControl w:val="0"/>
        <w:suppressAutoHyphens/>
        <w:ind w:left="567" w:hanging="567"/>
        <w:rPr>
          <w:rFonts w:ascii="Times New Roman" w:hAnsi="Times New Roman"/>
          <w:color w:val="000000"/>
          <w:szCs w:val="22"/>
        </w:rPr>
      </w:pPr>
    </w:p>
    <w:p w14:paraId="56350ABB" w14:textId="77777777" w:rsidR="007D642D" w:rsidRPr="00961E0F" w:rsidRDefault="007D642D">
      <w:pPr>
        <w:widowControl w:val="0"/>
        <w:suppressAutoHyphens/>
        <w:rPr>
          <w:rFonts w:ascii="Times New Roman" w:hAnsi="Times New Roman"/>
          <w:color w:val="000000"/>
          <w:szCs w:val="22"/>
        </w:rPr>
      </w:pPr>
    </w:p>
    <w:p w14:paraId="4BE978C8" w14:textId="77777777" w:rsidR="007D642D" w:rsidRPr="00961E0F" w:rsidRDefault="007D642D" w:rsidP="00527B2A">
      <w:pPr>
        <w:pStyle w:val="BodyText3"/>
        <w:keepNext/>
        <w:widowControl w:val="0"/>
        <w:rPr>
          <w:color w:val="000000"/>
          <w:szCs w:val="22"/>
        </w:rPr>
      </w:pPr>
      <w:r w:rsidRPr="00961E0F">
        <w:rPr>
          <w:color w:val="000000"/>
          <w:szCs w:val="22"/>
        </w:rPr>
        <w:t>1.</w:t>
      </w:r>
      <w:r w:rsidRPr="00961E0F">
        <w:rPr>
          <w:color w:val="000000"/>
          <w:szCs w:val="22"/>
        </w:rPr>
        <w:tab/>
        <w:t>Qu'est-ce que Glivec et dans quel cas est-il utilisé</w:t>
      </w:r>
    </w:p>
    <w:p w14:paraId="56CB6A1F" w14:textId="77777777" w:rsidR="007D642D" w:rsidRPr="00961E0F" w:rsidRDefault="007D642D" w:rsidP="00527B2A">
      <w:pPr>
        <w:keepNext/>
        <w:widowControl w:val="0"/>
        <w:suppressAutoHyphens/>
        <w:ind w:left="567" w:hanging="567"/>
        <w:rPr>
          <w:rFonts w:ascii="Times New Roman" w:hAnsi="Times New Roman"/>
          <w:color w:val="000000"/>
          <w:szCs w:val="22"/>
        </w:rPr>
      </w:pPr>
    </w:p>
    <w:p w14:paraId="54B2FC74"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Glivec est un médicament qui contient une substance active appelée imatinib. Ce médicament agit par inhibition de la croissance des cellules anormales des maladies décrites ci-dessous parmi lesquelles certains types de cancer.</w:t>
      </w:r>
    </w:p>
    <w:p w14:paraId="718BDC22" w14:textId="77777777" w:rsidR="007D642D" w:rsidRPr="00961E0F" w:rsidRDefault="007D642D">
      <w:pPr>
        <w:widowControl w:val="0"/>
        <w:suppressAutoHyphens/>
        <w:ind w:left="567" w:hanging="567"/>
        <w:rPr>
          <w:rFonts w:ascii="Times New Roman" w:hAnsi="Times New Roman"/>
          <w:color w:val="000000"/>
          <w:szCs w:val="22"/>
        </w:rPr>
      </w:pPr>
    </w:p>
    <w:p w14:paraId="1D88F712"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Glivec est un traitement chez les adultes et les enfants :</w:t>
      </w:r>
    </w:p>
    <w:p w14:paraId="2A7B249D" w14:textId="77777777" w:rsidR="007D642D" w:rsidRPr="00961E0F" w:rsidRDefault="007D642D" w:rsidP="00527B2A">
      <w:pPr>
        <w:keepNext/>
        <w:widowControl w:val="0"/>
        <w:suppressAutoHyphens/>
        <w:rPr>
          <w:rFonts w:ascii="Times New Roman" w:hAnsi="Times New Roman"/>
          <w:bCs/>
          <w:color w:val="000000"/>
          <w:szCs w:val="22"/>
        </w:rPr>
      </w:pPr>
    </w:p>
    <w:p w14:paraId="513861EB" w14:textId="77777777" w:rsidR="007D642D" w:rsidRPr="00961E0F" w:rsidRDefault="007D642D">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Leucémie myéloïde chronique (LMC).</w:t>
      </w:r>
      <w:r w:rsidRPr="00961E0F">
        <w:rPr>
          <w:color w:val="000000"/>
          <w:szCs w:val="22"/>
          <w:lang w:val="fr-FR"/>
        </w:rPr>
        <w:t xml:space="preserve"> La leucémie est un cancer des globules blancs du sang. Ces globules blancs aident habituellement l’organisme à se défendre contre les infections. La leucémie myéloïde chronique est une forme de leucémie dans laquelle certains globules blancs anormaux, (appelés cellules myéloïdes), commencent à se multiplier de manière incontrôlée. Glivec inhibe la croissance de ces cellules.</w:t>
      </w:r>
    </w:p>
    <w:p w14:paraId="7B1147C3" w14:textId="77777777" w:rsidR="00CD7E29" w:rsidRPr="00961E0F" w:rsidRDefault="00CD7E29">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Leucémie aiguë lymphoïde chromosome Philadelphie positive (LAL Ph-positive)</w:t>
      </w:r>
      <w:r w:rsidRPr="00961E0F">
        <w:rPr>
          <w:color w:val="000000"/>
          <w:szCs w:val="22"/>
          <w:lang w:val="fr-FR"/>
        </w:rPr>
        <w:t>.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Glivec inhibe la croissance de ces cellules.</w:t>
      </w:r>
    </w:p>
    <w:p w14:paraId="60FB0A69" w14:textId="77777777" w:rsidR="007D642D" w:rsidRPr="00961E0F" w:rsidRDefault="007D642D">
      <w:pPr>
        <w:pStyle w:val="paragraphSIF"/>
        <w:widowControl w:val="0"/>
        <w:tabs>
          <w:tab w:val="clear" w:pos="-720"/>
        </w:tabs>
        <w:suppressAutoHyphens/>
        <w:jc w:val="left"/>
        <w:rPr>
          <w:color w:val="000000"/>
          <w:szCs w:val="22"/>
          <w:lang w:val="fr-FR"/>
        </w:rPr>
      </w:pPr>
    </w:p>
    <w:p w14:paraId="19CB40AE" w14:textId="77777777" w:rsidR="007D642D" w:rsidRPr="00961E0F" w:rsidRDefault="007D642D" w:rsidP="00527B2A">
      <w:pPr>
        <w:pStyle w:val="paragraphSIF"/>
        <w:keepNext/>
        <w:widowControl w:val="0"/>
        <w:tabs>
          <w:tab w:val="clear" w:pos="-720"/>
        </w:tabs>
        <w:suppressAutoHyphens/>
        <w:jc w:val="left"/>
        <w:rPr>
          <w:b/>
          <w:color w:val="000000"/>
          <w:szCs w:val="22"/>
          <w:lang w:val="fr-FR"/>
        </w:rPr>
      </w:pPr>
      <w:r w:rsidRPr="00961E0F">
        <w:rPr>
          <w:b/>
          <w:color w:val="000000"/>
          <w:szCs w:val="22"/>
          <w:lang w:val="fr-FR"/>
        </w:rPr>
        <w:t>Glivec est aussi un traitement chez l’adulte :</w:t>
      </w:r>
    </w:p>
    <w:p w14:paraId="257D0138" w14:textId="77777777" w:rsidR="007D642D" w:rsidRPr="00961E0F" w:rsidRDefault="007D642D" w:rsidP="00527B2A">
      <w:pPr>
        <w:pStyle w:val="paragraphSIF"/>
        <w:keepNext/>
        <w:widowControl w:val="0"/>
        <w:tabs>
          <w:tab w:val="clear" w:pos="-720"/>
        </w:tabs>
        <w:suppressAutoHyphens/>
        <w:jc w:val="left"/>
        <w:rPr>
          <w:color w:val="000000"/>
          <w:szCs w:val="22"/>
          <w:lang w:val="fr-FR"/>
        </w:rPr>
      </w:pPr>
    </w:p>
    <w:p w14:paraId="47A4890D" w14:textId="77777777" w:rsidR="007D642D" w:rsidRPr="00961E0F" w:rsidRDefault="007D642D">
      <w:pPr>
        <w:pStyle w:val="Listlevel1"/>
        <w:numPr>
          <w:ilvl w:val="0"/>
          <w:numId w:val="16"/>
        </w:numPr>
        <w:tabs>
          <w:tab w:val="clear" w:pos="-113"/>
        </w:tabs>
        <w:spacing w:before="0" w:after="0"/>
        <w:ind w:left="567" w:hanging="567"/>
        <w:rPr>
          <w:color w:val="000000"/>
          <w:sz w:val="22"/>
          <w:szCs w:val="22"/>
          <w:lang w:val="fr-FR"/>
        </w:rPr>
      </w:pPr>
      <w:r w:rsidRPr="00961E0F">
        <w:rPr>
          <w:b/>
          <w:color w:val="000000"/>
          <w:sz w:val="22"/>
          <w:szCs w:val="22"/>
          <w:lang w:val="fr-FR"/>
        </w:rPr>
        <w:t>Syndromes myéloprolifératifs/myélodysplasiques (</w:t>
      </w:r>
      <w:smartTag w:uri="urn:schemas-microsoft-com:office:smarttags" w:element="stockticker">
        <w:r w:rsidRPr="00961E0F">
          <w:rPr>
            <w:b/>
            <w:color w:val="000000"/>
            <w:sz w:val="22"/>
            <w:szCs w:val="22"/>
            <w:lang w:val="fr-FR"/>
          </w:rPr>
          <w:t>SMP</w:t>
        </w:r>
      </w:smartTag>
      <w:r w:rsidRPr="00961E0F">
        <w:rPr>
          <w:b/>
          <w:color w:val="000000"/>
          <w:sz w:val="22"/>
          <w:szCs w:val="22"/>
          <w:lang w:val="fr-FR"/>
        </w:rPr>
        <w:t>/</w:t>
      </w:r>
      <w:smartTag w:uri="urn:schemas-microsoft-com:office:smarttags" w:element="stockticker">
        <w:r w:rsidRPr="00961E0F">
          <w:rPr>
            <w:b/>
            <w:color w:val="000000"/>
            <w:sz w:val="22"/>
            <w:szCs w:val="22"/>
            <w:lang w:val="fr-FR"/>
          </w:rPr>
          <w:t>SMD</w:t>
        </w:r>
      </w:smartTag>
      <w:r w:rsidRPr="00961E0F">
        <w:rPr>
          <w:b/>
          <w:color w:val="000000"/>
          <w:sz w:val="22"/>
          <w:szCs w:val="22"/>
          <w:lang w:val="fr-FR"/>
        </w:rPr>
        <w:t>)</w:t>
      </w:r>
      <w:r w:rsidRPr="00961E0F">
        <w:rPr>
          <w:color w:val="000000"/>
          <w:sz w:val="22"/>
          <w:szCs w:val="22"/>
          <w:lang w:val="fr-FR"/>
        </w:rPr>
        <w:t>. Il s’agit d’un groupe de maladies du sang pour lesquelles des cellules du sang commencent à se multiplier de manière incontrôlée. Glivec inhibe la croissance de ces cellules dans un certain sous-groupe de ces maladies.</w:t>
      </w:r>
    </w:p>
    <w:p w14:paraId="0E2A8B0C" w14:textId="77777777" w:rsidR="007D642D" w:rsidRPr="00961E0F" w:rsidRDefault="007D642D" w:rsidP="00527B2A">
      <w:pPr>
        <w:pStyle w:val="Listlevel1"/>
        <w:keepLines/>
        <w:numPr>
          <w:ilvl w:val="0"/>
          <w:numId w:val="16"/>
        </w:numPr>
        <w:tabs>
          <w:tab w:val="clear" w:pos="-113"/>
        </w:tabs>
        <w:spacing w:before="0" w:after="0"/>
        <w:ind w:left="567" w:hanging="567"/>
        <w:rPr>
          <w:color w:val="000000"/>
          <w:sz w:val="22"/>
          <w:szCs w:val="22"/>
          <w:lang w:val="fr-FR"/>
        </w:rPr>
      </w:pPr>
      <w:r w:rsidRPr="00961E0F">
        <w:rPr>
          <w:b/>
          <w:color w:val="000000"/>
          <w:sz w:val="22"/>
          <w:szCs w:val="22"/>
          <w:lang w:val="fr-FR"/>
        </w:rPr>
        <w:lastRenderedPageBreak/>
        <w:t>Syndrome hyperéosinophilique (SHE) et/ou de la leucémie chronique à éosinophiles (LCE)</w:t>
      </w:r>
      <w:r w:rsidRPr="00961E0F">
        <w:rPr>
          <w:color w:val="000000"/>
          <w:sz w:val="22"/>
          <w:szCs w:val="22"/>
          <w:lang w:val="fr-FR"/>
        </w:rPr>
        <w:t>. Ce sont des maladies pour lesquelles des cellules du sang (appelées éosinophiles) commencent à se multiplier de manière incontrôlée. Glivec inhibe la croissance de ces cellules dans un certain sous-groupe de ces maladies.</w:t>
      </w:r>
    </w:p>
    <w:p w14:paraId="1124FE3D" w14:textId="77777777" w:rsidR="007D642D" w:rsidRPr="00961E0F" w:rsidRDefault="007D642D">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Tumeurs stromales gastro-intestinales malignes (GIST)</w:t>
      </w:r>
      <w:r w:rsidRPr="00961E0F">
        <w:rPr>
          <w:color w:val="000000"/>
          <w:szCs w:val="22"/>
          <w:lang w:val="fr-FR"/>
        </w:rPr>
        <w:t>. GIST est un cancer de l'estomac et des intestins. Il résulte de la croissance cellulaire incontrôlée des tissus de support de ces organes. Glivec inhibe la croissance de ces cellules.</w:t>
      </w:r>
    </w:p>
    <w:p w14:paraId="533A2A73" w14:textId="77777777" w:rsidR="007D642D" w:rsidRPr="00961E0F" w:rsidRDefault="007D642D">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Dermatofibrosarcome protuberans (DFSP)</w:t>
      </w:r>
      <w:r w:rsidRPr="00961E0F">
        <w:rPr>
          <w:color w:val="000000"/>
          <w:szCs w:val="22"/>
          <w:lang w:val="fr-FR"/>
        </w:rPr>
        <w:t>. Le dermatofibrosarcome est un cancer du tissu sous la peau dans lequel certaines cellules commencent à se multiplier de manière incontrôlée. Glivec inhibe la croissance de ces cellules.</w:t>
      </w:r>
    </w:p>
    <w:p w14:paraId="797B51C5"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Par la suite dans cette notice, les abréviations ci-dessus sont utilisées pour désigner ces maladies.</w:t>
      </w:r>
    </w:p>
    <w:p w14:paraId="0AFCE429" w14:textId="77777777" w:rsidR="007D642D" w:rsidRPr="00961E0F" w:rsidRDefault="007D642D">
      <w:pPr>
        <w:pStyle w:val="paragraphSIF"/>
        <w:widowControl w:val="0"/>
        <w:tabs>
          <w:tab w:val="clear" w:pos="-720"/>
        </w:tabs>
        <w:suppressAutoHyphens/>
        <w:jc w:val="left"/>
        <w:rPr>
          <w:color w:val="000000"/>
          <w:szCs w:val="22"/>
          <w:lang w:val="fr-FR"/>
        </w:rPr>
      </w:pPr>
    </w:p>
    <w:p w14:paraId="22C9BA75" w14:textId="77777777" w:rsidR="007D642D" w:rsidRPr="00961E0F" w:rsidRDefault="007D642D">
      <w:pPr>
        <w:pStyle w:val="paragraphSIF"/>
        <w:widowControl w:val="0"/>
        <w:tabs>
          <w:tab w:val="clear" w:pos="-720"/>
        </w:tabs>
        <w:suppressAutoHyphens/>
        <w:jc w:val="left"/>
        <w:rPr>
          <w:color w:val="000000"/>
          <w:lang w:val="fr-FR"/>
        </w:rPr>
      </w:pPr>
      <w:r w:rsidRPr="00961E0F">
        <w:rPr>
          <w:color w:val="000000"/>
          <w:lang w:val="fr-FR"/>
        </w:rPr>
        <w:t>Si vous avez des questions sur comment Glivec agit ou pourquoi ce médicament vous a été prescrit, adressez-vous à votre médecin.</w:t>
      </w:r>
    </w:p>
    <w:p w14:paraId="3002F1DF" w14:textId="77777777" w:rsidR="007D642D" w:rsidRPr="00961E0F" w:rsidRDefault="007D642D">
      <w:pPr>
        <w:widowControl w:val="0"/>
        <w:suppressAutoHyphens/>
        <w:rPr>
          <w:rFonts w:ascii="Times New Roman" w:hAnsi="Times New Roman"/>
          <w:color w:val="000000"/>
          <w:szCs w:val="22"/>
        </w:rPr>
      </w:pPr>
    </w:p>
    <w:p w14:paraId="7C05C9E8" w14:textId="77777777" w:rsidR="007D642D" w:rsidRPr="00961E0F" w:rsidRDefault="007D642D">
      <w:pPr>
        <w:widowControl w:val="0"/>
        <w:suppressAutoHyphens/>
        <w:rPr>
          <w:rFonts w:ascii="Times New Roman" w:hAnsi="Times New Roman"/>
          <w:color w:val="000000"/>
          <w:szCs w:val="22"/>
        </w:rPr>
      </w:pPr>
    </w:p>
    <w:p w14:paraId="051FB794" w14:textId="77777777" w:rsidR="007D642D" w:rsidRPr="00961E0F" w:rsidRDefault="007D642D" w:rsidP="00527B2A">
      <w:pPr>
        <w:keepNext/>
        <w:widowControl w:val="0"/>
        <w:suppressAutoHyphens/>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Quelles sont les informations à connaître avant de prendre Glivec</w:t>
      </w:r>
    </w:p>
    <w:p w14:paraId="2CD26AA1" w14:textId="77777777" w:rsidR="007D642D" w:rsidRPr="00961E0F" w:rsidRDefault="007D642D" w:rsidP="00527B2A">
      <w:pPr>
        <w:keepNext/>
        <w:widowControl w:val="0"/>
        <w:suppressAutoHyphens/>
        <w:ind w:left="567" w:hanging="567"/>
        <w:rPr>
          <w:rFonts w:ascii="Times New Roman" w:hAnsi="Times New Roman"/>
          <w:color w:val="000000"/>
          <w:szCs w:val="22"/>
        </w:rPr>
      </w:pPr>
    </w:p>
    <w:p w14:paraId="1F516F5E"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Glivec vous sera prescrit uniquement par un médecin qui a l’expérience des médicaments utilisés dans les traitements des cancers du sang ou de tumeurs solides.</w:t>
      </w:r>
    </w:p>
    <w:p w14:paraId="122A2A90" w14:textId="77777777" w:rsidR="007D642D" w:rsidRPr="00961E0F" w:rsidRDefault="007D642D">
      <w:pPr>
        <w:widowControl w:val="0"/>
        <w:suppressAutoHyphens/>
        <w:rPr>
          <w:rFonts w:ascii="Times New Roman" w:hAnsi="Times New Roman"/>
          <w:color w:val="000000"/>
          <w:szCs w:val="22"/>
        </w:rPr>
      </w:pPr>
    </w:p>
    <w:p w14:paraId="76AF9FBD"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Suivez attentivement toutes les instructions qui vous sont données par votre médecin même si elles diffèrent des informations générales qui sont précisées dans cette notice.</w:t>
      </w:r>
    </w:p>
    <w:p w14:paraId="4A901629" w14:textId="77777777" w:rsidR="007D642D" w:rsidRPr="00961E0F" w:rsidRDefault="007D642D">
      <w:pPr>
        <w:widowControl w:val="0"/>
        <w:suppressAutoHyphens/>
        <w:rPr>
          <w:rFonts w:ascii="Times New Roman" w:hAnsi="Times New Roman"/>
          <w:color w:val="000000"/>
          <w:szCs w:val="22"/>
        </w:rPr>
      </w:pPr>
    </w:p>
    <w:p w14:paraId="14AF1085" w14:textId="77777777" w:rsidR="007D642D" w:rsidRPr="00961E0F" w:rsidRDefault="007D642D" w:rsidP="00527B2A">
      <w:pPr>
        <w:pStyle w:val="BodyText2"/>
        <w:keepNext/>
        <w:widowControl w:val="0"/>
        <w:rPr>
          <w:b/>
          <w:color w:val="000000"/>
          <w:szCs w:val="22"/>
        </w:rPr>
      </w:pPr>
      <w:r w:rsidRPr="00961E0F">
        <w:rPr>
          <w:b/>
          <w:color w:val="000000"/>
          <w:szCs w:val="22"/>
        </w:rPr>
        <w:t>Ne prenez jamais Glivec :</w:t>
      </w:r>
    </w:p>
    <w:p w14:paraId="1B1967D4" w14:textId="77777777" w:rsidR="007D642D" w:rsidRPr="00961E0F" w:rsidRDefault="007D642D" w:rsidP="00527B2A">
      <w:pPr>
        <w:pStyle w:val="BodyText2"/>
        <w:keepNext/>
        <w:widowControl w:val="0"/>
        <w:numPr>
          <w:ilvl w:val="0"/>
          <w:numId w:val="4"/>
        </w:numPr>
        <w:ind w:left="567" w:hanging="567"/>
        <w:rPr>
          <w:color w:val="000000"/>
          <w:szCs w:val="22"/>
        </w:rPr>
      </w:pPr>
      <w:r w:rsidRPr="00961E0F">
        <w:rPr>
          <w:color w:val="000000"/>
          <w:szCs w:val="22"/>
        </w:rPr>
        <w:t>si vous êtes allergique à l’imatinib ou à l’un des autres composants contenus dans ce médicament mentionnés à la rubrique 6.</w:t>
      </w:r>
    </w:p>
    <w:p w14:paraId="38B0FB9E" w14:textId="77777777" w:rsidR="007D642D" w:rsidRPr="00961E0F" w:rsidRDefault="007D642D">
      <w:pPr>
        <w:pStyle w:val="BodyText2"/>
        <w:widowControl w:val="0"/>
        <w:ind w:left="0" w:firstLine="0"/>
        <w:rPr>
          <w:color w:val="000000"/>
          <w:szCs w:val="22"/>
        </w:rPr>
      </w:pPr>
      <w:r w:rsidRPr="00961E0F">
        <w:rPr>
          <w:color w:val="000000"/>
          <w:szCs w:val="22"/>
        </w:rPr>
        <w:t>Si vous êtes concernés,</w:t>
      </w:r>
      <w:r w:rsidRPr="00961E0F">
        <w:rPr>
          <w:b/>
          <w:color w:val="000000"/>
          <w:szCs w:val="22"/>
        </w:rPr>
        <w:t xml:space="preserve"> parlez-en à votre médecin avant de prendre Glivec</w:t>
      </w:r>
      <w:r w:rsidRPr="00961E0F">
        <w:rPr>
          <w:color w:val="000000"/>
          <w:szCs w:val="22"/>
        </w:rPr>
        <w:t>.</w:t>
      </w:r>
    </w:p>
    <w:p w14:paraId="78B1C0CD" w14:textId="77777777" w:rsidR="007D642D" w:rsidRPr="00961E0F" w:rsidRDefault="007D642D">
      <w:pPr>
        <w:pStyle w:val="BodyText2"/>
        <w:widowControl w:val="0"/>
        <w:ind w:left="0" w:firstLine="0"/>
        <w:rPr>
          <w:color w:val="000000"/>
          <w:szCs w:val="22"/>
        </w:rPr>
      </w:pPr>
    </w:p>
    <w:p w14:paraId="563E6199" w14:textId="77777777" w:rsidR="007D642D" w:rsidRPr="00961E0F" w:rsidRDefault="007D642D">
      <w:pPr>
        <w:pStyle w:val="BodyText2"/>
        <w:widowControl w:val="0"/>
        <w:ind w:left="0" w:firstLine="0"/>
        <w:rPr>
          <w:color w:val="000000"/>
          <w:szCs w:val="22"/>
        </w:rPr>
      </w:pPr>
      <w:r w:rsidRPr="00961E0F">
        <w:rPr>
          <w:color w:val="000000"/>
          <w:szCs w:val="22"/>
        </w:rPr>
        <w:t>Si vous pensez que vous pouvez être allergique mais vous n’êtes pas sûre, demandez l’avis de votre médecin.</w:t>
      </w:r>
    </w:p>
    <w:p w14:paraId="3232FE6E" w14:textId="77777777" w:rsidR="007D642D" w:rsidRPr="00961E0F" w:rsidRDefault="007D642D">
      <w:pPr>
        <w:widowControl w:val="0"/>
        <w:suppressAutoHyphens/>
        <w:rPr>
          <w:rFonts w:ascii="Times New Roman" w:hAnsi="Times New Roman"/>
          <w:color w:val="000000"/>
          <w:szCs w:val="22"/>
        </w:rPr>
      </w:pPr>
    </w:p>
    <w:p w14:paraId="69577F40"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noProof/>
          <w:szCs w:val="22"/>
          <w:lang w:val="fr-BE"/>
        </w:rPr>
        <w:t>Avertissements et précautions</w:t>
      </w:r>
    </w:p>
    <w:p w14:paraId="5CB9AA6B" w14:textId="77777777" w:rsidR="007D642D" w:rsidRPr="00961E0F" w:rsidRDefault="007D642D" w:rsidP="00527B2A">
      <w:pPr>
        <w:keepNext/>
        <w:widowControl w:val="0"/>
        <w:suppressAutoHyphens/>
        <w:rPr>
          <w:rFonts w:ascii="Times New Roman" w:hAnsi="Times New Roman"/>
          <w:color w:val="000000"/>
          <w:szCs w:val="22"/>
        </w:rPr>
      </w:pPr>
      <w:r w:rsidRPr="00961E0F">
        <w:rPr>
          <w:rFonts w:ascii="Times New Roman" w:hAnsi="Times New Roman"/>
          <w:color w:val="000000"/>
          <w:szCs w:val="22"/>
        </w:rPr>
        <w:t>Adressez-vous à votre médecin avant de prendre Glivec :</w:t>
      </w:r>
    </w:p>
    <w:p w14:paraId="59CBA17D" w14:textId="77777777" w:rsidR="007D642D" w:rsidRPr="00961E0F" w:rsidRDefault="007D642D">
      <w:pPr>
        <w:widowControl w:val="0"/>
        <w:numPr>
          <w:ilvl w:val="0"/>
          <w:numId w:val="4"/>
        </w:numPr>
        <w:suppressAutoHyphens/>
        <w:ind w:left="567" w:hanging="567"/>
        <w:rPr>
          <w:rFonts w:ascii="Times New Roman" w:hAnsi="Times New Roman"/>
          <w:color w:val="000000"/>
          <w:szCs w:val="22"/>
        </w:rPr>
      </w:pPr>
      <w:r w:rsidRPr="00961E0F">
        <w:rPr>
          <w:rFonts w:ascii="Times New Roman" w:hAnsi="Times New Roman"/>
          <w:color w:val="000000"/>
          <w:szCs w:val="22"/>
        </w:rPr>
        <w:t>si vous avez ou avez eu un problème au foie, aux reins ou au cœur.</w:t>
      </w:r>
    </w:p>
    <w:p w14:paraId="73FF1159" w14:textId="77777777" w:rsidR="007D642D" w:rsidRPr="00961E0F" w:rsidRDefault="007D642D">
      <w:pPr>
        <w:widowControl w:val="0"/>
        <w:numPr>
          <w:ilvl w:val="0"/>
          <w:numId w:val="4"/>
        </w:numPr>
        <w:suppressAutoHyphens/>
        <w:ind w:left="567" w:hanging="567"/>
        <w:rPr>
          <w:rFonts w:ascii="Times New Roman" w:hAnsi="Times New Roman"/>
          <w:color w:val="000000"/>
          <w:szCs w:val="22"/>
        </w:rPr>
      </w:pPr>
      <w:r w:rsidRPr="00961E0F">
        <w:rPr>
          <w:rFonts w:ascii="Times New Roman" w:hAnsi="Times New Roman"/>
          <w:color w:val="000000"/>
          <w:szCs w:val="22"/>
        </w:rPr>
        <w:t>si vous recevez un traitement par lévotyroxine car vous avez subi une chirurgie de la thyroïde.</w:t>
      </w:r>
    </w:p>
    <w:p w14:paraId="1B49747A" w14:textId="77777777" w:rsidR="008914A0" w:rsidRPr="00961E0F" w:rsidRDefault="008914A0" w:rsidP="005964B1">
      <w:pPr>
        <w:pStyle w:val="Default"/>
        <w:numPr>
          <w:ilvl w:val="0"/>
          <w:numId w:val="4"/>
        </w:numPr>
        <w:snapToGrid w:val="0"/>
        <w:ind w:left="567" w:hanging="567"/>
        <w:rPr>
          <w:rFonts w:ascii="Times New Roman" w:hAnsi="Times New Roman" w:cs="Times New Roman"/>
          <w:sz w:val="22"/>
          <w:szCs w:val="22"/>
          <w:lang w:val="fr-FR"/>
        </w:rPr>
      </w:pPr>
      <w:r w:rsidRPr="00961E0F">
        <w:rPr>
          <w:rFonts w:ascii="Times New Roman" w:hAnsi="Times New Roman" w:cs="Times New Roman"/>
          <w:sz w:val="22"/>
          <w:szCs w:val="22"/>
          <w:lang w:val="fr-FR"/>
        </w:rPr>
        <w:t xml:space="preserve">si vous avez </w:t>
      </w:r>
      <w:r w:rsidR="0035272B" w:rsidRPr="00961E0F">
        <w:rPr>
          <w:rFonts w:ascii="Times New Roman" w:hAnsi="Times New Roman" w:cs="Times New Roman"/>
          <w:sz w:val="22"/>
          <w:szCs w:val="22"/>
          <w:lang w:val="fr-FR"/>
        </w:rPr>
        <w:t xml:space="preserve">déjà </w:t>
      </w:r>
      <w:r w:rsidRPr="00961E0F">
        <w:rPr>
          <w:rFonts w:ascii="Times New Roman" w:hAnsi="Times New Roman" w:cs="Times New Roman"/>
          <w:sz w:val="22"/>
          <w:szCs w:val="22"/>
          <w:lang w:val="fr-FR"/>
        </w:rPr>
        <w:t>eu ou pouvez avoir actuellement une hépatite B. En effet, Glivec pourrait réactiver votre hépatite B, ce qui peut être fatal dans certains cas. Les patients seront étroitement surveillés par leur médecin afin de détecter tout signe d’infection avant l’instauration du traitement.</w:t>
      </w:r>
    </w:p>
    <w:p w14:paraId="6C062A95" w14:textId="77777777" w:rsidR="00114267" w:rsidRPr="00961E0F" w:rsidRDefault="00237C0F" w:rsidP="00114267">
      <w:pPr>
        <w:widowControl w:val="0"/>
        <w:numPr>
          <w:ilvl w:val="0"/>
          <w:numId w:val="4"/>
        </w:numPr>
        <w:suppressAutoHyphens/>
        <w:ind w:left="567" w:hanging="567"/>
        <w:rPr>
          <w:rFonts w:ascii="Times New Roman" w:hAnsi="Times New Roman"/>
          <w:szCs w:val="22"/>
        </w:rPr>
      </w:pPr>
      <w:r w:rsidRPr="00961E0F">
        <w:rPr>
          <w:rFonts w:ascii="Times New Roman" w:hAnsi="Times New Roman"/>
          <w:szCs w:val="22"/>
        </w:rPr>
        <w:t>s</w:t>
      </w:r>
      <w:r w:rsidR="00114267" w:rsidRPr="00961E0F">
        <w:rPr>
          <w:rFonts w:ascii="Times New Roman" w:hAnsi="Times New Roman"/>
          <w:szCs w:val="22"/>
        </w:rPr>
        <w:t xml:space="preserve">i vous présentez des ecchymoses, des saignements, de la fièvre, de la fatigue et une confusion quand vous prenez Glivec, contactez votre médecin. Cela peut être </w:t>
      </w:r>
      <w:r w:rsidR="0075579D" w:rsidRPr="00961E0F">
        <w:rPr>
          <w:rFonts w:ascii="Times New Roman" w:hAnsi="Times New Roman"/>
          <w:szCs w:val="22"/>
        </w:rPr>
        <w:t>un</w:t>
      </w:r>
      <w:r w:rsidR="00114267" w:rsidRPr="00961E0F">
        <w:rPr>
          <w:rFonts w:ascii="Times New Roman" w:hAnsi="Times New Roman"/>
          <w:szCs w:val="22"/>
        </w:rPr>
        <w:t xml:space="preserve"> signe d</w:t>
      </w:r>
      <w:r w:rsidR="0075579D" w:rsidRPr="00961E0F">
        <w:rPr>
          <w:rFonts w:ascii="Times New Roman" w:hAnsi="Times New Roman"/>
          <w:szCs w:val="22"/>
        </w:rPr>
        <w:t>e</w:t>
      </w:r>
      <w:r w:rsidR="00114267" w:rsidRPr="00961E0F">
        <w:rPr>
          <w:rFonts w:ascii="Times New Roman" w:hAnsi="Times New Roman"/>
          <w:szCs w:val="22"/>
        </w:rPr>
        <w:t xml:space="preserve"> lésion des vaisseaux sanguins connue sous le nom de microangiopathie thrombotique (MAT).</w:t>
      </w:r>
    </w:p>
    <w:p w14:paraId="439C9429" w14:textId="77777777" w:rsidR="007D642D" w:rsidRPr="00961E0F" w:rsidRDefault="007D642D" w:rsidP="005964B1">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l’une de ces situations vous concerne, </w:t>
      </w:r>
      <w:r w:rsidRPr="00961E0F">
        <w:rPr>
          <w:rFonts w:ascii="Times New Roman" w:hAnsi="Times New Roman"/>
          <w:b/>
          <w:color w:val="000000"/>
          <w:szCs w:val="22"/>
        </w:rPr>
        <w:t>parlez-en à votre médecin avant de prendre Glivec</w:t>
      </w:r>
      <w:r w:rsidRPr="00961E0F">
        <w:rPr>
          <w:rFonts w:ascii="Times New Roman" w:hAnsi="Times New Roman"/>
          <w:color w:val="000000"/>
          <w:szCs w:val="22"/>
        </w:rPr>
        <w:t>.</w:t>
      </w:r>
    </w:p>
    <w:p w14:paraId="68ECB073" w14:textId="77777777" w:rsidR="00226601" w:rsidRPr="00961E0F" w:rsidRDefault="00226601" w:rsidP="005964B1">
      <w:pPr>
        <w:widowControl w:val="0"/>
        <w:suppressAutoHyphens/>
        <w:rPr>
          <w:rFonts w:ascii="Times New Roman" w:hAnsi="Times New Roman"/>
          <w:color w:val="000000"/>
          <w:szCs w:val="22"/>
        </w:rPr>
      </w:pPr>
    </w:p>
    <w:p w14:paraId="5B3A1786" w14:textId="77777777" w:rsidR="00226601" w:rsidRPr="00961E0F" w:rsidRDefault="00226601" w:rsidP="005964B1">
      <w:pPr>
        <w:widowControl w:val="0"/>
        <w:suppressAutoHyphens/>
        <w:rPr>
          <w:rFonts w:ascii="Times New Roman" w:eastAsia="SimSun" w:hAnsi="Times New Roman"/>
          <w:snapToGrid w:val="0"/>
          <w:color w:val="000000"/>
          <w:szCs w:val="22"/>
        </w:rPr>
      </w:pPr>
      <w:r w:rsidRPr="00961E0F">
        <w:rPr>
          <w:rFonts w:ascii="Times New Roman" w:eastAsia="SimSun" w:hAnsi="Times New Roman"/>
          <w:snapToGrid w:val="0"/>
          <w:color w:val="000000"/>
          <w:szCs w:val="22"/>
        </w:rPr>
        <w:t>Vous pourriez devenir plus sensible au soleil pendant votre traitement par Glivec. Il est important de couvrir les zones de la peau exposées au soleil et d’utiliser un écran solaire avec un facteur de protection solaire (FPS) élevé. Ces précautions doivent également être appliquées chez les enfants.</w:t>
      </w:r>
    </w:p>
    <w:p w14:paraId="5EA55129" w14:textId="77777777" w:rsidR="007D642D" w:rsidRPr="00961E0F" w:rsidRDefault="007D642D">
      <w:pPr>
        <w:widowControl w:val="0"/>
        <w:suppressAutoHyphens/>
        <w:rPr>
          <w:rFonts w:ascii="Times New Roman" w:hAnsi="Times New Roman"/>
          <w:color w:val="000000"/>
          <w:szCs w:val="22"/>
        </w:rPr>
      </w:pPr>
    </w:p>
    <w:p w14:paraId="072777CD"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b/>
          <w:color w:val="000000"/>
          <w:szCs w:val="22"/>
        </w:rPr>
        <w:t>Au cours de votre traitement avec Glivec, dites immédiatement à votre médecin</w:t>
      </w:r>
      <w:r w:rsidRPr="00961E0F">
        <w:rPr>
          <w:rFonts w:ascii="Times New Roman" w:hAnsi="Times New Roman"/>
          <w:color w:val="000000"/>
          <w:szCs w:val="22"/>
        </w:rPr>
        <w:t xml:space="preserve"> si vous prenez du poids très rapidement. Glivec peut faire que votre corps va retenir plus d’eau (rétention d’eau sévère).</w:t>
      </w:r>
    </w:p>
    <w:p w14:paraId="102BA827" w14:textId="77777777" w:rsidR="007D642D" w:rsidRPr="00961E0F" w:rsidRDefault="007D642D">
      <w:pPr>
        <w:widowControl w:val="0"/>
        <w:suppressAutoHyphens/>
        <w:rPr>
          <w:rFonts w:ascii="Times New Roman" w:hAnsi="Times New Roman"/>
          <w:color w:val="000000"/>
          <w:szCs w:val="22"/>
        </w:rPr>
      </w:pPr>
    </w:p>
    <w:p w14:paraId="75DE87E1"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Pendant que vous prenez Glivec, votre médecin surveillera régulièrement si ce médicament agit. Des examens sanguins seront réalisés et vous serez régulièrement pesé pendant que vous prendrez Glivec.</w:t>
      </w:r>
    </w:p>
    <w:p w14:paraId="750FA6EA" w14:textId="77777777" w:rsidR="007D642D" w:rsidRPr="00961E0F" w:rsidRDefault="007D642D">
      <w:pPr>
        <w:pStyle w:val="paragraphSIF"/>
        <w:widowControl w:val="0"/>
        <w:tabs>
          <w:tab w:val="clear" w:pos="-720"/>
        </w:tabs>
        <w:suppressAutoHyphens/>
        <w:jc w:val="left"/>
        <w:rPr>
          <w:color w:val="000000"/>
          <w:szCs w:val="22"/>
          <w:lang w:val="fr-FR"/>
        </w:rPr>
      </w:pPr>
    </w:p>
    <w:p w14:paraId="748359AA" w14:textId="77777777" w:rsidR="007D642D" w:rsidRPr="00961E0F" w:rsidRDefault="007D642D" w:rsidP="00527B2A">
      <w:pPr>
        <w:keepNext/>
        <w:rPr>
          <w:rFonts w:ascii="Times New Roman" w:hAnsi="Times New Roman"/>
          <w:b/>
          <w:bCs/>
          <w:color w:val="000000"/>
        </w:rPr>
      </w:pPr>
      <w:r w:rsidRPr="00961E0F">
        <w:rPr>
          <w:rFonts w:ascii="Times New Roman" w:hAnsi="Times New Roman"/>
          <w:b/>
          <w:bCs/>
          <w:color w:val="000000"/>
        </w:rPr>
        <w:lastRenderedPageBreak/>
        <w:t>Enfants et adolescents</w:t>
      </w:r>
    </w:p>
    <w:p w14:paraId="6E13B5EE" w14:textId="77777777" w:rsidR="007D642D" w:rsidRPr="00961E0F" w:rsidRDefault="007D642D">
      <w:pPr>
        <w:rPr>
          <w:rFonts w:ascii="Times New Roman" w:hAnsi="Times New Roman"/>
          <w:color w:val="000000"/>
        </w:rPr>
      </w:pPr>
      <w:r w:rsidRPr="00961E0F">
        <w:rPr>
          <w:rFonts w:ascii="Times New Roman" w:hAnsi="Times New Roman"/>
          <w:color w:val="000000"/>
        </w:rPr>
        <w:t xml:space="preserve">Glivec est aussi un traitement de </w:t>
      </w:r>
      <w:smartTag w:uri="urn:schemas-microsoft-com:office:smarttags" w:element="PersonName">
        <w:smartTagPr>
          <w:attr w:name="ProductID" w:val="la LMC"/>
        </w:smartTagPr>
        <w:r w:rsidRPr="00961E0F">
          <w:rPr>
            <w:rFonts w:ascii="Times New Roman" w:hAnsi="Times New Roman"/>
            <w:color w:val="000000"/>
          </w:rPr>
          <w:t>la LMC</w:t>
        </w:r>
      </w:smartTag>
      <w:r w:rsidRPr="00961E0F">
        <w:rPr>
          <w:rFonts w:ascii="Times New Roman" w:hAnsi="Times New Roman"/>
          <w:color w:val="000000"/>
        </w:rPr>
        <w:t xml:space="preserve"> chez l’enfant. Il n’y a pas eu d’utilisation de Glivec chez l’enfant de moins de 2 ans. L’</w:t>
      </w:r>
      <w:r w:rsidR="009D0572" w:rsidRPr="00961E0F">
        <w:rPr>
          <w:rFonts w:ascii="Times New Roman" w:hAnsi="Times New Roman"/>
          <w:color w:val="000000"/>
        </w:rPr>
        <w:t>expérience est limitée</w:t>
      </w:r>
      <w:r w:rsidRPr="00961E0F">
        <w:rPr>
          <w:rFonts w:ascii="Times New Roman" w:hAnsi="Times New Roman"/>
          <w:color w:val="000000"/>
        </w:rPr>
        <w:t xml:space="preserve"> chez les enfants ayant une LAL Ph-positive</w:t>
      </w:r>
      <w:r w:rsidR="009D0572" w:rsidRPr="00961E0F">
        <w:rPr>
          <w:rFonts w:ascii="Times New Roman" w:hAnsi="Times New Roman"/>
          <w:color w:val="000000"/>
        </w:rPr>
        <w:t xml:space="preserve"> et très limitée chez les enfants ayant un SMP/SMD, DFSP, GIST et SHE/LCE</w:t>
      </w:r>
      <w:r w:rsidRPr="00961E0F">
        <w:rPr>
          <w:rFonts w:ascii="Times New Roman" w:hAnsi="Times New Roman"/>
          <w:color w:val="000000"/>
        </w:rPr>
        <w:t>.</w:t>
      </w:r>
    </w:p>
    <w:p w14:paraId="05377050" w14:textId="77777777" w:rsidR="007D642D" w:rsidRPr="00961E0F" w:rsidRDefault="007D642D">
      <w:pPr>
        <w:rPr>
          <w:rFonts w:ascii="Times New Roman" w:hAnsi="Times New Roman"/>
          <w:color w:val="000000"/>
        </w:rPr>
      </w:pPr>
    </w:p>
    <w:p w14:paraId="3ADC627D" w14:textId="77777777" w:rsidR="007D642D" w:rsidRPr="00961E0F" w:rsidRDefault="007D642D">
      <w:pPr>
        <w:rPr>
          <w:rFonts w:ascii="Times New Roman" w:hAnsi="Times New Roman"/>
          <w:color w:val="000000"/>
        </w:rPr>
      </w:pPr>
      <w:r w:rsidRPr="00961E0F">
        <w:rPr>
          <w:rFonts w:ascii="Times New Roman" w:hAnsi="Times New Roman"/>
          <w:color w:val="000000"/>
        </w:rPr>
        <w:t>Certains enfants ou adolescents traités par Glivec peuvent avoir un retard de croissance. Le médecin surveillera régulièrement la croissance de votre enfant lors des visites prévues.</w:t>
      </w:r>
    </w:p>
    <w:p w14:paraId="33BB1C71" w14:textId="77777777" w:rsidR="007D642D" w:rsidRPr="00961E0F" w:rsidRDefault="007D642D">
      <w:pPr>
        <w:pStyle w:val="paragraphSIF"/>
        <w:widowControl w:val="0"/>
        <w:tabs>
          <w:tab w:val="clear" w:pos="-720"/>
        </w:tabs>
        <w:suppressAutoHyphens/>
        <w:jc w:val="left"/>
        <w:rPr>
          <w:color w:val="000000"/>
          <w:szCs w:val="22"/>
          <w:lang w:val="fr-FR"/>
        </w:rPr>
      </w:pPr>
    </w:p>
    <w:p w14:paraId="2C3EFC62" w14:textId="77777777" w:rsidR="007D642D" w:rsidRPr="00961E0F" w:rsidRDefault="007D642D" w:rsidP="00527B2A">
      <w:pPr>
        <w:pStyle w:val="paragraphSIF"/>
        <w:keepNext/>
        <w:widowControl w:val="0"/>
        <w:tabs>
          <w:tab w:val="clear" w:pos="-720"/>
        </w:tabs>
        <w:suppressAutoHyphens/>
        <w:jc w:val="left"/>
        <w:rPr>
          <w:b/>
          <w:color w:val="000000"/>
          <w:szCs w:val="22"/>
          <w:lang w:val="fr-FR"/>
        </w:rPr>
      </w:pPr>
      <w:r w:rsidRPr="00961E0F">
        <w:rPr>
          <w:b/>
          <w:color w:val="000000"/>
          <w:szCs w:val="22"/>
          <w:lang w:val="fr-FR"/>
        </w:rPr>
        <w:t>Autres médicaments et Glivec</w:t>
      </w:r>
    </w:p>
    <w:p w14:paraId="07651392"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lang w:val="fr-FR"/>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de Glivec lorsqu’ils sont pris en même temps. Ils peuvent augmenter ou diminuer l’effet de Glivec en menant à une augmentation des effets indésirables de Glivec ou à une moindre efficacité de Glivec. Glivec peut agir de la même façon sur d’autres médicaments.</w:t>
      </w:r>
    </w:p>
    <w:p w14:paraId="4BAC84F5" w14:textId="77777777" w:rsidR="007D642D" w:rsidRPr="00961E0F" w:rsidRDefault="007D642D">
      <w:pPr>
        <w:widowControl w:val="0"/>
        <w:suppressAutoHyphens/>
        <w:rPr>
          <w:rFonts w:ascii="Times New Roman" w:hAnsi="Times New Roman"/>
          <w:color w:val="000000"/>
          <w:szCs w:val="22"/>
        </w:rPr>
      </w:pPr>
    </w:p>
    <w:p w14:paraId="34757855"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Prévenez votre médecin si vous utilisez d’autres médicaments qui empêchent la formation de caillots sanguins.</w:t>
      </w:r>
    </w:p>
    <w:p w14:paraId="199619BE" w14:textId="77777777" w:rsidR="007D642D" w:rsidRPr="00961E0F" w:rsidRDefault="007D642D">
      <w:pPr>
        <w:widowControl w:val="0"/>
        <w:suppressAutoHyphens/>
        <w:rPr>
          <w:rFonts w:ascii="Times New Roman" w:hAnsi="Times New Roman"/>
          <w:color w:val="000000"/>
          <w:szCs w:val="22"/>
        </w:rPr>
      </w:pPr>
    </w:p>
    <w:p w14:paraId="2E663EBA"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 xml:space="preserve">Grossesse, allaitement et </w:t>
      </w:r>
      <w:r w:rsidR="0040674B" w:rsidRPr="00961E0F">
        <w:rPr>
          <w:rFonts w:ascii="Times New Roman" w:hAnsi="Times New Roman"/>
          <w:b/>
          <w:color w:val="000000"/>
          <w:szCs w:val="22"/>
        </w:rPr>
        <w:t>fertilité</w:t>
      </w:r>
    </w:p>
    <w:p w14:paraId="238141F5"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Si vous êtes enceinte ou que vous allaitez, si vous pensez être enceinte ou </w:t>
      </w:r>
      <w:r w:rsidR="00B83C4B" w:rsidRPr="00961E0F">
        <w:rPr>
          <w:rFonts w:ascii="Times New Roman" w:hAnsi="Times New Roman"/>
          <w:color w:val="000000"/>
          <w:szCs w:val="22"/>
        </w:rPr>
        <w:t>planifiez une grossesse</w:t>
      </w:r>
      <w:r w:rsidRPr="00961E0F">
        <w:rPr>
          <w:rFonts w:ascii="Times New Roman" w:hAnsi="Times New Roman"/>
          <w:color w:val="000000"/>
          <w:szCs w:val="22"/>
        </w:rPr>
        <w:t>, demandez conseil à votre médecin avant de prendre ce médicament.</w:t>
      </w:r>
    </w:p>
    <w:p w14:paraId="30CC2C6C"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Glivec ne doit pas être utilisé</w:t>
      </w:r>
      <w:r w:rsidRPr="00961E0F">
        <w:rPr>
          <w:color w:val="000000"/>
          <w:szCs w:val="22"/>
        </w:rPr>
        <w:t xml:space="preserve"> </w:t>
      </w:r>
      <w:r w:rsidRPr="00961E0F">
        <w:rPr>
          <w:rFonts w:ascii="Times New Roman" w:hAnsi="Times New Roman"/>
          <w:color w:val="000000"/>
          <w:szCs w:val="22"/>
        </w:rPr>
        <w:t>au cours de la grossesse à moins d’une nécessité absolue car il pourrait nuire à votre bébé. Votre médecin discutera avec vous des risques possibles de prendre Glivec au cours de la grossesse.</w:t>
      </w:r>
    </w:p>
    <w:p w14:paraId="23D0EB9A" w14:textId="51B5A336"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Chez les femmes pouvant être enceintes, une contraception efficace doit être conseillée</w:t>
      </w:r>
      <w:r w:rsidR="000414F8">
        <w:rPr>
          <w:rFonts w:ascii="Times New Roman" w:hAnsi="Times New Roman"/>
          <w:color w:val="000000"/>
          <w:szCs w:val="22"/>
        </w:rPr>
        <w:t xml:space="preserve"> pendant le traitement et pendant les 15 jours suivant l’arrêt du traitement</w:t>
      </w:r>
      <w:r w:rsidRPr="00961E0F">
        <w:rPr>
          <w:rFonts w:ascii="Times New Roman" w:hAnsi="Times New Roman"/>
          <w:color w:val="000000"/>
          <w:szCs w:val="22"/>
        </w:rPr>
        <w:t>.</w:t>
      </w:r>
    </w:p>
    <w:p w14:paraId="20EB278C"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N’allaitez pas au cours du traitement par Glivec</w:t>
      </w:r>
      <w:r w:rsidR="000414F8">
        <w:rPr>
          <w:rFonts w:ascii="Times New Roman" w:hAnsi="Times New Roman"/>
          <w:color w:val="000000"/>
          <w:szCs w:val="22"/>
        </w:rPr>
        <w:t xml:space="preserve"> et pendant les 15 jours suivant l’arrêt du traitement, car cela pourrait être nocif pour votre bébé</w:t>
      </w:r>
      <w:r w:rsidRPr="00961E0F">
        <w:rPr>
          <w:rFonts w:ascii="Times New Roman" w:hAnsi="Times New Roman"/>
          <w:color w:val="000000"/>
          <w:szCs w:val="22"/>
        </w:rPr>
        <w:t>.</w:t>
      </w:r>
    </w:p>
    <w:p w14:paraId="7858ECF7"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Il est conseillé aux patients qui s'inquièteraient de leur fécondité lors de la prise de Glivec de consulter leur médecin.</w:t>
      </w:r>
    </w:p>
    <w:p w14:paraId="0687A809" w14:textId="77777777" w:rsidR="007D642D" w:rsidRPr="00961E0F" w:rsidRDefault="007D642D">
      <w:pPr>
        <w:pStyle w:val="EndnoteText"/>
        <w:widowControl w:val="0"/>
        <w:tabs>
          <w:tab w:val="clear" w:pos="567"/>
        </w:tabs>
        <w:suppressAutoHyphens/>
        <w:rPr>
          <w:color w:val="000000"/>
          <w:szCs w:val="22"/>
          <w:lang w:val="fr-FR"/>
        </w:rPr>
      </w:pPr>
    </w:p>
    <w:p w14:paraId="1D460EC1"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Conduite de véhicules et utilisation de machines</w:t>
      </w:r>
    </w:p>
    <w:p w14:paraId="23B0BF68" w14:textId="77777777" w:rsidR="007D642D" w:rsidRPr="00961E0F" w:rsidRDefault="007D642D">
      <w:pPr>
        <w:suppressAutoHyphens/>
        <w:rPr>
          <w:rFonts w:ascii="Times New Roman" w:hAnsi="Times New Roman"/>
          <w:color w:val="000000"/>
        </w:rPr>
      </w:pPr>
      <w:r w:rsidRPr="00961E0F">
        <w:rPr>
          <w:rFonts w:ascii="Times New Roman" w:hAnsi="Times New Roman"/>
          <w:color w:val="000000"/>
          <w:szCs w:val="22"/>
        </w:rPr>
        <w:t xml:space="preserve">Vous pouvez avoir des vertiges, des étourdissements ou des troubles de la vision lorsque vous prenez ce traitement. Si cela se produit, </w:t>
      </w:r>
      <w:r w:rsidRPr="00961E0F">
        <w:rPr>
          <w:rFonts w:ascii="Times New Roman" w:hAnsi="Times New Roman"/>
          <w:color w:val="000000"/>
        </w:rPr>
        <w:t>ne conduisez pas ou n’utilisez pas de machines jusqu’à ce que vous vous sentiez de nouveau bien.</w:t>
      </w:r>
    </w:p>
    <w:p w14:paraId="4EABC296" w14:textId="77777777" w:rsidR="007D642D" w:rsidRPr="00961E0F" w:rsidRDefault="007D642D">
      <w:pPr>
        <w:pStyle w:val="paragraphSIF"/>
        <w:widowControl w:val="0"/>
        <w:tabs>
          <w:tab w:val="clear" w:pos="-720"/>
        </w:tabs>
        <w:suppressAutoHyphens/>
        <w:jc w:val="left"/>
        <w:rPr>
          <w:color w:val="000000"/>
          <w:szCs w:val="22"/>
          <w:lang w:val="fr-FR"/>
        </w:rPr>
      </w:pPr>
    </w:p>
    <w:p w14:paraId="2E54CB1C" w14:textId="77777777" w:rsidR="007D642D" w:rsidRPr="00961E0F" w:rsidRDefault="007D642D">
      <w:pPr>
        <w:widowControl w:val="0"/>
        <w:suppressAutoHyphens/>
        <w:ind w:left="567" w:hanging="567"/>
        <w:rPr>
          <w:rFonts w:ascii="Times New Roman" w:hAnsi="Times New Roman"/>
          <w:color w:val="000000"/>
          <w:szCs w:val="22"/>
        </w:rPr>
      </w:pPr>
    </w:p>
    <w:p w14:paraId="0600CA1E" w14:textId="77777777" w:rsidR="007D642D" w:rsidRPr="00961E0F" w:rsidRDefault="007D642D" w:rsidP="00527B2A">
      <w:pPr>
        <w:keepNext/>
        <w:widowControl w:val="0"/>
        <w:suppressAutoHyphens/>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Comment prendre Glivec</w:t>
      </w:r>
    </w:p>
    <w:p w14:paraId="67568550" w14:textId="77777777" w:rsidR="007D642D" w:rsidRPr="00961E0F" w:rsidRDefault="007D642D" w:rsidP="00527B2A">
      <w:pPr>
        <w:keepNext/>
        <w:widowControl w:val="0"/>
        <w:suppressAutoHyphens/>
        <w:rPr>
          <w:rFonts w:ascii="Times New Roman" w:hAnsi="Times New Roman"/>
          <w:color w:val="000000"/>
          <w:szCs w:val="22"/>
        </w:rPr>
      </w:pPr>
    </w:p>
    <w:p w14:paraId="7D45328A"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Votre médecin vous a prescrit Glivec car vous souffrez d’une maladie grave. Glivec peut vous aider à lutter contre cette maladie.</w:t>
      </w:r>
    </w:p>
    <w:p w14:paraId="62B0C839" w14:textId="77777777" w:rsidR="007D642D" w:rsidRPr="00961E0F" w:rsidRDefault="007D642D">
      <w:pPr>
        <w:widowControl w:val="0"/>
        <w:suppressAutoHyphens/>
        <w:rPr>
          <w:rFonts w:ascii="Times New Roman" w:hAnsi="Times New Roman"/>
          <w:color w:val="000000"/>
          <w:szCs w:val="22"/>
        </w:rPr>
      </w:pPr>
    </w:p>
    <w:p w14:paraId="32FE28B8"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Toutefois, veillez à toujours prendre ce médicament en suivant exactement les indications de votre médecin ou pharmacien.Il est important de le faire aussi longtemps que votre médecin ou votre pharmacien vous le dit. Vérifiez auprès de votre médecin ou pharmacien en cas de doute.</w:t>
      </w:r>
    </w:p>
    <w:p w14:paraId="5B6CF7E7" w14:textId="77777777" w:rsidR="007D642D" w:rsidRPr="00961E0F" w:rsidRDefault="007D642D">
      <w:pPr>
        <w:widowControl w:val="0"/>
        <w:suppressAutoHyphens/>
        <w:rPr>
          <w:rFonts w:ascii="Times New Roman" w:hAnsi="Times New Roman"/>
          <w:color w:val="000000"/>
          <w:szCs w:val="22"/>
        </w:rPr>
      </w:pPr>
    </w:p>
    <w:p w14:paraId="7E6F49AE"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Vous ne devez pas arrêter de prendre Glivec à moins que votre médecin vous l’ait dit. Si vous ne pouvez prendre ce médicament alors que votre médecin vous l’a prescrit ou vous pensez que vous n’en avez plus besoin, contactez immédiatement votre médecin.</w:t>
      </w:r>
    </w:p>
    <w:p w14:paraId="0E6AA694" w14:textId="77777777" w:rsidR="007D642D" w:rsidRPr="00961E0F" w:rsidRDefault="007D642D">
      <w:pPr>
        <w:widowControl w:val="0"/>
        <w:rPr>
          <w:rFonts w:ascii="Times New Roman" w:hAnsi="Times New Roman"/>
          <w:color w:val="000000"/>
          <w:szCs w:val="22"/>
        </w:rPr>
      </w:pPr>
    </w:p>
    <w:p w14:paraId="2C8533BD"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t>Quelle dose de Glivec prendre ?</w:t>
      </w:r>
    </w:p>
    <w:p w14:paraId="0D1EA770" w14:textId="77777777" w:rsidR="007D642D" w:rsidRPr="00961E0F" w:rsidRDefault="007D642D" w:rsidP="00527B2A">
      <w:pPr>
        <w:keepNext/>
        <w:widowControl w:val="0"/>
        <w:rPr>
          <w:rFonts w:ascii="Times New Roman" w:hAnsi="Times New Roman"/>
          <w:color w:val="000000"/>
          <w:szCs w:val="22"/>
        </w:rPr>
      </w:pPr>
    </w:p>
    <w:p w14:paraId="6C0A3BFE" w14:textId="77777777" w:rsidR="007D642D" w:rsidRPr="00961E0F" w:rsidRDefault="007D642D" w:rsidP="00527B2A">
      <w:pPr>
        <w:keepNext/>
        <w:widowControl w:val="0"/>
        <w:rPr>
          <w:rFonts w:ascii="Times New Roman" w:hAnsi="Times New Roman"/>
          <w:b/>
          <w:bCs/>
          <w:color w:val="000000"/>
          <w:szCs w:val="22"/>
        </w:rPr>
      </w:pPr>
      <w:r w:rsidRPr="00961E0F">
        <w:rPr>
          <w:rFonts w:ascii="Times New Roman" w:hAnsi="Times New Roman"/>
          <w:b/>
          <w:bCs/>
          <w:color w:val="000000"/>
          <w:szCs w:val="22"/>
        </w:rPr>
        <w:t>Utilisation chez les adultes</w:t>
      </w:r>
    </w:p>
    <w:p w14:paraId="5FAC63FA"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Votre médecin vous dira exactement combien de gélules vous devrez prendre.</w:t>
      </w:r>
    </w:p>
    <w:p w14:paraId="73844C74" w14:textId="77777777" w:rsidR="007D642D" w:rsidRPr="00961E0F" w:rsidRDefault="007D642D">
      <w:pPr>
        <w:pStyle w:val="paragraphSIF"/>
        <w:widowControl w:val="0"/>
        <w:tabs>
          <w:tab w:val="clear" w:pos="-720"/>
        </w:tabs>
        <w:suppressAutoHyphens/>
        <w:jc w:val="left"/>
        <w:rPr>
          <w:color w:val="000000"/>
          <w:szCs w:val="22"/>
          <w:lang w:val="fr-FR"/>
        </w:rPr>
      </w:pPr>
    </w:p>
    <w:p w14:paraId="3575E7CA" w14:textId="77777777" w:rsidR="007D642D" w:rsidRPr="00961E0F" w:rsidRDefault="007D642D" w:rsidP="00527B2A">
      <w:pPr>
        <w:pStyle w:val="paragraphSIF"/>
        <w:keepNext/>
        <w:widowControl w:val="0"/>
        <w:numPr>
          <w:ilvl w:val="0"/>
          <w:numId w:val="18"/>
        </w:numPr>
        <w:tabs>
          <w:tab w:val="clear" w:pos="-720"/>
          <w:tab w:val="clear" w:pos="366"/>
        </w:tabs>
        <w:suppressAutoHyphens/>
        <w:ind w:left="567" w:hanging="561"/>
        <w:jc w:val="left"/>
        <w:rPr>
          <w:b/>
          <w:color w:val="000000"/>
          <w:szCs w:val="22"/>
          <w:lang w:val="fr-FR"/>
        </w:rPr>
      </w:pPr>
      <w:r w:rsidRPr="00961E0F">
        <w:rPr>
          <w:b/>
          <w:color w:val="000000"/>
          <w:szCs w:val="22"/>
          <w:lang w:val="fr-FR"/>
        </w:rPr>
        <w:lastRenderedPageBreak/>
        <w:t>Si vous êtes traité(e) pour une LMC :</w:t>
      </w:r>
    </w:p>
    <w:p w14:paraId="074A0EB9" w14:textId="77777777" w:rsidR="007D642D" w:rsidRPr="00961E0F" w:rsidRDefault="007D642D" w:rsidP="00527B2A">
      <w:pPr>
        <w:pStyle w:val="paragraphSIF"/>
        <w:keepNext/>
        <w:widowControl w:val="0"/>
        <w:tabs>
          <w:tab w:val="clear" w:pos="-720"/>
        </w:tabs>
        <w:suppressAutoHyphens/>
        <w:ind w:left="567"/>
        <w:jc w:val="left"/>
        <w:rPr>
          <w:color w:val="000000"/>
          <w:szCs w:val="22"/>
          <w:lang w:val="fr-FR"/>
        </w:rPr>
      </w:pPr>
      <w:r w:rsidRPr="00961E0F">
        <w:rPr>
          <w:color w:val="000000"/>
          <w:szCs w:val="22"/>
          <w:lang w:val="fr-FR"/>
        </w:rPr>
        <w:t>En fonction de votre état, la dose usuelle pour débuter est soit 400 mg soit 600 mg :</w:t>
      </w:r>
    </w:p>
    <w:p w14:paraId="3F23769F" w14:textId="77777777" w:rsidR="007D642D" w:rsidRPr="00961E0F" w:rsidRDefault="007D642D" w:rsidP="00527B2A">
      <w:pPr>
        <w:pStyle w:val="paragraphSIF"/>
        <w:keepNext/>
        <w:widowControl w:val="0"/>
        <w:numPr>
          <w:ilvl w:val="0"/>
          <w:numId w:val="13"/>
        </w:numPr>
        <w:tabs>
          <w:tab w:val="clear" w:pos="-720"/>
          <w:tab w:val="clear" w:pos="968"/>
        </w:tabs>
        <w:suppressAutoHyphens/>
        <w:ind w:left="1134" w:hanging="567"/>
        <w:jc w:val="left"/>
        <w:rPr>
          <w:color w:val="000000"/>
          <w:szCs w:val="22"/>
          <w:lang w:val="fr-FR"/>
        </w:rPr>
      </w:pPr>
      <w:r w:rsidRPr="00961E0F">
        <w:rPr>
          <w:color w:val="000000"/>
          <w:szCs w:val="22"/>
          <w:lang w:val="fr-FR"/>
        </w:rPr>
        <w:t xml:space="preserve">pour </w:t>
      </w:r>
      <w:r w:rsidRPr="00961E0F">
        <w:rPr>
          <w:b/>
          <w:bCs/>
          <w:color w:val="000000"/>
          <w:szCs w:val="22"/>
          <w:lang w:val="fr-FR"/>
        </w:rPr>
        <w:t>400 mg</w:t>
      </w:r>
      <w:r w:rsidRPr="00961E0F">
        <w:rPr>
          <w:color w:val="000000"/>
          <w:szCs w:val="22"/>
          <w:lang w:val="fr-FR"/>
        </w:rPr>
        <w:t xml:space="preserve"> prendre 4 gélules </w:t>
      </w:r>
      <w:r w:rsidRPr="00961E0F">
        <w:rPr>
          <w:b/>
          <w:color w:val="000000"/>
          <w:szCs w:val="22"/>
          <w:lang w:val="fr-FR"/>
        </w:rPr>
        <w:t xml:space="preserve">une fois </w:t>
      </w:r>
      <w:r w:rsidRPr="00961E0F">
        <w:rPr>
          <w:color w:val="000000"/>
          <w:szCs w:val="22"/>
          <w:lang w:val="fr-FR"/>
        </w:rPr>
        <w:t>par jour.</w:t>
      </w:r>
    </w:p>
    <w:p w14:paraId="4E8A7A11" w14:textId="77777777" w:rsidR="007D642D" w:rsidRPr="00961E0F" w:rsidRDefault="007D642D">
      <w:pPr>
        <w:pStyle w:val="paragraphSIF"/>
        <w:widowControl w:val="0"/>
        <w:numPr>
          <w:ilvl w:val="0"/>
          <w:numId w:val="13"/>
        </w:numPr>
        <w:tabs>
          <w:tab w:val="clear" w:pos="-720"/>
          <w:tab w:val="clear" w:pos="968"/>
        </w:tabs>
        <w:suppressAutoHyphens/>
        <w:ind w:left="1134" w:hanging="567"/>
        <w:jc w:val="left"/>
        <w:rPr>
          <w:color w:val="000000"/>
          <w:szCs w:val="22"/>
          <w:lang w:val="fr-FR"/>
        </w:rPr>
      </w:pPr>
      <w:r w:rsidRPr="00961E0F">
        <w:rPr>
          <w:color w:val="000000"/>
          <w:szCs w:val="22"/>
          <w:lang w:val="fr-FR"/>
        </w:rPr>
        <w:t xml:space="preserve">pour </w:t>
      </w:r>
      <w:r w:rsidRPr="00961E0F">
        <w:rPr>
          <w:b/>
          <w:bCs/>
          <w:color w:val="000000"/>
          <w:szCs w:val="22"/>
          <w:lang w:val="fr-FR"/>
        </w:rPr>
        <w:t>600 mg</w:t>
      </w:r>
      <w:r w:rsidRPr="00961E0F">
        <w:rPr>
          <w:color w:val="000000"/>
          <w:szCs w:val="22"/>
          <w:lang w:val="fr-FR"/>
        </w:rPr>
        <w:t xml:space="preserve">,prendre 6 gélules </w:t>
      </w:r>
      <w:r w:rsidRPr="00961E0F">
        <w:rPr>
          <w:b/>
          <w:color w:val="000000"/>
          <w:szCs w:val="22"/>
          <w:lang w:val="fr-FR"/>
        </w:rPr>
        <w:t>une fois</w:t>
      </w:r>
      <w:r w:rsidRPr="00961E0F">
        <w:rPr>
          <w:color w:val="000000"/>
          <w:szCs w:val="22"/>
          <w:lang w:val="fr-FR"/>
        </w:rPr>
        <w:t xml:space="preserve"> par jour.</w:t>
      </w:r>
    </w:p>
    <w:p w14:paraId="3179C2E1" w14:textId="77777777" w:rsidR="007D642D" w:rsidRPr="00961E0F" w:rsidRDefault="007D642D">
      <w:pPr>
        <w:pStyle w:val="paragraphSIF"/>
        <w:widowControl w:val="0"/>
        <w:tabs>
          <w:tab w:val="clear" w:pos="-720"/>
        </w:tabs>
        <w:suppressAutoHyphens/>
        <w:jc w:val="left"/>
        <w:rPr>
          <w:color w:val="000000"/>
          <w:szCs w:val="22"/>
          <w:lang w:val="fr-FR"/>
        </w:rPr>
      </w:pPr>
    </w:p>
    <w:p w14:paraId="27361060" w14:textId="77777777" w:rsidR="007D642D" w:rsidRPr="00961E0F" w:rsidRDefault="007D642D" w:rsidP="00527B2A">
      <w:pPr>
        <w:pStyle w:val="paragraphSIF"/>
        <w:keepNext/>
        <w:widowControl w:val="0"/>
        <w:numPr>
          <w:ilvl w:val="0"/>
          <w:numId w:val="19"/>
        </w:numPr>
        <w:tabs>
          <w:tab w:val="clear" w:pos="-720"/>
          <w:tab w:val="clear" w:pos="360"/>
        </w:tabs>
        <w:suppressAutoHyphens/>
        <w:ind w:left="567" w:hanging="567"/>
        <w:jc w:val="left"/>
        <w:rPr>
          <w:color w:val="000000"/>
          <w:szCs w:val="22"/>
          <w:lang w:val="fr-FR"/>
        </w:rPr>
      </w:pPr>
      <w:r w:rsidRPr="00961E0F">
        <w:rPr>
          <w:b/>
          <w:color w:val="000000"/>
          <w:szCs w:val="22"/>
          <w:lang w:val="fr-FR"/>
        </w:rPr>
        <w:t>Si vous êtes traité(e) pour un GIST</w:t>
      </w:r>
      <w:r w:rsidRPr="00961E0F">
        <w:rPr>
          <w:b/>
          <w:bCs/>
          <w:color w:val="000000"/>
          <w:szCs w:val="22"/>
          <w:lang w:val="fr-FR"/>
        </w:rPr>
        <w:t> :</w:t>
      </w:r>
    </w:p>
    <w:p w14:paraId="601EF629" w14:textId="77777777"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400 mg soit prendre 4 gélules </w:t>
      </w:r>
      <w:r w:rsidRPr="00961E0F">
        <w:rPr>
          <w:b/>
          <w:color w:val="000000"/>
          <w:szCs w:val="22"/>
          <w:lang w:val="fr-FR"/>
        </w:rPr>
        <w:t>une fois</w:t>
      </w:r>
      <w:r w:rsidRPr="00961E0F">
        <w:rPr>
          <w:color w:val="000000"/>
          <w:szCs w:val="22"/>
          <w:lang w:val="fr-FR"/>
        </w:rPr>
        <w:t xml:space="preserve"> par jour.</w:t>
      </w:r>
    </w:p>
    <w:p w14:paraId="1ED66115" w14:textId="77777777" w:rsidR="007D642D" w:rsidRPr="00961E0F" w:rsidRDefault="007D642D">
      <w:pPr>
        <w:pStyle w:val="paragraphSIF"/>
        <w:widowControl w:val="0"/>
        <w:tabs>
          <w:tab w:val="clear" w:pos="-720"/>
        </w:tabs>
        <w:suppressAutoHyphens/>
        <w:jc w:val="left"/>
        <w:rPr>
          <w:color w:val="000000"/>
          <w:szCs w:val="22"/>
          <w:lang w:val="fr-FR"/>
        </w:rPr>
      </w:pPr>
    </w:p>
    <w:p w14:paraId="21572278"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Pour les LMC et les GIST, votre médecin peut prescrire une dose plus élevée ou plus faible en fonction de votre réponse au traitement. Si votre dose est de 800 mg par jour (8 gélules), vous devrez prendre 4 gélules le matin et 4 gélules le soir.</w:t>
      </w:r>
    </w:p>
    <w:p w14:paraId="26D22625" w14:textId="77777777" w:rsidR="007D642D" w:rsidRPr="00961E0F" w:rsidRDefault="007D642D">
      <w:pPr>
        <w:pStyle w:val="paragraphSIF"/>
        <w:widowControl w:val="0"/>
        <w:tabs>
          <w:tab w:val="clear" w:pos="-720"/>
        </w:tabs>
        <w:suppressAutoHyphens/>
        <w:jc w:val="left"/>
        <w:rPr>
          <w:color w:val="000000"/>
          <w:szCs w:val="22"/>
          <w:lang w:val="fr-FR"/>
        </w:rPr>
      </w:pPr>
    </w:p>
    <w:p w14:paraId="670E1708" w14:textId="77777777" w:rsidR="007D642D" w:rsidRPr="00961E0F" w:rsidRDefault="007D642D" w:rsidP="00527B2A">
      <w:pPr>
        <w:pStyle w:val="paragraphSIF"/>
        <w:keepNext/>
        <w:widowControl w:val="0"/>
        <w:numPr>
          <w:ilvl w:val="0"/>
          <w:numId w:val="20"/>
        </w:numPr>
        <w:tabs>
          <w:tab w:val="clear" w:pos="-720"/>
          <w:tab w:val="clear" w:pos="360"/>
        </w:tabs>
        <w:suppressAutoHyphens/>
        <w:ind w:left="567" w:hanging="567"/>
        <w:jc w:val="left"/>
        <w:rPr>
          <w:color w:val="000000"/>
          <w:szCs w:val="22"/>
          <w:lang w:val="fr-FR"/>
        </w:rPr>
      </w:pPr>
      <w:r w:rsidRPr="00961E0F">
        <w:rPr>
          <w:b/>
          <w:color w:val="000000"/>
          <w:szCs w:val="22"/>
          <w:lang w:val="fr-FR"/>
        </w:rPr>
        <w:t>Si vous êtes traité(e) pour une LAL Ph-positive</w:t>
      </w:r>
      <w:r w:rsidRPr="00961E0F">
        <w:rPr>
          <w:b/>
          <w:bCs/>
          <w:color w:val="000000"/>
          <w:szCs w:val="22"/>
          <w:lang w:val="fr-FR"/>
        </w:rPr>
        <w:t> :</w:t>
      </w:r>
    </w:p>
    <w:p w14:paraId="22967396" w14:textId="77777777"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est de 600 mg, soit prendre 6 gélules </w:t>
      </w:r>
      <w:r w:rsidRPr="00961E0F">
        <w:rPr>
          <w:b/>
          <w:color w:val="000000"/>
          <w:szCs w:val="22"/>
          <w:lang w:val="fr-FR"/>
        </w:rPr>
        <w:t>une fois</w:t>
      </w:r>
      <w:r w:rsidRPr="00961E0F">
        <w:rPr>
          <w:color w:val="000000"/>
          <w:szCs w:val="22"/>
          <w:lang w:val="fr-FR"/>
        </w:rPr>
        <w:t xml:space="preserve"> par jour.</w:t>
      </w:r>
    </w:p>
    <w:p w14:paraId="00DD07A1" w14:textId="77777777" w:rsidR="007D642D" w:rsidRPr="00961E0F" w:rsidRDefault="007D642D">
      <w:pPr>
        <w:pStyle w:val="paragraphSIF"/>
        <w:widowControl w:val="0"/>
        <w:tabs>
          <w:tab w:val="clear" w:pos="-720"/>
        </w:tabs>
        <w:suppressAutoHyphens/>
        <w:jc w:val="left"/>
        <w:rPr>
          <w:color w:val="000000"/>
          <w:szCs w:val="22"/>
          <w:lang w:val="fr-FR"/>
        </w:rPr>
      </w:pPr>
    </w:p>
    <w:p w14:paraId="3A7A5F90" w14:textId="77777777" w:rsidR="007D642D" w:rsidRPr="00961E0F" w:rsidRDefault="007D642D" w:rsidP="00527B2A">
      <w:pPr>
        <w:pStyle w:val="paragraphSIF"/>
        <w:keepNext/>
        <w:widowControl w:val="0"/>
        <w:numPr>
          <w:ilvl w:val="0"/>
          <w:numId w:val="20"/>
        </w:numPr>
        <w:tabs>
          <w:tab w:val="clear" w:pos="-720"/>
          <w:tab w:val="clear" w:pos="360"/>
        </w:tabs>
        <w:suppressAutoHyphens/>
        <w:ind w:left="567" w:hanging="567"/>
        <w:jc w:val="left"/>
        <w:rPr>
          <w:color w:val="000000"/>
          <w:szCs w:val="22"/>
          <w:lang w:val="fr-FR"/>
        </w:rPr>
      </w:pPr>
      <w:r w:rsidRPr="00961E0F">
        <w:rPr>
          <w:b/>
          <w:color w:val="000000"/>
          <w:szCs w:val="22"/>
          <w:lang w:val="fr-FR"/>
        </w:rPr>
        <w:t xml:space="preserve">Si vous êtes traité(e) pour un </w:t>
      </w:r>
      <w:smartTag w:uri="urn:schemas-microsoft-com:office:smarttags" w:element="stockticker">
        <w:r w:rsidRPr="00961E0F">
          <w:rPr>
            <w:b/>
            <w:color w:val="000000"/>
            <w:szCs w:val="22"/>
            <w:lang w:val="fr-FR"/>
          </w:rPr>
          <w:t>SMD</w:t>
        </w:r>
      </w:smartTag>
      <w:r w:rsidRPr="00961E0F">
        <w:rPr>
          <w:b/>
          <w:color w:val="000000"/>
          <w:szCs w:val="22"/>
          <w:lang w:val="fr-FR"/>
        </w:rPr>
        <w:t>/</w:t>
      </w:r>
      <w:smartTag w:uri="urn:schemas-microsoft-com:office:smarttags" w:element="stockticker">
        <w:r w:rsidRPr="00961E0F">
          <w:rPr>
            <w:b/>
            <w:color w:val="000000"/>
            <w:szCs w:val="22"/>
            <w:lang w:val="fr-FR"/>
          </w:rPr>
          <w:t>SMP</w:t>
        </w:r>
      </w:smartTag>
      <w:r w:rsidRPr="00961E0F">
        <w:rPr>
          <w:b/>
          <w:bCs/>
          <w:color w:val="000000"/>
          <w:szCs w:val="22"/>
          <w:lang w:val="fr-FR"/>
        </w:rPr>
        <w:t> :</w:t>
      </w:r>
    </w:p>
    <w:p w14:paraId="03B0FA5F" w14:textId="77777777"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400 mg, soit prendre 4 gélules </w:t>
      </w:r>
      <w:r w:rsidRPr="00961E0F">
        <w:rPr>
          <w:b/>
          <w:color w:val="000000"/>
          <w:szCs w:val="22"/>
          <w:lang w:val="fr-FR"/>
        </w:rPr>
        <w:t>une fois</w:t>
      </w:r>
      <w:r w:rsidRPr="00961E0F">
        <w:rPr>
          <w:color w:val="000000"/>
          <w:szCs w:val="22"/>
          <w:lang w:val="fr-FR"/>
        </w:rPr>
        <w:t xml:space="preserve"> par jour.</w:t>
      </w:r>
    </w:p>
    <w:p w14:paraId="3781D266" w14:textId="77777777" w:rsidR="007D642D" w:rsidRPr="00961E0F" w:rsidRDefault="007D642D">
      <w:pPr>
        <w:pStyle w:val="paragraphSIF"/>
        <w:widowControl w:val="0"/>
        <w:tabs>
          <w:tab w:val="clear" w:pos="-720"/>
        </w:tabs>
        <w:suppressAutoHyphens/>
        <w:jc w:val="left"/>
        <w:rPr>
          <w:color w:val="000000"/>
          <w:szCs w:val="22"/>
          <w:lang w:val="fr-FR"/>
        </w:rPr>
      </w:pPr>
    </w:p>
    <w:p w14:paraId="0A715C43" w14:textId="77777777" w:rsidR="007D642D" w:rsidRPr="00961E0F" w:rsidRDefault="007D642D" w:rsidP="00527B2A">
      <w:pPr>
        <w:pStyle w:val="paragraphSIF"/>
        <w:keepNext/>
        <w:widowControl w:val="0"/>
        <w:numPr>
          <w:ilvl w:val="0"/>
          <w:numId w:val="20"/>
        </w:numPr>
        <w:tabs>
          <w:tab w:val="clear" w:pos="-720"/>
          <w:tab w:val="clear" w:pos="360"/>
        </w:tabs>
        <w:suppressAutoHyphens/>
        <w:ind w:left="567" w:hanging="567"/>
        <w:jc w:val="left"/>
        <w:rPr>
          <w:b/>
          <w:color w:val="000000"/>
          <w:szCs w:val="22"/>
          <w:lang w:val="fr-FR"/>
        </w:rPr>
      </w:pPr>
      <w:r w:rsidRPr="00961E0F">
        <w:rPr>
          <w:b/>
          <w:color w:val="000000"/>
          <w:szCs w:val="22"/>
          <w:lang w:val="fr-FR"/>
        </w:rPr>
        <w:t>Si vous êtes traité(e) pour un SHE/LCE :</w:t>
      </w:r>
    </w:p>
    <w:p w14:paraId="39ED3B93" w14:textId="77777777"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100 mg, soit prendre une gélule </w:t>
      </w:r>
      <w:r w:rsidRPr="00961E0F">
        <w:rPr>
          <w:b/>
          <w:color w:val="000000"/>
          <w:szCs w:val="22"/>
          <w:lang w:val="fr-FR"/>
        </w:rPr>
        <w:t>une fois</w:t>
      </w:r>
      <w:r w:rsidRPr="00961E0F">
        <w:rPr>
          <w:color w:val="000000"/>
          <w:szCs w:val="22"/>
          <w:lang w:val="fr-FR"/>
        </w:rPr>
        <w:t xml:space="preserve"> par jour. Votre médecin peut décider d’augmenter la dose à 400 mg, soit prendre 4 gélules </w:t>
      </w:r>
      <w:r w:rsidRPr="00961E0F">
        <w:rPr>
          <w:b/>
          <w:color w:val="000000"/>
          <w:szCs w:val="22"/>
          <w:lang w:val="fr-FR"/>
        </w:rPr>
        <w:t>une fois</w:t>
      </w:r>
      <w:r w:rsidRPr="00961E0F">
        <w:rPr>
          <w:color w:val="000000"/>
          <w:szCs w:val="22"/>
          <w:lang w:val="fr-FR"/>
        </w:rPr>
        <w:t xml:space="preserve"> par jour, en fonction de votre réponse au traitement.</w:t>
      </w:r>
    </w:p>
    <w:p w14:paraId="5D1349F2" w14:textId="77777777" w:rsidR="007D642D" w:rsidRPr="00961E0F" w:rsidRDefault="007D642D">
      <w:pPr>
        <w:pStyle w:val="paragraphSIF"/>
        <w:widowControl w:val="0"/>
        <w:tabs>
          <w:tab w:val="clear" w:pos="-720"/>
        </w:tabs>
        <w:suppressAutoHyphens/>
        <w:jc w:val="left"/>
        <w:rPr>
          <w:color w:val="000000"/>
          <w:szCs w:val="22"/>
          <w:lang w:val="fr-FR"/>
        </w:rPr>
      </w:pPr>
    </w:p>
    <w:p w14:paraId="4808B70F" w14:textId="77777777" w:rsidR="007D642D" w:rsidRPr="00961E0F" w:rsidRDefault="007D642D" w:rsidP="00527B2A">
      <w:pPr>
        <w:pStyle w:val="paragraphSIF"/>
        <w:keepNext/>
        <w:widowControl w:val="0"/>
        <w:numPr>
          <w:ilvl w:val="0"/>
          <w:numId w:val="20"/>
        </w:numPr>
        <w:tabs>
          <w:tab w:val="clear" w:pos="-720"/>
          <w:tab w:val="clear" w:pos="360"/>
        </w:tabs>
        <w:suppressAutoHyphens/>
        <w:ind w:left="567" w:hanging="567"/>
        <w:jc w:val="left"/>
        <w:rPr>
          <w:b/>
          <w:color w:val="000000"/>
          <w:szCs w:val="22"/>
          <w:lang w:val="fr-FR"/>
        </w:rPr>
      </w:pPr>
      <w:r w:rsidRPr="00961E0F">
        <w:rPr>
          <w:b/>
          <w:color w:val="000000"/>
          <w:szCs w:val="22"/>
          <w:lang w:val="fr-FR"/>
        </w:rPr>
        <w:t>Si vous êtes traité(e) pour un DFSP :</w:t>
      </w:r>
    </w:p>
    <w:p w14:paraId="116394BE" w14:textId="77777777"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La dose est de 800 mg par jour (8 gélules), soit prendre 4 gélules le matin et 4 gélules le soir.</w:t>
      </w:r>
    </w:p>
    <w:p w14:paraId="344DEBC8" w14:textId="77777777" w:rsidR="007D642D" w:rsidRPr="00961E0F" w:rsidRDefault="007D642D">
      <w:pPr>
        <w:widowControl w:val="0"/>
        <w:suppressAutoHyphens/>
        <w:rPr>
          <w:rFonts w:ascii="Times New Roman" w:hAnsi="Times New Roman"/>
          <w:color w:val="000000"/>
          <w:szCs w:val="22"/>
        </w:rPr>
      </w:pPr>
    </w:p>
    <w:p w14:paraId="2C5B1852" w14:textId="0CF08033" w:rsidR="007D642D" w:rsidRPr="00961E0F" w:rsidRDefault="007D642D" w:rsidP="00527B2A">
      <w:pPr>
        <w:keepNext/>
        <w:widowControl w:val="0"/>
        <w:suppressAutoHyphens/>
        <w:rPr>
          <w:rFonts w:ascii="Times New Roman" w:hAnsi="Times New Roman"/>
          <w:b/>
          <w:bCs/>
          <w:color w:val="000000"/>
          <w:szCs w:val="22"/>
        </w:rPr>
      </w:pPr>
      <w:r w:rsidRPr="00961E0F">
        <w:rPr>
          <w:rFonts w:ascii="Times New Roman" w:hAnsi="Times New Roman"/>
          <w:b/>
          <w:bCs/>
          <w:color w:val="000000"/>
          <w:szCs w:val="22"/>
        </w:rPr>
        <w:t>Utilisation chez les enfants et les adolescents</w:t>
      </w:r>
    </w:p>
    <w:p w14:paraId="3DC0D243"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Votre médecin vous dira combien de gélules de Glivec donner à votre enfant. La dose de Glivec à prendre dépendra de l’état de votre enfant, de sa taille et de son poids. La dose quotidienne totale chez l’enfant ne doit pas dépasser 800 mg</w:t>
      </w:r>
      <w:r w:rsidR="00024AAF" w:rsidRPr="00961E0F">
        <w:rPr>
          <w:rFonts w:ascii="Times New Roman" w:hAnsi="Times New Roman"/>
          <w:color w:val="000000"/>
          <w:szCs w:val="22"/>
        </w:rPr>
        <w:t xml:space="preserve"> dans </w:t>
      </w:r>
      <w:smartTag w:uri="urn:schemas-microsoft-com:office:smarttags" w:element="PersonName">
        <w:smartTagPr>
          <w:attr w:name="ProductID" w:val="la LMC"/>
        </w:smartTagPr>
        <w:r w:rsidR="00024AAF" w:rsidRPr="00961E0F">
          <w:rPr>
            <w:rFonts w:ascii="Times New Roman" w:hAnsi="Times New Roman"/>
            <w:color w:val="000000"/>
            <w:szCs w:val="22"/>
          </w:rPr>
          <w:t>la LMC</w:t>
        </w:r>
      </w:smartTag>
      <w:r w:rsidR="00024AAF" w:rsidRPr="00961E0F">
        <w:rPr>
          <w:rFonts w:ascii="Times New Roman" w:hAnsi="Times New Roman"/>
          <w:color w:val="000000"/>
          <w:szCs w:val="22"/>
        </w:rPr>
        <w:t xml:space="preserve"> et 600 mg dans </w:t>
      </w:r>
      <w:smartTag w:uri="urn:schemas-microsoft-com:office:smarttags" w:element="PersonName">
        <w:smartTagPr>
          <w:attr w:name="ProductID" w:val="la LAL Ph-positive."/>
        </w:smartTagPr>
        <w:r w:rsidR="00024AAF" w:rsidRPr="00961E0F">
          <w:rPr>
            <w:rFonts w:ascii="Times New Roman" w:hAnsi="Times New Roman"/>
            <w:color w:val="000000"/>
            <w:szCs w:val="22"/>
          </w:rPr>
          <w:t>la LAL Ph-positive</w:t>
        </w:r>
        <w:r w:rsidRPr="00961E0F">
          <w:rPr>
            <w:rFonts w:ascii="Times New Roman" w:hAnsi="Times New Roman"/>
            <w:color w:val="000000"/>
            <w:szCs w:val="22"/>
          </w:rPr>
          <w:t>.</w:t>
        </w:r>
      </w:smartTag>
      <w:r w:rsidRPr="00961E0F">
        <w:rPr>
          <w:rFonts w:ascii="Times New Roman" w:hAnsi="Times New Roman"/>
          <w:color w:val="000000"/>
          <w:szCs w:val="22"/>
        </w:rPr>
        <w:t xml:space="preserve"> Le traitement peut être donné à votre enfant soit en une seule prise par jour ou bien la dose quotidienne peut être répartie en deux prises (la moitié le matin et la moitié le soir).</w:t>
      </w:r>
    </w:p>
    <w:p w14:paraId="294F3154" w14:textId="77777777" w:rsidR="007D642D" w:rsidRPr="00961E0F" w:rsidRDefault="007D642D">
      <w:pPr>
        <w:widowControl w:val="0"/>
        <w:suppressAutoHyphens/>
        <w:rPr>
          <w:rFonts w:ascii="Times New Roman" w:hAnsi="Times New Roman"/>
          <w:color w:val="000000"/>
          <w:szCs w:val="22"/>
        </w:rPr>
      </w:pPr>
    </w:p>
    <w:p w14:paraId="5E2426F3"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Quand et comment prendre Glivec ?</w:t>
      </w:r>
    </w:p>
    <w:p w14:paraId="2BF72467" w14:textId="77777777" w:rsidR="007D642D" w:rsidRPr="00961E0F" w:rsidRDefault="007D642D">
      <w:pPr>
        <w:widowControl w:val="0"/>
        <w:numPr>
          <w:ilvl w:val="0"/>
          <w:numId w:val="21"/>
        </w:numPr>
        <w:tabs>
          <w:tab w:val="clear" w:pos="360"/>
        </w:tabs>
        <w:suppressAutoHyphens/>
        <w:ind w:left="567" w:hanging="567"/>
        <w:rPr>
          <w:rFonts w:ascii="Times New Roman" w:hAnsi="Times New Roman"/>
          <w:color w:val="000000"/>
          <w:szCs w:val="22"/>
        </w:rPr>
      </w:pPr>
      <w:r w:rsidRPr="00961E0F">
        <w:rPr>
          <w:rFonts w:ascii="Times New Roman" w:hAnsi="Times New Roman"/>
          <w:b/>
          <w:color w:val="000000"/>
          <w:szCs w:val="22"/>
        </w:rPr>
        <w:t xml:space="preserve">Prenez Glivec au cours d’un repas. </w:t>
      </w:r>
      <w:r w:rsidRPr="00961E0F">
        <w:rPr>
          <w:rFonts w:ascii="Times New Roman" w:hAnsi="Times New Roman"/>
          <w:color w:val="000000"/>
          <w:szCs w:val="22"/>
        </w:rPr>
        <w:t>Cela vous aidera à protéger votre estomac des problèmes avec Glivec</w:t>
      </w:r>
      <w:r w:rsidRPr="00961E0F">
        <w:rPr>
          <w:rFonts w:ascii="Times New Roman" w:hAnsi="Times New Roman"/>
          <w:b/>
          <w:color w:val="000000"/>
          <w:szCs w:val="22"/>
        </w:rPr>
        <w:t>.</w:t>
      </w:r>
    </w:p>
    <w:p w14:paraId="433C3B04" w14:textId="77777777" w:rsidR="007D642D" w:rsidRPr="00961E0F" w:rsidRDefault="007D642D">
      <w:pPr>
        <w:widowControl w:val="0"/>
        <w:numPr>
          <w:ilvl w:val="0"/>
          <w:numId w:val="21"/>
        </w:numPr>
        <w:tabs>
          <w:tab w:val="clear" w:pos="360"/>
        </w:tabs>
        <w:suppressAutoHyphens/>
        <w:ind w:left="567" w:hanging="567"/>
        <w:rPr>
          <w:rFonts w:ascii="Times New Roman" w:hAnsi="Times New Roman"/>
          <w:color w:val="000000"/>
          <w:szCs w:val="22"/>
        </w:rPr>
      </w:pPr>
      <w:r w:rsidRPr="00961E0F">
        <w:rPr>
          <w:rFonts w:ascii="Times New Roman" w:hAnsi="Times New Roman"/>
          <w:b/>
          <w:color w:val="000000"/>
          <w:szCs w:val="22"/>
        </w:rPr>
        <w:t>Avalez les gélules entières avec un grand verre d’eau</w:t>
      </w:r>
      <w:r w:rsidRPr="00961E0F">
        <w:rPr>
          <w:rFonts w:ascii="Times New Roman" w:hAnsi="Times New Roman"/>
          <w:color w:val="000000"/>
          <w:szCs w:val="22"/>
        </w:rPr>
        <w:t>. N’ouvrez pas les gélules et ne les écrasez pas à moins que vous n’ayez des difficultés pour les avaler (par exemple : chez les enfants).</w:t>
      </w:r>
    </w:p>
    <w:p w14:paraId="78B0D9BF" w14:textId="77777777" w:rsidR="007D642D" w:rsidRPr="00961E0F" w:rsidRDefault="007D642D">
      <w:pPr>
        <w:widowControl w:val="0"/>
        <w:numPr>
          <w:ilvl w:val="0"/>
          <w:numId w:val="21"/>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Si vous ne pouvez avaler les gélules, vous pouvez les ouvrir et diluer la poudre dans un verre d’eau plate ou de jus de pomme.</w:t>
      </w:r>
    </w:p>
    <w:p w14:paraId="339E77AA" w14:textId="77777777" w:rsidR="007D642D" w:rsidRPr="00961E0F" w:rsidRDefault="007D642D">
      <w:pPr>
        <w:widowControl w:val="0"/>
        <w:numPr>
          <w:ilvl w:val="0"/>
          <w:numId w:val="21"/>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Si vous êtes une femme enceinte ou susceptible de le devenir et que vous ouvrez les gélules, vous devez manipuler le contenu des gélules avec précaution afin d’éviter tout contact avec la peau ou les yeux et toute inhalation. Vous devez vous laver les mains immédiatement après avoir manipulé les gélules ouvertes.</w:t>
      </w:r>
    </w:p>
    <w:p w14:paraId="61617139" w14:textId="77777777" w:rsidR="007D642D" w:rsidRPr="00961E0F" w:rsidRDefault="007D642D">
      <w:pPr>
        <w:widowControl w:val="0"/>
        <w:suppressAutoHyphens/>
        <w:rPr>
          <w:rFonts w:ascii="Times New Roman" w:hAnsi="Times New Roman"/>
          <w:color w:val="000000"/>
          <w:szCs w:val="22"/>
        </w:rPr>
      </w:pPr>
    </w:p>
    <w:p w14:paraId="724187F2"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Combien de temps prendre Glivec ?</w:t>
      </w:r>
    </w:p>
    <w:p w14:paraId="570952DD"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Continuez à prendre Glivec tous les jours aussi longtemps que votre médecin vous le dira.</w:t>
      </w:r>
    </w:p>
    <w:p w14:paraId="1BBCBD2E" w14:textId="77777777" w:rsidR="007D642D" w:rsidRPr="00961E0F" w:rsidRDefault="007D642D">
      <w:pPr>
        <w:pStyle w:val="EndnoteText"/>
        <w:widowControl w:val="0"/>
        <w:tabs>
          <w:tab w:val="clear" w:pos="567"/>
        </w:tabs>
        <w:suppressAutoHyphens/>
        <w:rPr>
          <w:color w:val="000000"/>
          <w:szCs w:val="22"/>
          <w:lang w:val="fr-FR"/>
        </w:rPr>
      </w:pPr>
    </w:p>
    <w:p w14:paraId="32B25FD5"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Si vous avez pris plus de Glivec que vous n’auriez dû</w:t>
      </w:r>
    </w:p>
    <w:p w14:paraId="00134B38"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vous avez pris accidentellement trop de gélules, informez-en </w:t>
      </w:r>
      <w:r w:rsidRPr="00961E0F">
        <w:rPr>
          <w:rFonts w:ascii="Times New Roman" w:hAnsi="Times New Roman"/>
          <w:b/>
          <w:color w:val="000000"/>
          <w:szCs w:val="22"/>
        </w:rPr>
        <w:t>immédiatement</w:t>
      </w:r>
      <w:r w:rsidRPr="00961E0F">
        <w:rPr>
          <w:rFonts w:ascii="Times New Roman" w:hAnsi="Times New Roman"/>
          <w:color w:val="000000"/>
          <w:szCs w:val="22"/>
        </w:rPr>
        <w:t xml:space="preserve"> votre médecin. Vous pourriez nécessiter une surveillance médicale. Emportez avec vous la boîte de votre traitement.</w:t>
      </w:r>
    </w:p>
    <w:p w14:paraId="7F3958D7" w14:textId="77777777" w:rsidR="007D642D" w:rsidRPr="00961E0F" w:rsidRDefault="007D642D">
      <w:pPr>
        <w:widowControl w:val="0"/>
        <w:suppressAutoHyphens/>
        <w:rPr>
          <w:rFonts w:ascii="Times New Roman" w:hAnsi="Times New Roman"/>
          <w:color w:val="000000"/>
          <w:szCs w:val="22"/>
        </w:rPr>
      </w:pPr>
    </w:p>
    <w:p w14:paraId="56122478"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Si vous oubliez de prendre Glivec</w:t>
      </w:r>
    </w:p>
    <w:p w14:paraId="110DFA85" w14:textId="77777777" w:rsidR="007D642D" w:rsidRPr="00961E0F" w:rsidRDefault="007D642D">
      <w:pPr>
        <w:widowControl w:val="0"/>
        <w:numPr>
          <w:ilvl w:val="0"/>
          <w:numId w:val="22"/>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t>Si vous oubliez de prendre une dose prenez-la dès que vous vous en apercevez. Toutefois s’il est presque temps de prendre la dose suivante, passez la dose oubliée.</w:t>
      </w:r>
    </w:p>
    <w:p w14:paraId="60507B82" w14:textId="77777777" w:rsidR="007D642D" w:rsidRPr="00961E0F" w:rsidRDefault="007D642D">
      <w:pPr>
        <w:widowControl w:val="0"/>
        <w:numPr>
          <w:ilvl w:val="0"/>
          <w:numId w:val="22"/>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t>Continuez votre traitement selon la posologie habituelle.</w:t>
      </w:r>
    </w:p>
    <w:p w14:paraId="0A9F171A" w14:textId="77777777" w:rsidR="007D642D" w:rsidRPr="00961E0F" w:rsidRDefault="007D642D">
      <w:pPr>
        <w:widowControl w:val="0"/>
        <w:numPr>
          <w:ilvl w:val="0"/>
          <w:numId w:val="22"/>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lastRenderedPageBreak/>
        <w:t>Ne prenez pas de dose double pour compenser la dose que vous avez oubliée de prendre.</w:t>
      </w:r>
    </w:p>
    <w:p w14:paraId="1445F100" w14:textId="77777777" w:rsidR="007D642D" w:rsidRPr="00961E0F" w:rsidRDefault="007D642D">
      <w:pPr>
        <w:widowControl w:val="0"/>
        <w:suppressAutoHyphens/>
        <w:rPr>
          <w:rFonts w:ascii="Times New Roman" w:hAnsi="Times New Roman"/>
          <w:color w:val="000000"/>
          <w:szCs w:val="22"/>
        </w:rPr>
      </w:pPr>
    </w:p>
    <w:p w14:paraId="5A3B5B73"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Si vous avez d’autres questions sur l’utilisation de ce médicament, demandez plus d’informations à votre médecin, à votre pharmacien ou à votre infirmier/ère.</w:t>
      </w:r>
    </w:p>
    <w:p w14:paraId="32302B70" w14:textId="77777777" w:rsidR="007D642D" w:rsidRPr="00961E0F" w:rsidRDefault="007D642D">
      <w:pPr>
        <w:widowControl w:val="0"/>
        <w:suppressAutoHyphens/>
        <w:rPr>
          <w:rFonts w:ascii="Times New Roman" w:hAnsi="Times New Roman"/>
          <w:color w:val="000000"/>
          <w:szCs w:val="22"/>
        </w:rPr>
      </w:pPr>
    </w:p>
    <w:p w14:paraId="7CFF274C" w14:textId="77777777" w:rsidR="007D642D" w:rsidRPr="00961E0F" w:rsidRDefault="007D642D">
      <w:pPr>
        <w:widowControl w:val="0"/>
        <w:suppressAutoHyphens/>
        <w:rPr>
          <w:rFonts w:ascii="Times New Roman" w:hAnsi="Times New Roman"/>
          <w:color w:val="000000"/>
          <w:szCs w:val="22"/>
        </w:rPr>
      </w:pPr>
    </w:p>
    <w:p w14:paraId="639396FA" w14:textId="77777777" w:rsidR="00EF4CB3" w:rsidRPr="00961E0F" w:rsidRDefault="00EF4CB3" w:rsidP="00527B2A">
      <w:pPr>
        <w:keepNext/>
        <w:widowControl w:val="0"/>
        <w:suppressAutoHyphens/>
        <w:ind w:left="567" w:hanging="567"/>
        <w:rPr>
          <w:rFonts w:ascii="Times New Roman" w:hAnsi="Times New Roman"/>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Quels sont les effets indésirables éventuels</w:t>
      </w:r>
      <w:r w:rsidR="00B6349D" w:rsidRPr="00961E0F">
        <w:rPr>
          <w:rFonts w:ascii="Times New Roman" w:hAnsi="Times New Roman"/>
          <w:b/>
          <w:color w:val="000000"/>
          <w:szCs w:val="22"/>
        </w:rPr>
        <w:t> ?</w:t>
      </w:r>
    </w:p>
    <w:p w14:paraId="3013E524" w14:textId="77777777" w:rsidR="00EF4CB3" w:rsidRPr="00961E0F" w:rsidRDefault="00EF4CB3" w:rsidP="00527B2A">
      <w:pPr>
        <w:pStyle w:val="BodyText2"/>
        <w:keepNext/>
        <w:widowControl w:val="0"/>
        <w:rPr>
          <w:color w:val="000000"/>
          <w:szCs w:val="22"/>
        </w:rPr>
      </w:pPr>
    </w:p>
    <w:p w14:paraId="064A5446" w14:textId="77777777" w:rsidR="00EF4CB3" w:rsidRPr="00961E0F" w:rsidRDefault="00EF4CB3" w:rsidP="00527B2A">
      <w:pPr>
        <w:pStyle w:val="BodyText2"/>
        <w:keepNext/>
        <w:widowControl w:val="0"/>
        <w:ind w:left="0" w:firstLine="0"/>
        <w:rPr>
          <w:color w:val="000000"/>
          <w:szCs w:val="22"/>
        </w:rPr>
      </w:pPr>
      <w:r w:rsidRPr="00961E0F">
        <w:rPr>
          <w:color w:val="000000"/>
          <w:szCs w:val="22"/>
        </w:rPr>
        <w:t>Comme tous les médicaments, ce médicament peut provoquer des effets indésirables, mais ils ne surviennent pas systématiquement chez tout le monde. Ils sont habituellement légers à modérés.</w:t>
      </w:r>
    </w:p>
    <w:p w14:paraId="6C8FABC3" w14:textId="77777777" w:rsidR="00EF4CB3" w:rsidRPr="00961E0F" w:rsidRDefault="00EF4CB3" w:rsidP="00527B2A">
      <w:pPr>
        <w:keepNext/>
        <w:widowControl w:val="0"/>
        <w:autoSpaceDE w:val="0"/>
        <w:autoSpaceDN w:val="0"/>
        <w:adjustRightInd w:val="0"/>
        <w:rPr>
          <w:rFonts w:ascii="Times New Roman" w:hAnsi="Times New Roman"/>
          <w:color w:val="000000"/>
          <w:szCs w:val="22"/>
          <w:lang w:bidi="x-none"/>
        </w:rPr>
      </w:pPr>
    </w:p>
    <w:p w14:paraId="5EBD49BB" w14:textId="77777777" w:rsidR="00EF4CB3" w:rsidRPr="00961E0F" w:rsidRDefault="00EF4CB3" w:rsidP="00527B2A">
      <w:pPr>
        <w:keepNext/>
        <w:widowControl w:val="0"/>
        <w:autoSpaceDE w:val="0"/>
        <w:autoSpaceDN w:val="0"/>
        <w:adjustRightInd w:val="0"/>
        <w:rPr>
          <w:rFonts w:ascii="Times New Roman" w:hAnsi="Times New Roman"/>
          <w:color w:val="000000"/>
          <w:szCs w:val="22"/>
          <w:lang w:bidi="x-none"/>
        </w:rPr>
      </w:pPr>
      <w:r w:rsidRPr="00961E0F">
        <w:rPr>
          <w:rFonts w:ascii="Times New Roman" w:hAnsi="Times New Roman"/>
          <w:b/>
          <w:color w:val="000000"/>
          <w:szCs w:val="22"/>
          <w:lang w:bidi="x-none"/>
        </w:rPr>
        <w:t>Certains effets peuvent être graves. Prévenez immédiatement votre médecin si vous présentez l’un des effets suivants :</w:t>
      </w:r>
    </w:p>
    <w:p w14:paraId="1EC2685F" w14:textId="77777777" w:rsidR="00EF4CB3" w:rsidRPr="00961E0F" w:rsidRDefault="00EF4CB3" w:rsidP="00527B2A">
      <w:pPr>
        <w:pStyle w:val="BodyText3"/>
        <w:keepNext/>
        <w:widowControl w:val="0"/>
        <w:rPr>
          <w:b w:val="0"/>
          <w:bCs/>
          <w:color w:val="000000"/>
          <w:szCs w:val="22"/>
        </w:rPr>
      </w:pPr>
    </w:p>
    <w:p w14:paraId="232ACB65" w14:textId="77777777" w:rsidR="00EF4CB3" w:rsidRPr="00961E0F" w:rsidRDefault="00EF4CB3" w:rsidP="00527B2A">
      <w:pPr>
        <w:pStyle w:val="BodyText3"/>
        <w:keepNext/>
        <w:widowControl w:val="0"/>
        <w:rPr>
          <w:b w:val="0"/>
          <w:color w:val="000000"/>
          <w:szCs w:val="22"/>
        </w:rPr>
      </w:pPr>
      <w:r w:rsidRPr="00961E0F">
        <w:rPr>
          <w:color w:val="000000"/>
          <w:szCs w:val="22"/>
        </w:rPr>
        <w:t xml:space="preserve">Très fréquents </w:t>
      </w:r>
      <w:r w:rsidRPr="00961E0F">
        <w:rPr>
          <w:b w:val="0"/>
          <w:color w:val="000000"/>
          <w:szCs w:val="22"/>
        </w:rPr>
        <w:t>(pouvant affecter plus d’1 personne sur 10)</w:t>
      </w:r>
      <w:r w:rsidRPr="00961E0F">
        <w:rPr>
          <w:szCs w:val="22"/>
        </w:rPr>
        <w:t xml:space="preserve"> </w:t>
      </w:r>
      <w:r w:rsidRPr="00961E0F">
        <w:rPr>
          <w:color w:val="000000"/>
          <w:szCs w:val="22"/>
        </w:rPr>
        <w:t xml:space="preserve">ou fréquents </w:t>
      </w:r>
      <w:r w:rsidRPr="00961E0F">
        <w:rPr>
          <w:b w:val="0"/>
          <w:color w:val="000000"/>
          <w:szCs w:val="22"/>
        </w:rPr>
        <w:t>(pouvant affecter jusqu’à 1 personne sur 10) :</w:t>
      </w:r>
    </w:p>
    <w:p w14:paraId="3BC9B516"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Prise rapide de poids</w:t>
      </w:r>
      <w:r w:rsidRPr="00961E0F">
        <w:rPr>
          <w:rFonts w:ascii="Times New Roman" w:hAnsi="Times New Roman"/>
          <w:b/>
          <w:color w:val="000000"/>
          <w:szCs w:val="22"/>
        </w:rPr>
        <w:t>.</w:t>
      </w:r>
      <w:r w:rsidRPr="00961E0F">
        <w:rPr>
          <w:rFonts w:ascii="Times New Roman" w:hAnsi="Times New Roman"/>
          <w:color w:val="000000"/>
          <w:szCs w:val="22"/>
        </w:rPr>
        <w:t xml:space="preserve"> Glivec peut faire que votre corps va retenir plus d’eau (rétention hydrique sévère).</w:t>
      </w:r>
    </w:p>
    <w:p w14:paraId="4434ED33"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Signes d’infection tels que fièvre, frissons intenses, maux de gorge ou ulcérations de la bouche. Glivec peut réduire le nombre de globules blancs sanguins, aussi vous pouvez être plus sensible aux infections.</w:t>
      </w:r>
    </w:p>
    <w:p w14:paraId="3D7CA00F"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Saignements ou bleus sans raison évidente (lorsque vous ne vous êtes pas fait mal vous-même).</w:t>
      </w:r>
    </w:p>
    <w:p w14:paraId="711533D1" w14:textId="77777777" w:rsidR="00EF4CB3" w:rsidRPr="00961E0F" w:rsidRDefault="00EF4CB3" w:rsidP="00EF4CB3">
      <w:pPr>
        <w:widowControl w:val="0"/>
        <w:suppressAutoHyphens/>
        <w:rPr>
          <w:rFonts w:ascii="Times New Roman" w:hAnsi="Times New Roman"/>
          <w:color w:val="000000"/>
          <w:szCs w:val="22"/>
        </w:rPr>
      </w:pPr>
    </w:p>
    <w:p w14:paraId="5571C6FF" w14:textId="77777777" w:rsidR="00EF4CB3" w:rsidRPr="00961E0F" w:rsidRDefault="00EF4CB3" w:rsidP="00527B2A">
      <w:pPr>
        <w:pStyle w:val="BodyText3"/>
        <w:keepNext/>
        <w:widowControl w:val="0"/>
        <w:rPr>
          <w:b w:val="0"/>
          <w:color w:val="000000"/>
          <w:szCs w:val="22"/>
        </w:rPr>
      </w:pPr>
      <w:r w:rsidRPr="00961E0F">
        <w:rPr>
          <w:color w:val="000000"/>
          <w:szCs w:val="22"/>
        </w:rPr>
        <w:t xml:space="preserve">Peu fréquents </w:t>
      </w:r>
      <w:r w:rsidRPr="00961E0F">
        <w:rPr>
          <w:b w:val="0"/>
          <w:color w:val="000000"/>
          <w:szCs w:val="22"/>
        </w:rPr>
        <w:t xml:space="preserve">(pouvant affecter jusqu’à 1 personne sur 100) </w:t>
      </w:r>
      <w:r w:rsidRPr="00961E0F">
        <w:rPr>
          <w:color w:val="000000"/>
          <w:szCs w:val="22"/>
        </w:rPr>
        <w:t xml:space="preserve">ou rares </w:t>
      </w:r>
      <w:r w:rsidRPr="00961E0F">
        <w:rPr>
          <w:b w:val="0"/>
          <w:color w:val="000000"/>
          <w:szCs w:val="22"/>
        </w:rPr>
        <w:t>(pouvant affecter jusqu’à 1 personne sur 1000) :</w:t>
      </w:r>
    </w:p>
    <w:p w14:paraId="08EBF809"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 thoracique ou troubles irréguliers du rythme cardiaque (signes de problèmes cardiaques).</w:t>
      </w:r>
    </w:p>
    <w:p w14:paraId="5F972B1D"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Toux, difficultés ou douleurs respiratoires (signes de problèmes pulmonaires).</w:t>
      </w:r>
    </w:p>
    <w:p w14:paraId="455DDA1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Sensations d’étourdissements, sensations vertigineuses ou un évanouissement (signes d’une baisse de la pression artérielle).</w:t>
      </w:r>
    </w:p>
    <w:p w14:paraId="3C83928C"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(nausées) avec perte de l’appétit, coloration foncée des urines, jaunissement des yeux (signes de problémes hépatiques).</w:t>
      </w:r>
    </w:p>
    <w:p w14:paraId="1E99CC9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Eruption, rougissement de la peau avec des cloques sur la peau, les lèvres, la bouche ou les yeux, la peau qui pèle, fièvre, survenue de taches rouges ou pourpres, démangeaisons, sensations de brûlures, éruption pustuleuse (signes de problèmes cutanés).</w:t>
      </w:r>
    </w:p>
    <w:p w14:paraId="0D49AA00"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 abdominale sévère, sang dans les vomissements, les selles ou les urines, ou selles noires (signes de problèmes gastro-intestinaux).</w:t>
      </w:r>
    </w:p>
    <w:p w14:paraId="5E0B74E0"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Réduction importante du volume urinaire, sensations de soif (signes de problèmes rénaux).</w:t>
      </w:r>
    </w:p>
    <w:p w14:paraId="788F9C06"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 avec diarrhée et vomissements, douleurs abdominales ou fièvre (signes de problèmes intestinaux).</w:t>
      </w:r>
    </w:p>
    <w:p w14:paraId="38618C8A"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Maux de tête sévères, faiblesse ou paralysie des membres ou de la face, difficultés pour parler, perte de conscience soudaine (signes de problèmes du système nerveux tels qu’un saignement ou un gonflement au niveau du crâne ou du cerveau).</w:t>
      </w:r>
    </w:p>
    <w:p w14:paraId="11595570"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Pâleur, sensation de fatigue, essoufflements, urines foncées (signes de faibles taux des cellules rouges du sang).</w:t>
      </w:r>
    </w:p>
    <w:p w14:paraId="2B2F7238"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 au niveau des yeux ou détérioration de la vue, saignement dans les yeux.</w:t>
      </w:r>
    </w:p>
    <w:p w14:paraId="563DA197"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Douleurs aux hanches, difficultés à marcher.</w:t>
      </w:r>
    </w:p>
    <w:p w14:paraId="156CF02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Doigts des pieds et des mains froids ou engourdis (signes du syndrome de Raynaud).</w:t>
      </w:r>
    </w:p>
    <w:p w14:paraId="0F44E667"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Gonflement soudain et rougeur de la peau (signes d’une infection de la peau appelée cellulite).</w:t>
      </w:r>
    </w:p>
    <w:p w14:paraId="6147AAAC"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Difficulté à entendre.</w:t>
      </w:r>
    </w:p>
    <w:p w14:paraId="156B7D9A"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Faiblesse musculaire et spasmes musculaires avec un rythme cardiaque irrégulier (signes d’une variation de la quantité de potassium dans le sang).</w:t>
      </w:r>
    </w:p>
    <w:p w14:paraId="57BE2CC0"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Contusion (bleus).</w:t>
      </w:r>
    </w:p>
    <w:p w14:paraId="35C7973E"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Douleurs d’estomac, avec mal au cœur (nausée).</w:t>
      </w:r>
    </w:p>
    <w:p w14:paraId="45020907"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Crampes musculaires avec fièvre, urines rouge-brun, douleur ou faiblesse de vos muscles (signes de problèmes musculaires).</w:t>
      </w:r>
    </w:p>
    <w:p w14:paraId="7A2133C5"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lastRenderedPageBreak/>
        <w:t>Douleurs pelviennes quelquefois accompagnées de nausées et de vomissements, avec des saignements vaginaux inattendus, des sensations de vertiges ou d’évanouissement en raison d’une pression artérielle basse (signes de problèmes des ovaires ou de l’utérus).</w:t>
      </w:r>
    </w:p>
    <w:p w14:paraId="66CC11C9" w14:textId="77777777" w:rsidR="00024AAF" w:rsidRPr="00961E0F" w:rsidRDefault="00EF4CB3" w:rsidP="00024AAF">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Nausées, essouflement, pouls irrégulier, urine trouble, fatigue et/ou douleurs articulaires associées à des anomalies des résultats des tests de laboratoire (par exemple: hyperkaliémie, hyperurémie, </w:t>
      </w:r>
      <w:r w:rsidR="004F486A" w:rsidRPr="00961E0F">
        <w:rPr>
          <w:rFonts w:ascii="Times New Roman" w:hAnsi="Times New Roman"/>
          <w:color w:val="000000"/>
          <w:szCs w:val="22"/>
        </w:rPr>
        <w:t xml:space="preserve">hypercalcémie </w:t>
      </w:r>
      <w:r w:rsidRPr="00961E0F">
        <w:rPr>
          <w:rFonts w:ascii="Times New Roman" w:hAnsi="Times New Roman"/>
          <w:color w:val="000000"/>
          <w:szCs w:val="22"/>
        </w:rPr>
        <w:t xml:space="preserve">et </w:t>
      </w:r>
      <w:r w:rsidR="004F486A" w:rsidRPr="00961E0F">
        <w:rPr>
          <w:rFonts w:ascii="Times New Roman" w:hAnsi="Times New Roman"/>
          <w:color w:val="000000"/>
          <w:szCs w:val="22"/>
        </w:rPr>
        <w:t>hypophosphorémie</w:t>
      </w:r>
      <w:r w:rsidRPr="00961E0F">
        <w:rPr>
          <w:rFonts w:ascii="Times New Roman" w:hAnsi="Times New Roman"/>
          <w:color w:val="000000"/>
          <w:szCs w:val="22"/>
        </w:rPr>
        <w:t>).</w:t>
      </w:r>
    </w:p>
    <w:p w14:paraId="3DD34AB9" w14:textId="77777777" w:rsidR="00114267" w:rsidRPr="00961E0F" w:rsidRDefault="00F65F59" w:rsidP="00024AAF">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Caillots de sang dans les</w:t>
      </w:r>
      <w:r w:rsidR="00114267" w:rsidRPr="00961E0F">
        <w:rPr>
          <w:rFonts w:ascii="Times New Roman" w:hAnsi="Times New Roman"/>
          <w:color w:val="000000"/>
          <w:szCs w:val="22"/>
        </w:rPr>
        <w:t xml:space="preserve"> petits vaisseaux sanguins (microangiopathie thrombotique).</w:t>
      </w:r>
    </w:p>
    <w:p w14:paraId="6DE67AF7" w14:textId="77777777" w:rsidR="00024AAF" w:rsidRPr="00961E0F" w:rsidRDefault="00024AAF" w:rsidP="00EF4CB3">
      <w:pPr>
        <w:widowControl w:val="0"/>
        <w:suppressAutoHyphens/>
        <w:rPr>
          <w:rFonts w:ascii="Times New Roman" w:hAnsi="Times New Roman"/>
          <w:color w:val="000000"/>
          <w:szCs w:val="22"/>
        </w:rPr>
      </w:pPr>
    </w:p>
    <w:p w14:paraId="3E0834D1" w14:textId="77777777" w:rsidR="00024AAF" w:rsidRPr="00961E0F" w:rsidRDefault="00024AAF" w:rsidP="00527B2A">
      <w:pPr>
        <w:keepNext/>
        <w:widowControl w:val="0"/>
        <w:suppressAutoHyphens/>
        <w:rPr>
          <w:rFonts w:ascii="Times New Roman" w:hAnsi="Times New Roman"/>
          <w:color w:val="000000"/>
          <w:szCs w:val="22"/>
        </w:rPr>
      </w:pPr>
      <w:r w:rsidRPr="00961E0F">
        <w:rPr>
          <w:rFonts w:ascii="Times New Roman" w:hAnsi="Times New Roman"/>
          <w:b/>
          <w:color w:val="000000"/>
          <w:szCs w:val="22"/>
        </w:rPr>
        <w:t>Indéterminée </w:t>
      </w:r>
      <w:r w:rsidR="004F486A" w:rsidRPr="00961E0F">
        <w:rPr>
          <w:rFonts w:ascii="Times New Roman" w:hAnsi="Times New Roman"/>
          <w:color w:val="000000"/>
          <w:szCs w:val="22"/>
        </w:rPr>
        <w:t>(la fréquence ne peut être estimée sur la base des données disponibles)</w:t>
      </w:r>
      <w:r w:rsidR="0041068A" w:rsidRPr="00961E0F">
        <w:rPr>
          <w:rFonts w:ascii="Times New Roman" w:hAnsi="Times New Roman"/>
          <w:color w:val="000000"/>
          <w:szCs w:val="22"/>
        </w:rPr>
        <w:t> </w:t>
      </w:r>
      <w:r w:rsidRPr="00961E0F">
        <w:rPr>
          <w:rFonts w:ascii="Times New Roman" w:hAnsi="Times New Roman"/>
          <w:color w:val="000000"/>
          <w:szCs w:val="22"/>
        </w:rPr>
        <w:t>:</w:t>
      </w:r>
    </w:p>
    <w:p w14:paraId="5BDEFCBB" w14:textId="77777777" w:rsidR="00024AAF" w:rsidRPr="00961E0F" w:rsidRDefault="0093616B" w:rsidP="0000102A">
      <w:pPr>
        <w:widowControl w:val="0"/>
        <w:numPr>
          <w:ilvl w:val="0"/>
          <w:numId w:val="36"/>
        </w:numPr>
        <w:suppressAutoHyphens/>
        <w:ind w:left="567" w:hanging="567"/>
        <w:rPr>
          <w:rFonts w:ascii="Times New Roman" w:hAnsi="Times New Roman"/>
          <w:color w:val="000000"/>
          <w:szCs w:val="22"/>
        </w:rPr>
      </w:pPr>
      <w:r w:rsidRPr="00961E0F">
        <w:rPr>
          <w:rFonts w:ascii="Times New Roman" w:hAnsi="Times New Roman"/>
          <w:color w:val="000000"/>
          <w:szCs w:val="22"/>
        </w:rPr>
        <w:t>Association</w:t>
      </w:r>
      <w:r w:rsidR="00024AAF" w:rsidRPr="00961E0F">
        <w:rPr>
          <w:rFonts w:ascii="Times New Roman" w:hAnsi="Times New Roman"/>
          <w:color w:val="000000"/>
          <w:szCs w:val="22"/>
        </w:rPr>
        <w:t xml:space="preserve"> d’une éruption cutanée sévère et généralisée, de nausées, de fièvre, d’un taux élevé de certains globules blancs </w:t>
      </w:r>
      <w:r w:rsidRPr="00961E0F">
        <w:rPr>
          <w:rFonts w:ascii="Times New Roman" w:hAnsi="Times New Roman"/>
          <w:color w:val="000000"/>
          <w:szCs w:val="22"/>
        </w:rPr>
        <w:t xml:space="preserve">dans le sang (éosinophiles) </w:t>
      </w:r>
      <w:r w:rsidR="00024AAF" w:rsidRPr="00961E0F">
        <w:rPr>
          <w:rFonts w:ascii="Times New Roman" w:hAnsi="Times New Roman"/>
          <w:color w:val="000000"/>
          <w:szCs w:val="22"/>
        </w:rPr>
        <w:t>ou d’une coloration jaune de la peau ou des yeux (signes d’une jaunisse) avec essouflement, douleur ou gêne dans la poitrine, diminution importante du débit urinaire et sensation de soif, etc (signes d’une réaction allergique liée au traitement</w:t>
      </w:r>
      <w:r w:rsidRPr="00961E0F">
        <w:rPr>
          <w:rFonts w:ascii="Times New Roman" w:hAnsi="Times New Roman"/>
          <w:color w:val="000000"/>
          <w:szCs w:val="22"/>
        </w:rPr>
        <w:t>: syndrome DRESS</w:t>
      </w:r>
      <w:r w:rsidR="00024AAF" w:rsidRPr="00961E0F">
        <w:rPr>
          <w:rFonts w:ascii="Times New Roman" w:hAnsi="Times New Roman"/>
          <w:color w:val="000000"/>
          <w:szCs w:val="22"/>
        </w:rPr>
        <w:t>).</w:t>
      </w:r>
    </w:p>
    <w:p w14:paraId="149284BA" w14:textId="77777777" w:rsidR="009C051F" w:rsidRPr="00961E0F" w:rsidRDefault="009C051F" w:rsidP="0000102A">
      <w:pPr>
        <w:widowControl w:val="0"/>
        <w:numPr>
          <w:ilvl w:val="0"/>
          <w:numId w:val="36"/>
        </w:numPr>
        <w:suppressAutoHyphens/>
        <w:ind w:left="567" w:hanging="567"/>
        <w:rPr>
          <w:rFonts w:ascii="Times New Roman" w:hAnsi="Times New Roman"/>
          <w:color w:val="000000"/>
          <w:szCs w:val="22"/>
        </w:rPr>
      </w:pPr>
      <w:r w:rsidRPr="00961E0F">
        <w:rPr>
          <w:rFonts w:ascii="Times New Roman" w:hAnsi="Times New Roman"/>
          <w:color w:val="000000"/>
          <w:szCs w:val="22"/>
        </w:rPr>
        <w:t>Insuffisance rénale chronique</w:t>
      </w:r>
      <w:r w:rsidR="00B56C05" w:rsidRPr="00961E0F">
        <w:rPr>
          <w:rFonts w:ascii="Times New Roman" w:hAnsi="Times New Roman"/>
          <w:color w:val="000000"/>
          <w:szCs w:val="22"/>
        </w:rPr>
        <w:t>.</w:t>
      </w:r>
    </w:p>
    <w:p w14:paraId="53FA9189" w14:textId="77777777" w:rsidR="008914A0" w:rsidRPr="00961E0F" w:rsidRDefault="008914A0" w:rsidP="00CA459C">
      <w:pPr>
        <w:numPr>
          <w:ilvl w:val="0"/>
          <w:numId w:val="36"/>
        </w:numPr>
        <w:spacing w:line="260" w:lineRule="exact"/>
        <w:ind w:left="567" w:hanging="567"/>
        <w:rPr>
          <w:rFonts w:ascii="Times New Roman" w:hAnsi="Times New Roman"/>
          <w:szCs w:val="22"/>
        </w:rPr>
      </w:pPr>
      <w:r w:rsidRPr="00961E0F">
        <w:rPr>
          <w:rFonts w:ascii="Times New Roman" w:hAnsi="Times New Roman"/>
        </w:rPr>
        <w:t>Réapparition (réactivation) de l’hépatite B si vous avez déjà eu une hépatite B dans le passé (infection hépatique).</w:t>
      </w:r>
    </w:p>
    <w:p w14:paraId="4EAE16ED" w14:textId="77777777" w:rsidR="00024AAF" w:rsidRPr="00961E0F" w:rsidRDefault="00024AAF" w:rsidP="00EF4CB3">
      <w:pPr>
        <w:widowControl w:val="0"/>
        <w:suppressAutoHyphens/>
        <w:rPr>
          <w:rFonts w:ascii="Times New Roman" w:hAnsi="Times New Roman"/>
          <w:color w:val="000000"/>
          <w:szCs w:val="22"/>
        </w:rPr>
      </w:pPr>
    </w:p>
    <w:p w14:paraId="07B259FE" w14:textId="77777777" w:rsidR="00EF4CB3" w:rsidRPr="00961E0F" w:rsidRDefault="00EF4CB3" w:rsidP="00EF4CB3">
      <w:pPr>
        <w:widowControl w:val="0"/>
        <w:suppressAutoHyphens/>
        <w:rPr>
          <w:rFonts w:ascii="Times New Roman" w:hAnsi="Times New Roman"/>
          <w:b/>
          <w:color w:val="000000"/>
          <w:szCs w:val="22"/>
        </w:rPr>
      </w:pPr>
      <w:r w:rsidRPr="00961E0F">
        <w:rPr>
          <w:rFonts w:ascii="Times New Roman" w:hAnsi="Times New Roman"/>
          <w:color w:val="000000"/>
          <w:szCs w:val="22"/>
        </w:rPr>
        <w:t xml:space="preserve">Si vous présentez l’un des effets decrits ci-dessus, </w:t>
      </w:r>
      <w:r w:rsidRPr="00961E0F">
        <w:rPr>
          <w:rFonts w:ascii="Times New Roman" w:hAnsi="Times New Roman"/>
          <w:b/>
          <w:color w:val="000000"/>
          <w:szCs w:val="22"/>
        </w:rPr>
        <w:t>parlez-en immédiatement à votre médecin.</w:t>
      </w:r>
    </w:p>
    <w:p w14:paraId="60331B38" w14:textId="77777777" w:rsidR="00EF4CB3" w:rsidRPr="00961E0F" w:rsidRDefault="00EF4CB3" w:rsidP="00EF4CB3">
      <w:pPr>
        <w:widowControl w:val="0"/>
        <w:suppressAutoHyphens/>
        <w:rPr>
          <w:rFonts w:ascii="Times New Roman" w:hAnsi="Times New Roman"/>
          <w:bCs/>
          <w:color w:val="000000"/>
          <w:szCs w:val="22"/>
        </w:rPr>
      </w:pPr>
    </w:p>
    <w:p w14:paraId="23A82B28" w14:textId="77777777" w:rsidR="00EF4CB3" w:rsidRPr="00961E0F" w:rsidRDefault="00EF4CB3"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D’autres effets indésirables peuvent comprendre :</w:t>
      </w:r>
    </w:p>
    <w:p w14:paraId="058C6205" w14:textId="77777777" w:rsidR="00EF4CB3" w:rsidRPr="00961E0F" w:rsidRDefault="00EF4CB3" w:rsidP="00527B2A">
      <w:pPr>
        <w:keepNext/>
        <w:widowControl w:val="0"/>
        <w:suppressAutoHyphens/>
        <w:rPr>
          <w:rFonts w:ascii="Times New Roman" w:hAnsi="Times New Roman"/>
          <w:bCs/>
          <w:color w:val="000000"/>
          <w:szCs w:val="22"/>
        </w:rPr>
      </w:pPr>
    </w:p>
    <w:p w14:paraId="75990E0A" w14:textId="77777777" w:rsidR="00EF4CB3" w:rsidRPr="00961E0F" w:rsidRDefault="00EF4CB3" w:rsidP="00527B2A">
      <w:pPr>
        <w:keepNext/>
        <w:widowControl w:val="0"/>
        <w:suppressAutoHyphens/>
        <w:rPr>
          <w:rFonts w:ascii="Times New Roman" w:hAnsi="Times New Roman"/>
          <w:i/>
          <w:color w:val="000000"/>
          <w:szCs w:val="22"/>
        </w:rPr>
      </w:pPr>
      <w:r w:rsidRPr="00961E0F">
        <w:rPr>
          <w:rFonts w:ascii="Times New Roman" w:hAnsi="Times New Roman"/>
          <w:b/>
          <w:color w:val="000000"/>
          <w:szCs w:val="22"/>
        </w:rPr>
        <w:t>Très fréquents</w:t>
      </w:r>
      <w:r w:rsidRPr="00961E0F">
        <w:rPr>
          <w:rFonts w:ascii="Times New Roman" w:hAnsi="Times New Roman"/>
          <w:color w:val="000000"/>
          <w:szCs w:val="22"/>
        </w:rPr>
        <w:t xml:space="preserve"> (pouvant affecter plus d’1 personne sur 10) :</w:t>
      </w:r>
    </w:p>
    <w:p w14:paraId="0BBC86A1" w14:textId="77777777" w:rsidR="00EF4CB3" w:rsidRPr="00961E0F" w:rsidRDefault="00EF4CB3" w:rsidP="00EF4CB3">
      <w:pPr>
        <w:widowControl w:val="0"/>
        <w:numPr>
          <w:ilvl w:val="0"/>
          <w:numId w:val="2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Maux de tête ou sensation de fatigue.</w:t>
      </w:r>
    </w:p>
    <w:p w14:paraId="5A857EAA"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(nausées), envie de vomir (vomissements), diarrhée ou indigestion.</w:t>
      </w:r>
    </w:p>
    <w:p w14:paraId="4E593818"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Eruption.</w:t>
      </w:r>
    </w:p>
    <w:p w14:paraId="4FC9BF9E"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Crampes musculaires ou articulaires, douleurs osseuses ou musculaires</w:t>
      </w:r>
      <w:r w:rsidR="003D599F" w:rsidRPr="00961E0F">
        <w:rPr>
          <w:rFonts w:ascii="Times New Roman" w:hAnsi="Times New Roman"/>
          <w:color w:val="000000"/>
          <w:szCs w:val="22"/>
        </w:rPr>
        <w:t>,</w:t>
      </w:r>
      <w:r w:rsidR="002D19F2" w:rsidRPr="00961E0F">
        <w:rPr>
          <w:rFonts w:ascii="Times New Roman" w:hAnsi="Times New Roman"/>
          <w:color w:val="000000"/>
          <w:szCs w:val="22"/>
        </w:rPr>
        <w:t xml:space="preserve"> pendant le traitement par Glivec ou après l’</w:t>
      </w:r>
      <w:r w:rsidR="00DC7916" w:rsidRPr="00961E0F">
        <w:rPr>
          <w:rFonts w:ascii="Times New Roman" w:hAnsi="Times New Roman"/>
          <w:color w:val="000000"/>
          <w:szCs w:val="22"/>
        </w:rPr>
        <w:t>a</w:t>
      </w:r>
      <w:r w:rsidR="002D19F2" w:rsidRPr="00961E0F">
        <w:rPr>
          <w:rFonts w:ascii="Times New Roman" w:hAnsi="Times New Roman"/>
          <w:color w:val="000000"/>
          <w:szCs w:val="22"/>
        </w:rPr>
        <w:t>rr</w:t>
      </w:r>
      <w:r w:rsidR="00DC7916" w:rsidRPr="00961E0F">
        <w:rPr>
          <w:rFonts w:ascii="Times New Roman" w:hAnsi="Times New Roman"/>
          <w:color w:val="000000"/>
          <w:szCs w:val="22"/>
        </w:rPr>
        <w:t>ê</w:t>
      </w:r>
      <w:r w:rsidR="002D19F2" w:rsidRPr="00961E0F">
        <w:rPr>
          <w:rFonts w:ascii="Times New Roman" w:hAnsi="Times New Roman"/>
          <w:color w:val="000000"/>
          <w:szCs w:val="22"/>
        </w:rPr>
        <w:t>t</w:t>
      </w:r>
      <w:r w:rsidR="00DC7916" w:rsidRPr="00961E0F">
        <w:rPr>
          <w:rFonts w:ascii="Times New Roman" w:hAnsi="Times New Roman"/>
          <w:color w:val="000000"/>
          <w:szCs w:val="22"/>
        </w:rPr>
        <w:t xml:space="preserve"> du traitement</w:t>
      </w:r>
      <w:r w:rsidRPr="00961E0F">
        <w:rPr>
          <w:rFonts w:ascii="Times New Roman" w:hAnsi="Times New Roman"/>
          <w:color w:val="000000"/>
          <w:szCs w:val="22"/>
        </w:rPr>
        <w:t>.</w:t>
      </w:r>
    </w:p>
    <w:p w14:paraId="09C8F482"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Œdèmes tels que gonflement des chevilles ou gonflement des yeux.</w:t>
      </w:r>
    </w:p>
    <w:p w14:paraId="7D58C61C" w14:textId="77777777" w:rsidR="00EF4CB3" w:rsidRPr="00961E0F" w:rsidRDefault="00EF4CB3" w:rsidP="00527B2A">
      <w:pPr>
        <w:keepNext/>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Prise de poids.</w:t>
      </w:r>
    </w:p>
    <w:p w14:paraId="51B52ACA" w14:textId="77777777" w:rsidR="00EF4CB3" w:rsidRPr="00961E0F" w:rsidRDefault="00EF4CB3" w:rsidP="00EF4CB3">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l’un de ces effets vous affecte sévèrement, </w:t>
      </w:r>
      <w:r w:rsidRPr="00961E0F">
        <w:rPr>
          <w:rFonts w:ascii="Times New Roman" w:hAnsi="Times New Roman"/>
          <w:b/>
          <w:color w:val="000000"/>
          <w:szCs w:val="22"/>
        </w:rPr>
        <w:t>informez votre médecin</w:t>
      </w:r>
      <w:r w:rsidRPr="00961E0F">
        <w:rPr>
          <w:rFonts w:ascii="Times New Roman" w:hAnsi="Times New Roman"/>
          <w:color w:val="000000"/>
          <w:szCs w:val="22"/>
        </w:rPr>
        <w:t>.</w:t>
      </w:r>
    </w:p>
    <w:p w14:paraId="2E3762B9" w14:textId="77777777" w:rsidR="00EF4CB3" w:rsidRPr="00961E0F" w:rsidRDefault="00EF4CB3" w:rsidP="00EF4CB3">
      <w:pPr>
        <w:widowControl w:val="0"/>
        <w:suppressAutoHyphens/>
        <w:rPr>
          <w:rFonts w:ascii="Times New Roman" w:hAnsi="Times New Roman"/>
          <w:color w:val="000000"/>
          <w:szCs w:val="22"/>
        </w:rPr>
      </w:pPr>
    </w:p>
    <w:p w14:paraId="1DD316CB" w14:textId="77777777" w:rsidR="00EF4CB3" w:rsidRPr="00961E0F" w:rsidRDefault="00EF4CB3" w:rsidP="00527B2A">
      <w:pPr>
        <w:keepNext/>
        <w:widowControl w:val="0"/>
        <w:suppressAutoHyphens/>
        <w:rPr>
          <w:rFonts w:ascii="Times New Roman" w:hAnsi="Times New Roman"/>
          <w:i/>
          <w:color w:val="000000"/>
          <w:szCs w:val="22"/>
        </w:rPr>
      </w:pPr>
      <w:r w:rsidRPr="00961E0F">
        <w:rPr>
          <w:rFonts w:ascii="Times New Roman" w:hAnsi="Times New Roman"/>
          <w:b/>
          <w:color w:val="000000"/>
          <w:szCs w:val="22"/>
        </w:rPr>
        <w:t>Fréquents</w:t>
      </w:r>
      <w:r w:rsidRPr="00961E0F">
        <w:rPr>
          <w:rFonts w:ascii="Times New Roman" w:hAnsi="Times New Roman"/>
          <w:color w:val="000000"/>
          <w:szCs w:val="22"/>
        </w:rPr>
        <w:t xml:space="preserve"> (pouvant affecter jusqu’à 1 personne sur 10) :</w:t>
      </w:r>
    </w:p>
    <w:p w14:paraId="461E3D71"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Anorexie, perte de poids ou trouble du goût.</w:t>
      </w:r>
    </w:p>
    <w:p w14:paraId="1127EDC6"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Sensations vertigineuses ou faiblesse.</w:t>
      </w:r>
    </w:p>
    <w:p w14:paraId="43D9709D"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Difficulté d’endormissement (insomnie).</w:t>
      </w:r>
    </w:p>
    <w:p w14:paraId="07C20CE8"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Décharge dans l’oeil avec démangeaisons, rougeur ou gonflement (conjonctivite), yeux larmoyants ou vision trouble.</w:t>
      </w:r>
    </w:p>
    <w:p w14:paraId="3A75D9E7"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Saignement du nez.</w:t>
      </w:r>
    </w:p>
    <w:p w14:paraId="5635408B"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Douleur ou gonflement de l’abdomen, flatulence, brûlures d’estomac ou constipation.</w:t>
      </w:r>
    </w:p>
    <w:p w14:paraId="53F9F53A"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Démangeaisons.</w:t>
      </w:r>
    </w:p>
    <w:p w14:paraId="37419F04"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Perte inhabituelle ou raréfaction des cheveux.</w:t>
      </w:r>
    </w:p>
    <w:p w14:paraId="6B7E3A56"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Engourdissement des mains ou des pieds.</w:t>
      </w:r>
    </w:p>
    <w:p w14:paraId="6490E5EF"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Aphtes.</w:t>
      </w:r>
    </w:p>
    <w:p w14:paraId="25D1E2DC"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Gonflement des articulations et douleurs articulaires.</w:t>
      </w:r>
    </w:p>
    <w:p w14:paraId="7FF8CE03"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Bouche sèche, peau sèche ou œil sec.</w:t>
      </w:r>
    </w:p>
    <w:p w14:paraId="07043CDC"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Diminution ou augmentation de la sensibilité cutanée.</w:t>
      </w:r>
    </w:p>
    <w:p w14:paraId="489F6976" w14:textId="77777777" w:rsidR="00EF4CB3" w:rsidRPr="00961E0F" w:rsidRDefault="00EF4CB3" w:rsidP="00527B2A">
      <w:pPr>
        <w:keepNext/>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Bouffées de chaleur, frissons ou sueurs nocturnes.</w:t>
      </w:r>
    </w:p>
    <w:p w14:paraId="269DADC8" w14:textId="77777777" w:rsidR="00EF4CB3" w:rsidRPr="00961E0F" w:rsidRDefault="00EF4CB3" w:rsidP="00EF4CB3">
      <w:pPr>
        <w:pStyle w:val="EndnoteText"/>
        <w:widowControl w:val="0"/>
        <w:tabs>
          <w:tab w:val="clear" w:pos="567"/>
        </w:tabs>
        <w:suppressAutoHyphens/>
        <w:rPr>
          <w:b/>
          <w:color w:val="000000"/>
          <w:szCs w:val="22"/>
          <w:lang w:val="fr-FR"/>
        </w:rPr>
      </w:pPr>
      <w:r w:rsidRPr="00961E0F">
        <w:rPr>
          <w:color w:val="000000"/>
          <w:szCs w:val="22"/>
          <w:lang w:val="fr-FR"/>
        </w:rPr>
        <w:t xml:space="preserve">Si l’un de ces effets vous affecte sévèrement, </w:t>
      </w:r>
      <w:r w:rsidRPr="00961E0F">
        <w:rPr>
          <w:b/>
          <w:color w:val="000000"/>
          <w:szCs w:val="22"/>
          <w:lang w:val="fr-FR"/>
        </w:rPr>
        <w:t>informez votre médecin.</w:t>
      </w:r>
    </w:p>
    <w:p w14:paraId="0A20AA4D" w14:textId="77777777" w:rsidR="00EF4CB3" w:rsidRPr="00961E0F" w:rsidRDefault="00EF4CB3" w:rsidP="00EF4CB3">
      <w:pPr>
        <w:pStyle w:val="EndnoteText"/>
        <w:widowControl w:val="0"/>
        <w:tabs>
          <w:tab w:val="clear" w:pos="567"/>
        </w:tabs>
        <w:suppressAutoHyphens/>
        <w:rPr>
          <w:color w:val="000000"/>
          <w:szCs w:val="22"/>
          <w:lang w:val="fr-FR"/>
        </w:rPr>
      </w:pPr>
    </w:p>
    <w:p w14:paraId="2231FAE1" w14:textId="77777777" w:rsidR="00EF4CB3" w:rsidRPr="00961E0F" w:rsidRDefault="00EF4CB3" w:rsidP="00527B2A">
      <w:pPr>
        <w:keepNext/>
        <w:widowControl w:val="0"/>
        <w:suppressAutoHyphens/>
        <w:rPr>
          <w:rFonts w:ascii="Times New Roman" w:hAnsi="Times New Roman"/>
          <w:color w:val="000000"/>
          <w:szCs w:val="22"/>
        </w:rPr>
      </w:pPr>
      <w:r w:rsidRPr="00961E0F">
        <w:rPr>
          <w:rFonts w:ascii="Times New Roman" w:hAnsi="Times New Roman"/>
          <w:b/>
          <w:color w:val="000000"/>
          <w:szCs w:val="22"/>
        </w:rPr>
        <w:t>Indéterminée</w:t>
      </w:r>
      <w:r w:rsidRPr="00961E0F">
        <w:rPr>
          <w:rFonts w:ascii="Times New Roman" w:hAnsi="Times New Roman"/>
          <w:color w:val="000000"/>
          <w:szCs w:val="22"/>
        </w:rPr>
        <w:t xml:space="preserve"> (la fréquence ne peut être estimée sur la base des données disponibles) :</w:t>
      </w:r>
    </w:p>
    <w:p w14:paraId="72725856" w14:textId="77777777" w:rsidR="00E07259" w:rsidRPr="00961E0F" w:rsidRDefault="00EF4CB3" w:rsidP="00E07259">
      <w:pPr>
        <w:widowControl w:val="0"/>
        <w:numPr>
          <w:ilvl w:val="0"/>
          <w:numId w:val="25"/>
        </w:numPr>
        <w:tabs>
          <w:tab w:val="clear" w:pos="678"/>
          <w:tab w:val="num" w:pos="567"/>
        </w:tabs>
        <w:suppressAutoHyphens/>
        <w:ind w:left="567" w:hanging="567"/>
        <w:rPr>
          <w:rFonts w:ascii="Times New Roman" w:hAnsi="Times New Roman"/>
          <w:i/>
          <w:color w:val="000000"/>
          <w:szCs w:val="22"/>
        </w:rPr>
      </w:pPr>
      <w:r w:rsidRPr="00961E0F">
        <w:rPr>
          <w:rFonts w:ascii="Times New Roman" w:hAnsi="Times New Roman"/>
          <w:color w:val="000000"/>
          <w:szCs w:val="22"/>
        </w:rPr>
        <w:t>Rougissement et/ou gonflement de la paume des mains et de la plante des pieds qui peuvent être accompagnés de sensations de picotements et de brûlures douloureuses.</w:t>
      </w:r>
    </w:p>
    <w:p w14:paraId="27B3C9D7" w14:textId="77777777" w:rsidR="00E07259" w:rsidRPr="00961E0F" w:rsidRDefault="00E07259" w:rsidP="00E07259">
      <w:pPr>
        <w:widowControl w:val="0"/>
        <w:numPr>
          <w:ilvl w:val="0"/>
          <w:numId w:val="25"/>
        </w:numPr>
        <w:tabs>
          <w:tab w:val="clear" w:pos="678"/>
          <w:tab w:val="num" w:pos="567"/>
        </w:tabs>
        <w:suppressAutoHyphens/>
        <w:ind w:left="567" w:hanging="567"/>
        <w:rPr>
          <w:rFonts w:ascii="Times New Roman" w:hAnsi="Times New Roman"/>
          <w:i/>
          <w:color w:val="000000"/>
          <w:szCs w:val="22"/>
        </w:rPr>
      </w:pPr>
      <w:r w:rsidRPr="00961E0F">
        <w:rPr>
          <w:rFonts w:ascii="Times New Roman" w:hAnsi="Times New Roman"/>
          <w:color w:val="000000"/>
          <w:szCs w:val="22"/>
        </w:rPr>
        <w:t xml:space="preserve">Lésions </w:t>
      </w:r>
      <w:r w:rsidR="00632630" w:rsidRPr="00961E0F">
        <w:rPr>
          <w:rFonts w:ascii="Times New Roman" w:hAnsi="Times New Roman"/>
          <w:color w:val="000000"/>
          <w:szCs w:val="22"/>
        </w:rPr>
        <w:t xml:space="preserve">cutanées </w:t>
      </w:r>
      <w:r w:rsidRPr="00961E0F">
        <w:rPr>
          <w:rFonts w:ascii="Times New Roman" w:hAnsi="Times New Roman"/>
          <w:color w:val="000000"/>
          <w:szCs w:val="22"/>
        </w:rPr>
        <w:t>douloureuses et/ou bulleuses.</w:t>
      </w:r>
    </w:p>
    <w:p w14:paraId="3752F47A" w14:textId="77777777" w:rsidR="00EF4CB3" w:rsidRPr="00961E0F" w:rsidRDefault="00EF4CB3" w:rsidP="00527B2A">
      <w:pPr>
        <w:keepNext/>
        <w:widowControl w:val="0"/>
        <w:numPr>
          <w:ilvl w:val="0"/>
          <w:numId w:val="25"/>
        </w:numPr>
        <w:tabs>
          <w:tab w:val="clear" w:pos="678"/>
        </w:tabs>
        <w:suppressAutoHyphens/>
        <w:ind w:left="567" w:hanging="567"/>
        <w:rPr>
          <w:rFonts w:ascii="Times New Roman" w:hAnsi="Times New Roman"/>
          <w:i/>
          <w:color w:val="000000"/>
          <w:szCs w:val="22"/>
        </w:rPr>
      </w:pPr>
      <w:r w:rsidRPr="00961E0F">
        <w:rPr>
          <w:rFonts w:ascii="Times New Roman" w:hAnsi="Times New Roman"/>
          <w:color w:val="000000"/>
          <w:szCs w:val="22"/>
        </w:rPr>
        <w:lastRenderedPageBreak/>
        <w:t>Retard de croissance chez l’enfant et l’adolescent.</w:t>
      </w:r>
    </w:p>
    <w:p w14:paraId="0479CF14" w14:textId="77777777" w:rsidR="00EF4CB3" w:rsidRPr="00961E0F" w:rsidRDefault="00EF4CB3" w:rsidP="00EF4CB3">
      <w:pPr>
        <w:pStyle w:val="EndnoteText"/>
        <w:widowControl w:val="0"/>
        <w:tabs>
          <w:tab w:val="clear" w:pos="567"/>
        </w:tabs>
        <w:suppressAutoHyphens/>
        <w:rPr>
          <w:color w:val="000000"/>
          <w:szCs w:val="22"/>
          <w:lang w:val="fr-FR"/>
        </w:rPr>
      </w:pPr>
      <w:r w:rsidRPr="00961E0F">
        <w:rPr>
          <w:color w:val="000000"/>
          <w:szCs w:val="22"/>
          <w:lang w:val="fr-FR"/>
        </w:rPr>
        <w:t xml:space="preserve">Si l’un de ces effets vous affecte sévèrement, </w:t>
      </w:r>
      <w:r w:rsidRPr="00961E0F">
        <w:rPr>
          <w:b/>
          <w:color w:val="000000"/>
          <w:szCs w:val="22"/>
          <w:lang w:val="fr-FR"/>
        </w:rPr>
        <w:t>informez votre médecin.</w:t>
      </w:r>
    </w:p>
    <w:p w14:paraId="5009F52D" w14:textId="77777777" w:rsidR="00EF4CB3" w:rsidRPr="00961E0F" w:rsidRDefault="00EF4CB3" w:rsidP="00EF4CB3">
      <w:pPr>
        <w:widowControl w:val="0"/>
        <w:suppressAutoHyphens/>
        <w:rPr>
          <w:rFonts w:ascii="Times New Roman" w:hAnsi="Times New Roman"/>
          <w:i/>
          <w:color w:val="000000"/>
          <w:szCs w:val="22"/>
        </w:rPr>
      </w:pPr>
    </w:p>
    <w:p w14:paraId="290FA10E" w14:textId="77777777" w:rsidR="00EF4CB3" w:rsidRPr="00961E0F" w:rsidRDefault="00EF4CB3" w:rsidP="00527B2A">
      <w:pPr>
        <w:keepNext/>
        <w:widowControl w:val="0"/>
        <w:autoSpaceDE w:val="0"/>
        <w:autoSpaceDN w:val="0"/>
        <w:adjustRightInd w:val="0"/>
        <w:rPr>
          <w:rFonts w:ascii="Times New Roman" w:hAnsi="Times New Roman"/>
          <w:b/>
          <w:szCs w:val="22"/>
        </w:rPr>
      </w:pPr>
      <w:r w:rsidRPr="00961E0F">
        <w:rPr>
          <w:rFonts w:ascii="Times New Roman" w:hAnsi="Times New Roman"/>
          <w:b/>
          <w:szCs w:val="22"/>
        </w:rPr>
        <w:t>Déclaration des effets secondaires</w:t>
      </w:r>
    </w:p>
    <w:p w14:paraId="57A26A87" w14:textId="77777777" w:rsidR="00EF4CB3" w:rsidRPr="00961E0F" w:rsidRDefault="00EF4CB3" w:rsidP="00EF4CB3">
      <w:pPr>
        <w:widowControl w:val="0"/>
        <w:suppressAutoHyphens/>
        <w:rPr>
          <w:rFonts w:ascii="Times New Roman" w:hAnsi="Times New Roman"/>
          <w:color w:val="000000"/>
          <w:szCs w:val="22"/>
          <w:lang w:val="fr-BE"/>
        </w:rPr>
      </w:pPr>
      <w:r w:rsidRPr="00961E0F">
        <w:rPr>
          <w:rFonts w:ascii="Times New Roman" w:hAnsi="Times New Roman"/>
          <w:color w:val="000000"/>
          <w:szCs w:val="22"/>
        </w:rPr>
        <w:t xml:space="preserve">Si vous ressentez un quelconque effet indésirable, parlez-en à votre médecin, votre pharmacien ou votre infirmier/ère. Cela s’applique aussi à tout effet indésirable qui ne serait pas mentionné dans cette notice. </w:t>
      </w:r>
      <w:r w:rsidRPr="00961E0F">
        <w:rPr>
          <w:rFonts w:ascii="Times New Roman" w:hAnsi="Times New Roman"/>
          <w:szCs w:val="22"/>
        </w:rPr>
        <w:t xml:space="preserve">Vous pouvez également déclarer les effets indésirables directement </w:t>
      </w:r>
      <w:r w:rsidRPr="00961E0F">
        <w:rPr>
          <w:rFonts w:ascii="Times New Roman" w:hAnsi="Times New Roman"/>
          <w:szCs w:val="22"/>
          <w:shd w:val="pct15" w:color="auto" w:fill="auto"/>
        </w:rPr>
        <w:t xml:space="preserve">via le système national de déclaration décrit en </w:t>
      </w:r>
      <w:hyperlink r:id="rId16" w:history="1">
        <w:r w:rsidRPr="00961E0F">
          <w:rPr>
            <w:rStyle w:val="Hyperlink"/>
            <w:rFonts w:ascii="Times New Roman" w:hAnsi="Times New Roman"/>
            <w:szCs w:val="22"/>
            <w:shd w:val="pct15" w:color="auto" w:fill="auto"/>
          </w:rPr>
          <w:t>Annexe V</w:t>
        </w:r>
      </w:hyperlink>
      <w:r w:rsidRPr="00961E0F">
        <w:rPr>
          <w:rFonts w:ascii="Times New Roman" w:hAnsi="Times New Roman"/>
          <w:szCs w:val="22"/>
        </w:rPr>
        <w:t>.</w:t>
      </w:r>
      <w:r w:rsidRPr="00961E0F">
        <w:rPr>
          <w:rFonts w:ascii="Times New Roman" w:hAnsi="Times New Roman"/>
          <w:szCs w:val="22"/>
          <w:lang w:val="fr-BE"/>
        </w:rPr>
        <w:t xml:space="preserve"> </w:t>
      </w:r>
      <w:r w:rsidRPr="00961E0F">
        <w:rPr>
          <w:rFonts w:ascii="Times New Roman" w:hAnsi="Times New Roman"/>
          <w:szCs w:val="22"/>
        </w:rPr>
        <w:t>En signalant les effets indésirables, vous contribuez à fournir davantage d’informations sur la sécurité du médicament.</w:t>
      </w:r>
    </w:p>
    <w:p w14:paraId="0CDDB216" w14:textId="77777777" w:rsidR="00EF4CB3" w:rsidRPr="00961E0F" w:rsidRDefault="00EF4CB3" w:rsidP="00EF4CB3">
      <w:pPr>
        <w:widowControl w:val="0"/>
        <w:suppressAutoHyphens/>
        <w:rPr>
          <w:rFonts w:ascii="Times New Roman" w:hAnsi="Times New Roman"/>
          <w:color w:val="000000"/>
          <w:szCs w:val="22"/>
        </w:rPr>
      </w:pPr>
    </w:p>
    <w:p w14:paraId="30059ED4" w14:textId="77777777" w:rsidR="00EF4CB3" w:rsidRPr="00961E0F" w:rsidRDefault="00EF4CB3" w:rsidP="00EF4CB3">
      <w:pPr>
        <w:widowControl w:val="0"/>
        <w:suppressAutoHyphens/>
        <w:rPr>
          <w:rFonts w:ascii="Times New Roman" w:hAnsi="Times New Roman"/>
          <w:color w:val="000000"/>
          <w:szCs w:val="22"/>
        </w:rPr>
      </w:pPr>
    </w:p>
    <w:p w14:paraId="62AB04A1" w14:textId="77777777" w:rsidR="007D642D" w:rsidRPr="00961E0F" w:rsidRDefault="007D642D" w:rsidP="00527B2A">
      <w:pPr>
        <w:pStyle w:val="BodyText3"/>
        <w:keepNext/>
        <w:widowControl w:val="0"/>
        <w:rPr>
          <w:color w:val="000000"/>
          <w:szCs w:val="22"/>
        </w:rPr>
      </w:pPr>
      <w:r w:rsidRPr="00961E0F">
        <w:rPr>
          <w:color w:val="000000"/>
          <w:szCs w:val="22"/>
        </w:rPr>
        <w:t>5.</w:t>
      </w:r>
      <w:r w:rsidRPr="00961E0F">
        <w:rPr>
          <w:color w:val="000000"/>
          <w:szCs w:val="22"/>
        </w:rPr>
        <w:tab/>
        <w:t>Comment conserver Glivec</w:t>
      </w:r>
    </w:p>
    <w:p w14:paraId="55DD779E" w14:textId="77777777" w:rsidR="007D642D" w:rsidRPr="00961E0F" w:rsidRDefault="007D642D" w:rsidP="00527B2A">
      <w:pPr>
        <w:keepNext/>
        <w:widowControl w:val="0"/>
        <w:suppressAutoHyphens/>
        <w:rPr>
          <w:rFonts w:ascii="Times New Roman" w:hAnsi="Times New Roman"/>
          <w:color w:val="000000"/>
          <w:szCs w:val="22"/>
        </w:rPr>
      </w:pPr>
    </w:p>
    <w:p w14:paraId="2C42CE27"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Tenir ce médicament hors de la vue et de la portée des enfants.</w:t>
      </w:r>
    </w:p>
    <w:p w14:paraId="19EB7B46"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N‘utilisez pas ce médicament après la date de péremption indiquée sur l’emballage</w:t>
      </w:r>
      <w:r w:rsidR="00505205" w:rsidRPr="00961E0F">
        <w:rPr>
          <w:rFonts w:ascii="Times New Roman" w:hAnsi="Times New Roman"/>
          <w:color w:val="000000"/>
          <w:szCs w:val="22"/>
        </w:rPr>
        <w:t xml:space="preserve"> après EXP</w:t>
      </w:r>
      <w:r w:rsidRPr="00961E0F">
        <w:rPr>
          <w:rFonts w:ascii="Times New Roman" w:hAnsi="Times New Roman"/>
          <w:color w:val="000000"/>
          <w:szCs w:val="22"/>
        </w:rPr>
        <w:t>.</w:t>
      </w:r>
    </w:p>
    <w:p w14:paraId="79E4DC61"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A conserver à une température ne dépassant pas </w:t>
      </w:r>
      <w:smartTag w:uri="urn:schemas-microsoft-com:office:smarttags" w:element="metricconverter">
        <w:smartTagPr>
          <w:attr w:name="ProductID" w:val="30ﾰC"/>
        </w:smartTagPr>
        <w:r w:rsidRPr="00961E0F">
          <w:rPr>
            <w:rFonts w:ascii="Times New Roman" w:hAnsi="Times New Roman"/>
            <w:color w:val="000000"/>
            <w:szCs w:val="22"/>
          </w:rPr>
          <w:t>30°C</w:t>
        </w:r>
      </w:smartTag>
      <w:r w:rsidRPr="00961E0F">
        <w:rPr>
          <w:rFonts w:ascii="Times New Roman" w:hAnsi="Times New Roman"/>
          <w:color w:val="000000"/>
          <w:szCs w:val="22"/>
        </w:rPr>
        <w:t>.</w:t>
      </w:r>
    </w:p>
    <w:p w14:paraId="5BE77F08"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A conserver dans l’emballage extérieur d'origine à l’abri de l’humidité.</w:t>
      </w:r>
    </w:p>
    <w:p w14:paraId="5B01313E" w14:textId="77777777" w:rsidR="00CD7E29" w:rsidRPr="00961E0F" w:rsidRDefault="007D642D" w:rsidP="00CD7E29">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Ne pas utiliser tout étui qui présenterait des signes de détérioration ou qui aurait déjà été ouvert.</w:t>
      </w:r>
    </w:p>
    <w:p w14:paraId="57CB0179" w14:textId="77777777" w:rsidR="00CD7E29" w:rsidRPr="00961E0F" w:rsidRDefault="00CD7E29" w:rsidP="004D7402">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Ne jetez aucun médicament au tout-à-l’égout ou avec les ordures ménagères. Demandez à votre pharmacien d’éliminer les médicaments que vous n’utilisez plus. Ces mesures contribueront à protéger l’environnement.</w:t>
      </w:r>
    </w:p>
    <w:p w14:paraId="220452A7" w14:textId="77777777" w:rsidR="007D642D" w:rsidRPr="00961E0F" w:rsidRDefault="007D642D">
      <w:pPr>
        <w:widowControl w:val="0"/>
        <w:suppressAutoHyphens/>
        <w:rPr>
          <w:rFonts w:ascii="Times New Roman" w:hAnsi="Times New Roman"/>
          <w:color w:val="000000"/>
          <w:szCs w:val="22"/>
        </w:rPr>
      </w:pPr>
    </w:p>
    <w:p w14:paraId="1AE3A663" w14:textId="77777777" w:rsidR="007D642D" w:rsidRPr="00961E0F" w:rsidRDefault="007D642D">
      <w:pPr>
        <w:widowControl w:val="0"/>
        <w:suppressAutoHyphens/>
        <w:rPr>
          <w:rFonts w:ascii="Times New Roman" w:hAnsi="Times New Roman"/>
          <w:color w:val="000000"/>
          <w:szCs w:val="22"/>
        </w:rPr>
      </w:pPr>
    </w:p>
    <w:p w14:paraId="2A72F603"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Contenu de l’emballage et autres informations</w:t>
      </w:r>
    </w:p>
    <w:p w14:paraId="1754A6F6" w14:textId="77777777" w:rsidR="007D642D" w:rsidRPr="00961E0F" w:rsidRDefault="007D642D" w:rsidP="00527B2A">
      <w:pPr>
        <w:keepNext/>
        <w:widowControl w:val="0"/>
        <w:suppressAutoHyphens/>
        <w:rPr>
          <w:rFonts w:ascii="Times New Roman" w:hAnsi="Times New Roman"/>
          <w:color w:val="000000"/>
          <w:szCs w:val="22"/>
        </w:rPr>
      </w:pPr>
    </w:p>
    <w:p w14:paraId="2595E4FD" w14:textId="77777777" w:rsidR="007D642D" w:rsidRPr="00961E0F" w:rsidRDefault="007D642D" w:rsidP="00527B2A">
      <w:pPr>
        <w:pStyle w:val="BodyText"/>
        <w:keepNext/>
        <w:widowControl w:val="0"/>
        <w:jc w:val="left"/>
        <w:rPr>
          <w:b/>
          <w:noProof w:val="0"/>
          <w:color w:val="000000"/>
          <w:szCs w:val="22"/>
          <w:lang w:eastAsia="fr-FR"/>
        </w:rPr>
      </w:pPr>
      <w:r w:rsidRPr="00961E0F">
        <w:rPr>
          <w:b/>
          <w:noProof w:val="0"/>
          <w:color w:val="000000"/>
          <w:szCs w:val="22"/>
          <w:lang w:eastAsia="fr-FR"/>
        </w:rPr>
        <w:t>Ce que contient Glivec</w:t>
      </w:r>
    </w:p>
    <w:p w14:paraId="027E8B8A" w14:textId="77777777" w:rsidR="007D642D" w:rsidRPr="00961E0F" w:rsidRDefault="007D642D">
      <w:pPr>
        <w:widowControl w:val="0"/>
        <w:numPr>
          <w:ilvl w:val="0"/>
          <w:numId w:val="1"/>
        </w:numPr>
        <w:suppressAutoHyphens/>
        <w:ind w:left="567" w:hanging="567"/>
        <w:rPr>
          <w:rFonts w:ascii="Times New Roman" w:hAnsi="Times New Roman"/>
          <w:color w:val="000000"/>
          <w:szCs w:val="22"/>
        </w:rPr>
      </w:pPr>
      <w:r w:rsidRPr="00961E0F">
        <w:rPr>
          <w:rFonts w:ascii="Times New Roman" w:hAnsi="Times New Roman"/>
          <w:color w:val="000000"/>
        </w:rPr>
        <w:t>La substance active est le mésilate d’imatinib. Chaque gélule de Glivec contient 100 mg d’imatinib (sous forme de mésilate).</w:t>
      </w:r>
    </w:p>
    <w:p w14:paraId="4BBBE780" w14:textId="77777777" w:rsidR="007D642D" w:rsidRPr="00961E0F" w:rsidRDefault="007D642D">
      <w:pPr>
        <w:widowControl w:val="0"/>
        <w:numPr>
          <w:ilvl w:val="0"/>
          <w:numId w:val="3"/>
        </w:numPr>
        <w:ind w:left="567" w:hanging="567"/>
        <w:rPr>
          <w:rFonts w:ascii="Times New Roman" w:hAnsi="Times New Roman"/>
          <w:color w:val="000000"/>
          <w:szCs w:val="22"/>
        </w:rPr>
      </w:pPr>
      <w:r w:rsidRPr="00961E0F">
        <w:rPr>
          <w:rFonts w:ascii="Times New Roman" w:hAnsi="Times New Roman"/>
          <w:color w:val="000000"/>
          <w:szCs w:val="22"/>
        </w:rPr>
        <w:t xml:space="preserve">Les autres composants sont : cellulose microcristalline, crospovidone, stéarate de magnésium, silice colloïdale anhydre. L’enveloppe de la gélule est composée de gélatine, </w:t>
      </w:r>
      <w:r w:rsidR="008C6F56" w:rsidRPr="00961E0F">
        <w:rPr>
          <w:rFonts w:ascii="Times New Roman" w:hAnsi="Times New Roman"/>
          <w:color w:val="000000"/>
          <w:szCs w:val="22"/>
        </w:rPr>
        <w:t xml:space="preserve">d’oxyde de fer rouge (E172), </w:t>
      </w:r>
      <w:r w:rsidRPr="00961E0F">
        <w:rPr>
          <w:rFonts w:ascii="Times New Roman" w:hAnsi="Times New Roman"/>
          <w:color w:val="000000"/>
          <w:szCs w:val="22"/>
        </w:rPr>
        <w:t>d’oxyde de fer jaune (E172), de dioxyde de titane (E171). L’encre d'impression est composée d’oxyde de fer rouge (E172) et de gomme laque.</w:t>
      </w:r>
    </w:p>
    <w:p w14:paraId="02AD0674" w14:textId="77777777" w:rsidR="007D642D" w:rsidRPr="00961E0F" w:rsidRDefault="007D642D">
      <w:pPr>
        <w:widowControl w:val="0"/>
        <w:rPr>
          <w:rFonts w:ascii="Times New Roman" w:hAnsi="Times New Roman"/>
          <w:color w:val="000000"/>
          <w:szCs w:val="22"/>
        </w:rPr>
      </w:pPr>
    </w:p>
    <w:p w14:paraId="42DD384D"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t>Qu’est ce que Glivec et contenu de l’emballage extérieur</w:t>
      </w:r>
    </w:p>
    <w:p w14:paraId="3BC5C99A"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Glivec </w:t>
      </w:r>
      <w:r w:rsidRPr="00961E0F">
        <w:rPr>
          <w:rFonts w:ascii="Times New Roman" w:hAnsi="Times New Roman"/>
          <w:bCs/>
          <w:color w:val="000000"/>
          <w:szCs w:val="22"/>
        </w:rPr>
        <w:t>100</w:t>
      </w:r>
      <w:r w:rsidRPr="00961E0F">
        <w:rPr>
          <w:rFonts w:ascii="Times New Roman" w:hAnsi="Times New Roman"/>
          <w:color w:val="000000"/>
        </w:rPr>
        <w:t> </w:t>
      </w:r>
      <w:r w:rsidRPr="00961E0F">
        <w:rPr>
          <w:rFonts w:ascii="Times New Roman" w:hAnsi="Times New Roman"/>
          <w:color w:val="000000"/>
          <w:szCs w:val="22"/>
        </w:rPr>
        <w:t xml:space="preserve">mg gélules sont </w:t>
      </w:r>
      <w:r w:rsidRPr="00961E0F">
        <w:rPr>
          <w:rFonts w:ascii="Times New Roman" w:hAnsi="Times New Roman"/>
          <w:bCs/>
          <w:color w:val="000000"/>
          <w:szCs w:val="22"/>
        </w:rPr>
        <w:t>orange à gris orangé</w:t>
      </w:r>
      <w:r w:rsidRPr="00961E0F">
        <w:rPr>
          <w:rFonts w:ascii="Times New Roman" w:hAnsi="Times New Roman"/>
          <w:color w:val="000000"/>
          <w:szCs w:val="22"/>
        </w:rPr>
        <w:t>, portant l’inscription « </w:t>
      </w:r>
      <w:smartTag w:uri="urn:schemas-microsoft-com:office:smarttags" w:element="stockticker">
        <w:r w:rsidRPr="00961E0F">
          <w:rPr>
            <w:rFonts w:ascii="Times New Roman" w:hAnsi="Times New Roman"/>
            <w:bCs/>
            <w:color w:val="000000"/>
            <w:szCs w:val="22"/>
          </w:rPr>
          <w:t>NVR</w:t>
        </w:r>
      </w:smartTag>
      <w:r w:rsidRPr="00961E0F">
        <w:rPr>
          <w:rFonts w:ascii="Times New Roman" w:hAnsi="Times New Roman"/>
          <w:bCs/>
          <w:color w:val="000000"/>
          <w:szCs w:val="22"/>
        </w:rPr>
        <w:t> SI</w:t>
      </w:r>
      <w:r w:rsidRPr="00961E0F">
        <w:rPr>
          <w:rFonts w:ascii="Times New Roman" w:hAnsi="Times New Roman"/>
          <w:color w:val="000000"/>
          <w:szCs w:val="22"/>
        </w:rPr>
        <w:t> ». Elles contiennent une poudre blanche à jaune.</w:t>
      </w:r>
    </w:p>
    <w:p w14:paraId="2DD3EB71" w14:textId="77777777" w:rsidR="007D642D" w:rsidRPr="00961E0F" w:rsidRDefault="007D642D">
      <w:pPr>
        <w:widowControl w:val="0"/>
        <w:rPr>
          <w:rFonts w:ascii="Times New Roman" w:hAnsi="Times New Roman"/>
          <w:color w:val="000000"/>
          <w:szCs w:val="22"/>
        </w:rPr>
      </w:pPr>
    </w:p>
    <w:p w14:paraId="35FC275E"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 xml:space="preserve">Elles sont fournies dans des boîtes contenant </w:t>
      </w:r>
      <w:r w:rsidRPr="00961E0F">
        <w:rPr>
          <w:rFonts w:ascii="Times New Roman" w:hAnsi="Times New Roman"/>
          <w:bCs/>
          <w:color w:val="000000"/>
          <w:szCs w:val="22"/>
        </w:rPr>
        <w:t>24, 48, 96, 120 ou 180 gélules mais toutes les tailles de boîtes peuvent ne pas être disponibles dans votre pays</w:t>
      </w:r>
      <w:r w:rsidRPr="00961E0F">
        <w:rPr>
          <w:rFonts w:ascii="Times New Roman" w:hAnsi="Times New Roman"/>
          <w:color w:val="000000"/>
          <w:szCs w:val="22"/>
        </w:rPr>
        <w:t>.</w:t>
      </w:r>
    </w:p>
    <w:p w14:paraId="257F0868" w14:textId="77777777" w:rsidR="007D642D" w:rsidRPr="00961E0F" w:rsidRDefault="007D642D">
      <w:pPr>
        <w:widowControl w:val="0"/>
        <w:rPr>
          <w:rFonts w:ascii="Times New Roman" w:hAnsi="Times New Roman"/>
          <w:color w:val="000000"/>
          <w:szCs w:val="22"/>
        </w:rPr>
      </w:pPr>
    </w:p>
    <w:p w14:paraId="15724DA8"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t>Titulaire de l’autorisation de mise sur le marché</w:t>
      </w:r>
    </w:p>
    <w:p w14:paraId="5D19F1A2" w14:textId="77777777" w:rsidR="007D642D" w:rsidRPr="00961E0F" w:rsidRDefault="007D642D" w:rsidP="00527B2A">
      <w:pPr>
        <w:keepNext/>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4757B841"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0B447EBE"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5DBEEC6E"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008114A7"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7301F23A" w14:textId="77777777" w:rsidR="007D642D" w:rsidRPr="00961E0F" w:rsidRDefault="007D642D">
      <w:pPr>
        <w:widowControl w:val="0"/>
        <w:rPr>
          <w:rFonts w:ascii="Times New Roman" w:hAnsi="Times New Roman"/>
          <w:color w:val="000000"/>
          <w:szCs w:val="22"/>
        </w:rPr>
      </w:pPr>
    </w:p>
    <w:p w14:paraId="2CB697AE" w14:textId="77777777" w:rsidR="007D642D" w:rsidRPr="00961E0F" w:rsidRDefault="007D642D" w:rsidP="00527B2A">
      <w:pPr>
        <w:keepNext/>
        <w:widowControl w:val="0"/>
        <w:rPr>
          <w:rFonts w:ascii="Times New Roman" w:hAnsi="Times New Roman"/>
          <w:b/>
          <w:color w:val="000000"/>
          <w:szCs w:val="22"/>
          <w:lang w:val="pt-BR"/>
        </w:rPr>
      </w:pPr>
      <w:r w:rsidRPr="00961E0F">
        <w:rPr>
          <w:rFonts w:ascii="Times New Roman" w:hAnsi="Times New Roman"/>
          <w:b/>
          <w:color w:val="000000"/>
          <w:szCs w:val="22"/>
          <w:lang w:val="pt-BR"/>
        </w:rPr>
        <w:t>Fabricant</w:t>
      </w:r>
    </w:p>
    <w:p w14:paraId="73E5AFEC" w14:textId="77777777" w:rsidR="007D642D" w:rsidRPr="00961E0F" w:rsidRDefault="007D642D" w:rsidP="00527B2A">
      <w:pPr>
        <w:keepNext/>
        <w:widowControl w:val="0"/>
        <w:rPr>
          <w:rFonts w:ascii="Times New Roman" w:hAnsi="Times New Roman"/>
          <w:color w:val="000000"/>
          <w:szCs w:val="22"/>
          <w:lang w:val="pt-BR"/>
        </w:rPr>
      </w:pPr>
      <w:r w:rsidRPr="00961E0F">
        <w:rPr>
          <w:rFonts w:ascii="Times New Roman" w:hAnsi="Times New Roman"/>
          <w:color w:val="000000"/>
          <w:szCs w:val="22"/>
          <w:lang w:val="pt-BR"/>
        </w:rPr>
        <w:t>Novartis Pharma GmbH</w:t>
      </w:r>
    </w:p>
    <w:p w14:paraId="4D9AD609" w14:textId="77777777" w:rsidR="007D642D" w:rsidRPr="00961E0F" w:rsidRDefault="007D642D" w:rsidP="00527B2A">
      <w:pPr>
        <w:pStyle w:val="BodyText"/>
        <w:keepNext/>
        <w:rPr>
          <w:color w:val="000000"/>
          <w:lang w:val="pt-BR"/>
        </w:rPr>
      </w:pPr>
      <w:r w:rsidRPr="00961E0F">
        <w:rPr>
          <w:color w:val="000000"/>
          <w:lang w:val="pt-BR"/>
        </w:rPr>
        <w:t>Roonstrasse 25</w:t>
      </w:r>
    </w:p>
    <w:p w14:paraId="4812074A" w14:textId="77777777" w:rsidR="007D642D" w:rsidRPr="00961E0F" w:rsidRDefault="007D642D" w:rsidP="00527B2A">
      <w:pPr>
        <w:keepNext/>
        <w:widowControl w:val="0"/>
        <w:rPr>
          <w:rFonts w:ascii="Times New Roman" w:hAnsi="Times New Roman"/>
          <w:color w:val="000000"/>
          <w:szCs w:val="22"/>
        </w:rPr>
      </w:pPr>
      <w:r w:rsidRPr="00961E0F">
        <w:rPr>
          <w:rFonts w:ascii="Times New Roman" w:hAnsi="Times New Roman"/>
          <w:color w:val="000000"/>
          <w:szCs w:val="22"/>
        </w:rPr>
        <w:t>D-90429 Nuremberg</w:t>
      </w:r>
    </w:p>
    <w:p w14:paraId="76AE6A8F" w14:textId="79703D09" w:rsidR="007D642D" w:rsidRDefault="007D642D">
      <w:pPr>
        <w:widowControl w:val="0"/>
        <w:rPr>
          <w:rFonts w:ascii="Times New Roman" w:hAnsi="Times New Roman"/>
          <w:color w:val="000000"/>
          <w:szCs w:val="22"/>
        </w:rPr>
      </w:pPr>
      <w:r w:rsidRPr="00961E0F">
        <w:rPr>
          <w:rFonts w:ascii="Times New Roman" w:hAnsi="Times New Roman"/>
          <w:color w:val="000000"/>
          <w:szCs w:val="22"/>
        </w:rPr>
        <w:t>Allemagne</w:t>
      </w:r>
    </w:p>
    <w:p w14:paraId="61E27F66" w14:textId="15AC797A" w:rsidR="00C766A0" w:rsidRDefault="00C766A0">
      <w:pPr>
        <w:widowControl w:val="0"/>
        <w:rPr>
          <w:rFonts w:ascii="Times New Roman" w:hAnsi="Times New Roman"/>
          <w:color w:val="000000"/>
          <w:szCs w:val="22"/>
        </w:rPr>
      </w:pPr>
    </w:p>
    <w:p w14:paraId="50443256" w14:textId="77777777" w:rsidR="00C766A0" w:rsidRPr="00C766A0" w:rsidRDefault="00C766A0" w:rsidP="00C766A0">
      <w:pPr>
        <w:keepNext/>
        <w:numPr>
          <w:ilvl w:val="12"/>
          <w:numId w:val="0"/>
        </w:numPr>
        <w:rPr>
          <w:rFonts w:ascii="Times New Roman" w:hAnsi="Times New Roman"/>
          <w:szCs w:val="22"/>
          <w:shd w:val="pct15" w:color="auto" w:fill="auto"/>
        </w:rPr>
      </w:pPr>
      <w:r w:rsidRPr="00C766A0">
        <w:rPr>
          <w:rFonts w:ascii="Times New Roman" w:hAnsi="Times New Roman"/>
          <w:szCs w:val="22"/>
          <w:shd w:val="pct15" w:color="auto" w:fill="auto"/>
        </w:rPr>
        <w:t>Sandoz S.R.L.</w:t>
      </w:r>
    </w:p>
    <w:p w14:paraId="634C001B" w14:textId="77777777" w:rsidR="00C766A0" w:rsidRPr="006E0E52" w:rsidRDefault="00C766A0" w:rsidP="00C766A0">
      <w:pPr>
        <w:keepNext/>
        <w:numPr>
          <w:ilvl w:val="12"/>
          <w:numId w:val="0"/>
        </w:numPr>
        <w:rPr>
          <w:rFonts w:ascii="Times New Roman" w:hAnsi="Times New Roman"/>
          <w:szCs w:val="22"/>
          <w:shd w:val="pct15" w:color="auto" w:fill="auto"/>
          <w:lang w:val="en-US"/>
        </w:rPr>
      </w:pPr>
      <w:r w:rsidRPr="006E0E52">
        <w:rPr>
          <w:rFonts w:ascii="Times New Roman" w:hAnsi="Times New Roman"/>
          <w:szCs w:val="22"/>
          <w:shd w:val="pct15" w:color="auto" w:fill="auto"/>
          <w:lang w:val="en-US"/>
        </w:rPr>
        <w:t>Str. Livezeni nr. 7A</w:t>
      </w:r>
    </w:p>
    <w:p w14:paraId="75ACF71A" w14:textId="77777777" w:rsidR="00C766A0" w:rsidRPr="006E0E52" w:rsidRDefault="00C766A0" w:rsidP="00C766A0">
      <w:pPr>
        <w:keepNext/>
        <w:numPr>
          <w:ilvl w:val="12"/>
          <w:numId w:val="0"/>
        </w:numPr>
        <w:rPr>
          <w:rFonts w:ascii="Times New Roman" w:hAnsi="Times New Roman"/>
          <w:szCs w:val="22"/>
          <w:shd w:val="pct15" w:color="auto" w:fill="auto"/>
          <w:lang w:val="en-US"/>
        </w:rPr>
      </w:pPr>
      <w:r w:rsidRPr="006E0E52">
        <w:rPr>
          <w:rFonts w:ascii="Times New Roman" w:hAnsi="Times New Roman"/>
          <w:szCs w:val="22"/>
          <w:shd w:val="pct15" w:color="auto" w:fill="auto"/>
          <w:lang w:val="en-US"/>
        </w:rPr>
        <w:t>540472, Targu Mures</w:t>
      </w:r>
    </w:p>
    <w:p w14:paraId="14BD08ED" w14:textId="0790A4D9" w:rsidR="00C766A0" w:rsidRPr="00C766A0" w:rsidRDefault="00C766A0" w:rsidP="00C766A0">
      <w:pPr>
        <w:widowControl w:val="0"/>
        <w:rPr>
          <w:rFonts w:ascii="Times New Roman" w:hAnsi="Times New Roman"/>
          <w:color w:val="000000"/>
          <w:szCs w:val="22"/>
          <w:shd w:val="pct15" w:color="auto" w:fill="auto"/>
        </w:rPr>
      </w:pPr>
      <w:r w:rsidRPr="00C766A0">
        <w:rPr>
          <w:rFonts w:ascii="Times New Roman" w:hAnsi="Times New Roman"/>
          <w:szCs w:val="22"/>
          <w:shd w:val="pct15" w:color="auto" w:fill="auto"/>
        </w:rPr>
        <w:t>Roumanie</w:t>
      </w:r>
    </w:p>
    <w:p w14:paraId="1C3AF77F" w14:textId="77777777" w:rsidR="007D642D" w:rsidRPr="00961E0F" w:rsidRDefault="007D642D">
      <w:pPr>
        <w:pStyle w:val="BodyText"/>
        <w:widowControl w:val="0"/>
        <w:jc w:val="left"/>
        <w:rPr>
          <w:noProof w:val="0"/>
          <w:color w:val="000000"/>
          <w:szCs w:val="22"/>
          <w:lang w:eastAsia="fr-FR"/>
        </w:rPr>
      </w:pPr>
    </w:p>
    <w:p w14:paraId="1D358D3E" w14:textId="77777777" w:rsidR="007D642D" w:rsidRPr="00961E0F" w:rsidRDefault="007D642D" w:rsidP="00527B2A">
      <w:pPr>
        <w:pStyle w:val="BodyText"/>
        <w:keepNext/>
        <w:keepLines/>
        <w:widowControl w:val="0"/>
        <w:jc w:val="left"/>
        <w:rPr>
          <w:noProof w:val="0"/>
          <w:color w:val="000000"/>
          <w:szCs w:val="22"/>
          <w:lang w:eastAsia="fr-FR"/>
        </w:rPr>
      </w:pPr>
      <w:r w:rsidRPr="00961E0F">
        <w:rPr>
          <w:noProof w:val="0"/>
          <w:color w:val="000000"/>
          <w:szCs w:val="22"/>
          <w:lang w:eastAsia="fr-FR"/>
        </w:rPr>
        <w:t>Pour toute information complémentaire concernant ce médicament, veuillez prendre contact avec le représentant local du titulaire de l’autorisation de mise sur le marché.</w:t>
      </w:r>
    </w:p>
    <w:p w14:paraId="2A784FA7" w14:textId="77777777" w:rsidR="005057D2" w:rsidRPr="00961E0F" w:rsidRDefault="005057D2" w:rsidP="00527B2A">
      <w:pPr>
        <w:keepNext/>
        <w:widowControl w:val="0"/>
        <w:ind w:right="-449"/>
        <w:rPr>
          <w:rFonts w:ascii="Times New Roman" w:hAnsi="Times New Roman"/>
          <w:color w:val="000000"/>
          <w:szCs w:val="22"/>
        </w:rPr>
      </w:pPr>
    </w:p>
    <w:tbl>
      <w:tblPr>
        <w:tblW w:w="9300" w:type="dxa"/>
        <w:tblLayout w:type="fixed"/>
        <w:tblLook w:val="0000" w:firstRow="0" w:lastRow="0" w:firstColumn="0" w:lastColumn="0" w:noHBand="0" w:noVBand="0"/>
      </w:tblPr>
      <w:tblGrid>
        <w:gridCol w:w="4650"/>
        <w:gridCol w:w="4650"/>
      </w:tblGrid>
      <w:tr w:rsidR="005057D2" w:rsidRPr="00961E0F" w14:paraId="7DF2F815" w14:textId="77777777" w:rsidTr="000666D1">
        <w:trPr>
          <w:cantSplit/>
        </w:trPr>
        <w:tc>
          <w:tcPr>
            <w:tcW w:w="4650" w:type="dxa"/>
          </w:tcPr>
          <w:p w14:paraId="6494821F"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België/Belgique/Belgien</w:t>
            </w:r>
          </w:p>
          <w:p w14:paraId="3050D1E7"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N.V.</w:t>
            </w:r>
          </w:p>
          <w:p w14:paraId="27916150"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Tél/Tel: +32 2 246 16 11</w:t>
            </w:r>
          </w:p>
          <w:p w14:paraId="0F4EFE1A" w14:textId="77777777" w:rsidR="005057D2" w:rsidRPr="00961E0F" w:rsidRDefault="005057D2" w:rsidP="00BE2571">
            <w:pPr>
              <w:rPr>
                <w:rFonts w:ascii="Times New Roman" w:hAnsi="Times New Roman"/>
                <w:b/>
                <w:color w:val="000000"/>
                <w:szCs w:val="22"/>
              </w:rPr>
            </w:pPr>
          </w:p>
        </w:tc>
        <w:tc>
          <w:tcPr>
            <w:tcW w:w="4650" w:type="dxa"/>
          </w:tcPr>
          <w:p w14:paraId="6476DC39" w14:textId="77777777" w:rsidR="005057D2" w:rsidRPr="00961E0F" w:rsidRDefault="005057D2" w:rsidP="00BE2571">
            <w:pPr>
              <w:rPr>
                <w:rFonts w:ascii="Times New Roman" w:hAnsi="Times New Roman"/>
                <w:b/>
                <w:color w:val="000000"/>
                <w:szCs w:val="22"/>
                <w:lang w:val="es-ES"/>
              </w:rPr>
            </w:pPr>
            <w:r w:rsidRPr="00961E0F">
              <w:rPr>
                <w:rFonts w:ascii="Times New Roman" w:hAnsi="Times New Roman"/>
                <w:b/>
                <w:color w:val="000000"/>
                <w:szCs w:val="22"/>
                <w:lang w:val="es-ES"/>
              </w:rPr>
              <w:t>Lietuva</w:t>
            </w:r>
          </w:p>
          <w:p w14:paraId="3EEB5A10" w14:textId="0D9E60CE" w:rsidR="005057D2" w:rsidRPr="00961E0F" w:rsidRDefault="00226601" w:rsidP="00BE2571">
            <w:pPr>
              <w:rPr>
                <w:rFonts w:ascii="Times New Roman" w:hAnsi="Times New Roman"/>
                <w:color w:val="000000"/>
                <w:szCs w:val="22"/>
                <w:lang w:val="es-ES"/>
              </w:rPr>
            </w:pPr>
            <w:r w:rsidRPr="00961E0F">
              <w:rPr>
                <w:rFonts w:ascii="Times New Roman" w:hAnsi="Times New Roman"/>
                <w:color w:val="000000"/>
                <w:szCs w:val="22"/>
                <w:lang w:val="es-ES"/>
              </w:rPr>
              <w:t>SIA Novartis Baltics Lietuvos filialas</w:t>
            </w:r>
          </w:p>
          <w:p w14:paraId="65EAEC1B" w14:textId="77777777" w:rsidR="005057D2" w:rsidRPr="00961E0F" w:rsidRDefault="005057D2" w:rsidP="00BE2571">
            <w:pPr>
              <w:rPr>
                <w:rFonts w:ascii="Times New Roman" w:hAnsi="Times New Roman"/>
                <w:color w:val="000000"/>
                <w:szCs w:val="22"/>
                <w:lang w:val="es-ES"/>
              </w:rPr>
            </w:pPr>
            <w:r w:rsidRPr="00961E0F">
              <w:rPr>
                <w:rFonts w:ascii="Times New Roman" w:hAnsi="Times New Roman"/>
                <w:color w:val="000000"/>
                <w:szCs w:val="22"/>
                <w:lang w:val="es-ES"/>
              </w:rPr>
              <w:t>Tel: +370 5 269 16 50</w:t>
            </w:r>
          </w:p>
          <w:p w14:paraId="0070AEEA" w14:textId="77777777" w:rsidR="005057D2" w:rsidRPr="00961E0F" w:rsidRDefault="005057D2" w:rsidP="00BE2571">
            <w:pPr>
              <w:rPr>
                <w:rFonts w:ascii="Times New Roman" w:hAnsi="Times New Roman"/>
                <w:color w:val="000000"/>
                <w:szCs w:val="22"/>
                <w:lang w:val="es-ES"/>
              </w:rPr>
            </w:pPr>
          </w:p>
        </w:tc>
      </w:tr>
      <w:tr w:rsidR="005057D2" w:rsidRPr="00961E0F" w14:paraId="64D8B503" w14:textId="77777777" w:rsidTr="000666D1">
        <w:trPr>
          <w:cantSplit/>
        </w:trPr>
        <w:tc>
          <w:tcPr>
            <w:tcW w:w="4650" w:type="dxa"/>
          </w:tcPr>
          <w:p w14:paraId="6D243CDB" w14:textId="77777777" w:rsidR="005057D2" w:rsidRPr="00961E0F" w:rsidRDefault="005057D2" w:rsidP="00BE2571">
            <w:pPr>
              <w:rPr>
                <w:rFonts w:ascii="Times New Roman" w:hAnsi="Times New Roman"/>
                <w:b/>
                <w:noProof/>
                <w:color w:val="000000"/>
                <w:szCs w:val="22"/>
              </w:rPr>
            </w:pPr>
            <w:r w:rsidRPr="00961E0F">
              <w:rPr>
                <w:rFonts w:ascii="Times New Roman" w:hAnsi="Times New Roman"/>
                <w:b/>
                <w:noProof/>
                <w:color w:val="000000"/>
                <w:szCs w:val="22"/>
              </w:rPr>
              <w:t>България</w:t>
            </w:r>
          </w:p>
          <w:p w14:paraId="223F9346" w14:textId="77777777" w:rsidR="005057D2" w:rsidRPr="00961E0F" w:rsidRDefault="005057D2" w:rsidP="00BE2571">
            <w:pPr>
              <w:rPr>
                <w:rFonts w:ascii="Times New Roman" w:hAnsi="Times New Roman"/>
                <w:noProof/>
                <w:color w:val="000000"/>
                <w:szCs w:val="22"/>
              </w:rPr>
            </w:pPr>
            <w:r w:rsidRPr="00961E0F">
              <w:rPr>
                <w:rFonts w:ascii="Times New Roman" w:hAnsi="Times New Roman"/>
                <w:noProof/>
                <w:color w:val="000000"/>
                <w:szCs w:val="22"/>
              </w:rPr>
              <w:t xml:space="preserve">Novartis </w:t>
            </w:r>
            <w:r w:rsidR="00E07259" w:rsidRPr="00961E0F">
              <w:rPr>
                <w:rFonts w:ascii="Times New Roman" w:hAnsi="Times New Roman"/>
                <w:noProof/>
                <w:color w:val="000000"/>
                <w:szCs w:val="22"/>
              </w:rPr>
              <w:t>Bulgaria.EOOD</w:t>
            </w:r>
          </w:p>
          <w:p w14:paraId="7C01A5B0" w14:textId="77777777" w:rsidR="005057D2" w:rsidRPr="00961E0F" w:rsidRDefault="005057D2" w:rsidP="00BE2571">
            <w:pPr>
              <w:rPr>
                <w:rFonts w:ascii="Times New Roman" w:hAnsi="Times New Roman"/>
                <w:noProof/>
                <w:color w:val="000000"/>
                <w:szCs w:val="22"/>
              </w:rPr>
            </w:pPr>
            <w:r w:rsidRPr="00961E0F">
              <w:rPr>
                <w:rFonts w:ascii="Times New Roman" w:hAnsi="Times New Roman"/>
                <w:noProof/>
                <w:color w:val="000000"/>
                <w:szCs w:val="22"/>
              </w:rPr>
              <w:t>Тел.: +359 2 489 98 28</w:t>
            </w:r>
          </w:p>
          <w:p w14:paraId="663E5928" w14:textId="77777777" w:rsidR="005057D2" w:rsidRPr="00961E0F" w:rsidRDefault="005057D2" w:rsidP="00BE2571">
            <w:pPr>
              <w:rPr>
                <w:rFonts w:ascii="Times New Roman" w:hAnsi="Times New Roman"/>
                <w:b/>
                <w:color w:val="000000"/>
                <w:szCs w:val="22"/>
                <w:lang w:val="pt-BR"/>
              </w:rPr>
            </w:pPr>
          </w:p>
        </w:tc>
        <w:tc>
          <w:tcPr>
            <w:tcW w:w="4650" w:type="dxa"/>
          </w:tcPr>
          <w:p w14:paraId="00EF3611"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Luxembourg/Luxemburg</w:t>
            </w:r>
          </w:p>
          <w:p w14:paraId="73F9D82E"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N.V.</w:t>
            </w:r>
          </w:p>
          <w:p w14:paraId="52E74AC8"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Tél/Tel: +32 2 246 16 11</w:t>
            </w:r>
          </w:p>
          <w:p w14:paraId="0E2CB998" w14:textId="77777777" w:rsidR="005057D2" w:rsidRPr="00961E0F" w:rsidRDefault="005057D2" w:rsidP="00BE2571">
            <w:pPr>
              <w:rPr>
                <w:rFonts w:ascii="Times New Roman" w:hAnsi="Times New Roman"/>
                <w:color w:val="000000"/>
                <w:szCs w:val="22"/>
                <w:lang w:val="de-CH"/>
              </w:rPr>
            </w:pPr>
          </w:p>
        </w:tc>
      </w:tr>
      <w:tr w:rsidR="005057D2" w:rsidRPr="006B246A" w14:paraId="017B98E9" w14:textId="77777777" w:rsidTr="000666D1">
        <w:trPr>
          <w:cantSplit/>
        </w:trPr>
        <w:tc>
          <w:tcPr>
            <w:tcW w:w="4650" w:type="dxa"/>
          </w:tcPr>
          <w:p w14:paraId="68A52827"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Česká republika</w:t>
            </w:r>
          </w:p>
          <w:p w14:paraId="230247DF"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s.r.o.</w:t>
            </w:r>
          </w:p>
          <w:p w14:paraId="298BF87A" w14:textId="77777777" w:rsidR="005057D2" w:rsidRPr="009311B9" w:rsidRDefault="005057D2" w:rsidP="00BE2571">
            <w:pPr>
              <w:rPr>
                <w:rFonts w:ascii="Times New Roman" w:hAnsi="Times New Roman"/>
                <w:color w:val="000000"/>
                <w:szCs w:val="22"/>
                <w:lang w:val="en-US"/>
              </w:rPr>
            </w:pPr>
            <w:r w:rsidRPr="009311B9">
              <w:rPr>
                <w:rFonts w:ascii="Times New Roman" w:hAnsi="Times New Roman"/>
                <w:color w:val="000000"/>
                <w:szCs w:val="22"/>
                <w:lang w:val="en-US"/>
              </w:rPr>
              <w:t>Tel: +420 225 775 111</w:t>
            </w:r>
          </w:p>
          <w:p w14:paraId="79C81837" w14:textId="77777777" w:rsidR="005057D2" w:rsidRPr="009311B9" w:rsidRDefault="005057D2" w:rsidP="00BE2571">
            <w:pPr>
              <w:rPr>
                <w:rFonts w:ascii="Times New Roman" w:hAnsi="Times New Roman"/>
                <w:b/>
                <w:color w:val="000000"/>
                <w:szCs w:val="22"/>
                <w:lang w:val="en-US"/>
              </w:rPr>
            </w:pPr>
          </w:p>
        </w:tc>
        <w:tc>
          <w:tcPr>
            <w:tcW w:w="4650" w:type="dxa"/>
          </w:tcPr>
          <w:p w14:paraId="0C55E328"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Magyarország</w:t>
            </w:r>
          </w:p>
          <w:p w14:paraId="55F81BAB"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Hungária Kft.</w:t>
            </w:r>
          </w:p>
          <w:p w14:paraId="2A4A5A6C"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Tel.: +36 1 457 65 00</w:t>
            </w:r>
          </w:p>
        </w:tc>
      </w:tr>
      <w:tr w:rsidR="005057D2" w:rsidRPr="00961E0F" w14:paraId="09BFA224" w14:textId="77777777" w:rsidTr="000666D1">
        <w:trPr>
          <w:cantSplit/>
        </w:trPr>
        <w:tc>
          <w:tcPr>
            <w:tcW w:w="4650" w:type="dxa"/>
          </w:tcPr>
          <w:p w14:paraId="7DA5D48B" w14:textId="77777777" w:rsidR="005057D2" w:rsidRPr="00961E0F" w:rsidRDefault="005057D2" w:rsidP="00BE2571">
            <w:pPr>
              <w:rPr>
                <w:rFonts w:ascii="Times New Roman" w:hAnsi="Times New Roman"/>
                <w:b/>
                <w:color w:val="000000"/>
                <w:szCs w:val="22"/>
                <w:lang w:val="en-US"/>
              </w:rPr>
            </w:pPr>
            <w:r w:rsidRPr="00961E0F">
              <w:rPr>
                <w:rFonts w:ascii="Times New Roman" w:hAnsi="Times New Roman"/>
                <w:b/>
                <w:color w:val="000000"/>
                <w:szCs w:val="22"/>
                <w:lang w:val="en-US"/>
              </w:rPr>
              <w:t>Danmark</w:t>
            </w:r>
          </w:p>
          <w:p w14:paraId="5DD7D7A6"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Healthcare A/S</w:t>
            </w:r>
          </w:p>
          <w:p w14:paraId="3C78EA20"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Tlf: +45 39 16 84 00</w:t>
            </w:r>
          </w:p>
          <w:p w14:paraId="05BA99E8" w14:textId="77777777" w:rsidR="005057D2" w:rsidRPr="00961E0F" w:rsidRDefault="005057D2" w:rsidP="00BE2571">
            <w:pPr>
              <w:rPr>
                <w:rFonts w:ascii="Times New Roman" w:hAnsi="Times New Roman"/>
                <w:b/>
                <w:color w:val="000000"/>
                <w:szCs w:val="22"/>
                <w:lang w:val="en-US"/>
              </w:rPr>
            </w:pPr>
          </w:p>
        </w:tc>
        <w:tc>
          <w:tcPr>
            <w:tcW w:w="4650" w:type="dxa"/>
          </w:tcPr>
          <w:p w14:paraId="62AF094F"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Malta</w:t>
            </w:r>
          </w:p>
          <w:p w14:paraId="70050618"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Pharma Services Inc.</w:t>
            </w:r>
          </w:p>
          <w:p w14:paraId="0BC7C43A"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+356 2122 2872</w:t>
            </w:r>
          </w:p>
        </w:tc>
      </w:tr>
      <w:tr w:rsidR="005057D2" w:rsidRPr="00961E0F" w14:paraId="3FEB8E60" w14:textId="77777777" w:rsidTr="000666D1">
        <w:trPr>
          <w:cantSplit/>
        </w:trPr>
        <w:tc>
          <w:tcPr>
            <w:tcW w:w="4650" w:type="dxa"/>
          </w:tcPr>
          <w:p w14:paraId="17BBF3FB"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Deutschland</w:t>
            </w:r>
          </w:p>
          <w:p w14:paraId="208BA0CE"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GmbH</w:t>
            </w:r>
          </w:p>
          <w:p w14:paraId="27A4B04A"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+49 911 273 0</w:t>
            </w:r>
          </w:p>
          <w:p w14:paraId="740BDC39" w14:textId="77777777" w:rsidR="005057D2" w:rsidRPr="00961E0F" w:rsidRDefault="005057D2" w:rsidP="00BE2571">
            <w:pPr>
              <w:rPr>
                <w:rFonts w:ascii="Times New Roman" w:hAnsi="Times New Roman"/>
                <w:b/>
                <w:color w:val="000000"/>
                <w:szCs w:val="22"/>
                <w:lang w:val="de-CH"/>
              </w:rPr>
            </w:pPr>
          </w:p>
        </w:tc>
        <w:tc>
          <w:tcPr>
            <w:tcW w:w="4650" w:type="dxa"/>
          </w:tcPr>
          <w:p w14:paraId="060C72A4"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Nederland</w:t>
            </w:r>
          </w:p>
          <w:p w14:paraId="2696C1D7"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B.V.</w:t>
            </w:r>
          </w:p>
          <w:p w14:paraId="00971ACB" w14:textId="0FF488F1" w:rsidR="005057D2" w:rsidRPr="00961E0F" w:rsidRDefault="005057D2" w:rsidP="00B83C4B">
            <w:pPr>
              <w:rPr>
                <w:rFonts w:ascii="Times New Roman" w:hAnsi="Times New Roman"/>
                <w:color w:val="000000"/>
                <w:szCs w:val="22"/>
              </w:rPr>
            </w:pPr>
            <w:r w:rsidRPr="00961E0F">
              <w:rPr>
                <w:rFonts w:ascii="Times New Roman" w:hAnsi="Times New Roman"/>
                <w:color w:val="000000"/>
                <w:szCs w:val="22"/>
              </w:rPr>
              <w:t xml:space="preserve">Tel: +31 </w:t>
            </w:r>
            <w:r w:rsidR="00E155EF">
              <w:rPr>
                <w:rFonts w:ascii="Times New Roman" w:hAnsi="Times New Roman"/>
                <w:color w:val="000000"/>
                <w:szCs w:val="22"/>
              </w:rPr>
              <w:t>88 04 52</w:t>
            </w:r>
            <w:r w:rsidRPr="00961E0F">
              <w:rPr>
                <w:rFonts w:ascii="Times New Roman" w:hAnsi="Times New Roman"/>
                <w:color w:val="000000"/>
                <w:szCs w:val="22"/>
              </w:rPr>
              <w:t xml:space="preserve"> </w:t>
            </w:r>
            <w:r w:rsidR="00B83C4B" w:rsidRPr="00961E0F">
              <w:rPr>
                <w:rFonts w:ascii="Times New Roman" w:hAnsi="Times New Roman"/>
                <w:color w:val="000000"/>
                <w:szCs w:val="22"/>
              </w:rPr>
              <w:t>555</w:t>
            </w:r>
          </w:p>
        </w:tc>
      </w:tr>
      <w:tr w:rsidR="005057D2" w:rsidRPr="006B246A" w14:paraId="5860DABD" w14:textId="77777777" w:rsidTr="000666D1">
        <w:trPr>
          <w:cantSplit/>
        </w:trPr>
        <w:tc>
          <w:tcPr>
            <w:tcW w:w="4650" w:type="dxa"/>
          </w:tcPr>
          <w:p w14:paraId="4AC1CE4B" w14:textId="77777777" w:rsidR="005057D2" w:rsidRPr="00961E0F" w:rsidRDefault="005057D2" w:rsidP="00BE2571">
            <w:pPr>
              <w:rPr>
                <w:rFonts w:ascii="Times New Roman" w:hAnsi="Times New Roman"/>
                <w:b/>
                <w:color w:val="000000"/>
                <w:szCs w:val="22"/>
                <w:lang w:val="it-IT"/>
              </w:rPr>
            </w:pPr>
            <w:r w:rsidRPr="00961E0F">
              <w:rPr>
                <w:rFonts w:ascii="Times New Roman" w:hAnsi="Times New Roman"/>
                <w:b/>
                <w:color w:val="000000"/>
                <w:szCs w:val="22"/>
                <w:lang w:val="it-IT"/>
              </w:rPr>
              <w:t>Eesti</w:t>
            </w:r>
          </w:p>
          <w:p w14:paraId="0813FB40" w14:textId="77777777" w:rsidR="005057D2" w:rsidRPr="00961E0F" w:rsidRDefault="00226601" w:rsidP="00BE2571">
            <w:pPr>
              <w:rPr>
                <w:rFonts w:ascii="Times New Roman" w:hAnsi="Times New Roman"/>
                <w:color w:val="000000"/>
                <w:szCs w:val="22"/>
                <w:lang w:val="it-IT"/>
              </w:rPr>
            </w:pPr>
            <w:r w:rsidRPr="00961E0F">
              <w:rPr>
                <w:rFonts w:ascii="Times New Roman" w:hAnsi="Times New Roman"/>
                <w:color w:val="000000"/>
                <w:szCs w:val="22"/>
                <w:lang w:val="it-IT"/>
              </w:rPr>
              <w:t>SIA Novartis Baltics Eesti filiaal</w:t>
            </w:r>
          </w:p>
          <w:p w14:paraId="019A7E3A" w14:textId="77777777" w:rsidR="005057D2" w:rsidRPr="00961E0F" w:rsidRDefault="005057D2" w:rsidP="00BE2571">
            <w:pPr>
              <w:rPr>
                <w:rFonts w:ascii="Times New Roman" w:hAnsi="Times New Roman"/>
                <w:color w:val="000000"/>
                <w:szCs w:val="22"/>
                <w:lang w:val="it-IT"/>
              </w:rPr>
            </w:pPr>
            <w:r w:rsidRPr="00961E0F">
              <w:rPr>
                <w:rFonts w:ascii="Times New Roman" w:hAnsi="Times New Roman"/>
                <w:color w:val="000000"/>
                <w:szCs w:val="22"/>
                <w:lang w:val="it-IT"/>
              </w:rPr>
              <w:t>Tel: +372 66 30 810</w:t>
            </w:r>
          </w:p>
          <w:p w14:paraId="1EE91E7C" w14:textId="77777777" w:rsidR="005057D2" w:rsidRPr="00961E0F" w:rsidRDefault="005057D2" w:rsidP="00BE2571">
            <w:pPr>
              <w:rPr>
                <w:rFonts w:ascii="Times New Roman" w:hAnsi="Times New Roman"/>
                <w:b/>
                <w:color w:val="000000"/>
                <w:szCs w:val="22"/>
                <w:lang w:val="it-IT"/>
              </w:rPr>
            </w:pPr>
          </w:p>
        </w:tc>
        <w:tc>
          <w:tcPr>
            <w:tcW w:w="4650" w:type="dxa"/>
          </w:tcPr>
          <w:p w14:paraId="7043435A"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Norge</w:t>
            </w:r>
          </w:p>
          <w:p w14:paraId="5F7BC3E6"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Norge AS</w:t>
            </w:r>
          </w:p>
          <w:p w14:paraId="2A173BE0"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Tlf: +47 23 05 20 00</w:t>
            </w:r>
          </w:p>
        </w:tc>
      </w:tr>
      <w:tr w:rsidR="005057D2" w:rsidRPr="006E2114" w14:paraId="5A021B7D" w14:textId="77777777" w:rsidTr="000666D1">
        <w:trPr>
          <w:cantSplit/>
        </w:trPr>
        <w:tc>
          <w:tcPr>
            <w:tcW w:w="4650" w:type="dxa"/>
          </w:tcPr>
          <w:p w14:paraId="16B460C0"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rPr>
              <w:t>Ελλάδα</w:t>
            </w:r>
          </w:p>
          <w:p w14:paraId="20F0624B"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(Hellas) A.E.B.E.</w:t>
            </w:r>
          </w:p>
          <w:p w14:paraId="40F7A818"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rPr>
              <w:t>Τηλ</w:t>
            </w:r>
            <w:r w:rsidRPr="00961E0F">
              <w:rPr>
                <w:rFonts w:ascii="Times New Roman" w:hAnsi="Times New Roman"/>
                <w:color w:val="000000"/>
                <w:szCs w:val="22"/>
                <w:lang w:val="pt-BR"/>
              </w:rPr>
              <w:t>: +30 210 281 17 12</w:t>
            </w:r>
          </w:p>
          <w:p w14:paraId="77F87A2E" w14:textId="77777777" w:rsidR="005057D2" w:rsidRPr="00961E0F" w:rsidRDefault="005057D2" w:rsidP="00BE2571">
            <w:pPr>
              <w:rPr>
                <w:rFonts w:ascii="Times New Roman" w:hAnsi="Times New Roman"/>
                <w:b/>
                <w:color w:val="000000"/>
                <w:szCs w:val="22"/>
                <w:lang w:val="pt-BR"/>
              </w:rPr>
            </w:pPr>
          </w:p>
        </w:tc>
        <w:tc>
          <w:tcPr>
            <w:tcW w:w="4650" w:type="dxa"/>
          </w:tcPr>
          <w:p w14:paraId="12743245"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Österreich</w:t>
            </w:r>
          </w:p>
          <w:p w14:paraId="0EB948C7"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GmbH</w:t>
            </w:r>
          </w:p>
          <w:p w14:paraId="7529A73F"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+43 1 86 6570</w:t>
            </w:r>
          </w:p>
        </w:tc>
      </w:tr>
      <w:tr w:rsidR="005057D2" w:rsidRPr="00961E0F" w14:paraId="54829F31" w14:textId="77777777" w:rsidTr="000666D1">
        <w:trPr>
          <w:cantSplit/>
        </w:trPr>
        <w:tc>
          <w:tcPr>
            <w:tcW w:w="4650" w:type="dxa"/>
          </w:tcPr>
          <w:p w14:paraId="1DE57124"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España</w:t>
            </w:r>
          </w:p>
          <w:p w14:paraId="063226AF"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Farmacéutica, S.A.</w:t>
            </w:r>
          </w:p>
          <w:p w14:paraId="4D02A851"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+34 93 306 42 00</w:t>
            </w:r>
          </w:p>
          <w:p w14:paraId="7A0013B9" w14:textId="77777777" w:rsidR="005057D2" w:rsidRPr="00961E0F" w:rsidRDefault="005057D2" w:rsidP="00BE2571">
            <w:pPr>
              <w:rPr>
                <w:rFonts w:ascii="Times New Roman" w:hAnsi="Times New Roman"/>
                <w:b/>
                <w:color w:val="000000"/>
                <w:szCs w:val="22"/>
              </w:rPr>
            </w:pPr>
          </w:p>
        </w:tc>
        <w:tc>
          <w:tcPr>
            <w:tcW w:w="4650" w:type="dxa"/>
          </w:tcPr>
          <w:p w14:paraId="70019A6A"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Polska</w:t>
            </w:r>
          </w:p>
          <w:p w14:paraId="088DB83E"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Poland Sp. z o.o.</w:t>
            </w:r>
          </w:p>
          <w:p w14:paraId="3FE1CD02"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 xml:space="preserve">Tel.: +48 22 </w:t>
            </w:r>
            <w:r w:rsidRPr="00961E0F">
              <w:rPr>
                <w:rFonts w:ascii="Times New Roman" w:hAnsi="Times New Roman"/>
                <w:szCs w:val="22"/>
              </w:rPr>
              <w:t>375 4888</w:t>
            </w:r>
          </w:p>
        </w:tc>
      </w:tr>
      <w:tr w:rsidR="005057D2" w:rsidRPr="00961E0F" w14:paraId="596BF9A0" w14:textId="77777777" w:rsidTr="000666D1">
        <w:trPr>
          <w:cantSplit/>
        </w:trPr>
        <w:tc>
          <w:tcPr>
            <w:tcW w:w="4650" w:type="dxa"/>
          </w:tcPr>
          <w:p w14:paraId="3221EFFF"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France</w:t>
            </w:r>
          </w:p>
          <w:p w14:paraId="5B00D144"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S.A.S.</w:t>
            </w:r>
          </w:p>
          <w:p w14:paraId="4969106B"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Tél: +33 1 55 47 66 00</w:t>
            </w:r>
          </w:p>
          <w:p w14:paraId="5EA7B63B" w14:textId="77777777" w:rsidR="005057D2" w:rsidRPr="00961E0F" w:rsidRDefault="005057D2" w:rsidP="00BE2571">
            <w:pPr>
              <w:rPr>
                <w:rFonts w:ascii="Times New Roman" w:hAnsi="Times New Roman"/>
                <w:b/>
                <w:color w:val="000000"/>
                <w:szCs w:val="22"/>
              </w:rPr>
            </w:pPr>
          </w:p>
        </w:tc>
        <w:tc>
          <w:tcPr>
            <w:tcW w:w="4650" w:type="dxa"/>
          </w:tcPr>
          <w:p w14:paraId="6306DBB5"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Portugal</w:t>
            </w:r>
          </w:p>
          <w:p w14:paraId="1927ACA3"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 - Produtos Farmacêuticos, S.A.</w:t>
            </w:r>
          </w:p>
          <w:p w14:paraId="2216A2B0"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+351 21 000 8600</w:t>
            </w:r>
          </w:p>
        </w:tc>
      </w:tr>
      <w:tr w:rsidR="005057D2" w:rsidRPr="00961E0F" w14:paraId="1E3CD523" w14:textId="77777777" w:rsidTr="000666D1">
        <w:trPr>
          <w:cantSplit/>
        </w:trPr>
        <w:tc>
          <w:tcPr>
            <w:tcW w:w="4650" w:type="dxa"/>
          </w:tcPr>
          <w:p w14:paraId="1E54581A" w14:textId="77777777" w:rsidR="005057D2" w:rsidRPr="00961E0F" w:rsidRDefault="005057D2" w:rsidP="00BE2571">
            <w:pPr>
              <w:rPr>
                <w:rFonts w:ascii="Times New Roman" w:eastAsia="PMingLiU" w:hAnsi="Times New Roman"/>
                <w:b/>
                <w:szCs w:val="22"/>
              </w:rPr>
            </w:pPr>
            <w:r w:rsidRPr="00961E0F">
              <w:rPr>
                <w:rFonts w:ascii="Times New Roman" w:eastAsia="PMingLiU" w:hAnsi="Times New Roman"/>
                <w:b/>
                <w:szCs w:val="22"/>
              </w:rPr>
              <w:t>Hrvatska</w:t>
            </w:r>
          </w:p>
          <w:p w14:paraId="24C4A348" w14:textId="77777777" w:rsidR="005057D2" w:rsidRPr="00961E0F" w:rsidRDefault="005057D2" w:rsidP="00BE2571">
            <w:pPr>
              <w:rPr>
                <w:rFonts w:ascii="Times New Roman" w:hAnsi="Times New Roman"/>
                <w:szCs w:val="22"/>
              </w:rPr>
            </w:pPr>
            <w:r w:rsidRPr="00961E0F">
              <w:rPr>
                <w:rFonts w:ascii="Times New Roman" w:hAnsi="Times New Roman"/>
                <w:szCs w:val="22"/>
              </w:rPr>
              <w:t>Novartis Hrvatska d.o.o.</w:t>
            </w:r>
          </w:p>
          <w:p w14:paraId="26B8BFB9" w14:textId="77777777" w:rsidR="005057D2" w:rsidRPr="00961E0F" w:rsidRDefault="005057D2" w:rsidP="00BE2571">
            <w:pPr>
              <w:rPr>
                <w:rFonts w:ascii="Times New Roman" w:hAnsi="Times New Roman"/>
                <w:szCs w:val="22"/>
              </w:rPr>
            </w:pPr>
            <w:r w:rsidRPr="00961E0F">
              <w:rPr>
                <w:rFonts w:ascii="Times New Roman" w:hAnsi="Times New Roman"/>
                <w:szCs w:val="22"/>
              </w:rPr>
              <w:t>Tel. +385 1 6274 220</w:t>
            </w:r>
          </w:p>
          <w:p w14:paraId="189FE963" w14:textId="77777777" w:rsidR="005057D2" w:rsidRPr="00961E0F" w:rsidRDefault="005057D2" w:rsidP="00BE2571">
            <w:pPr>
              <w:rPr>
                <w:rFonts w:ascii="Times New Roman" w:hAnsi="Times New Roman"/>
                <w:b/>
                <w:color w:val="000000"/>
                <w:szCs w:val="22"/>
              </w:rPr>
            </w:pPr>
          </w:p>
        </w:tc>
        <w:tc>
          <w:tcPr>
            <w:tcW w:w="4650" w:type="dxa"/>
          </w:tcPr>
          <w:p w14:paraId="49C931E3" w14:textId="77777777" w:rsidR="005057D2" w:rsidRPr="00961E0F" w:rsidRDefault="005057D2" w:rsidP="00BE2571">
            <w:pPr>
              <w:rPr>
                <w:rFonts w:ascii="Times New Roman" w:hAnsi="Times New Roman"/>
                <w:b/>
                <w:noProof/>
                <w:color w:val="000000"/>
                <w:szCs w:val="22"/>
                <w:lang w:val="it-IT"/>
              </w:rPr>
            </w:pPr>
            <w:r w:rsidRPr="00961E0F">
              <w:rPr>
                <w:rFonts w:ascii="Times New Roman" w:hAnsi="Times New Roman"/>
                <w:b/>
                <w:noProof/>
                <w:color w:val="000000"/>
                <w:szCs w:val="22"/>
                <w:lang w:val="it-IT"/>
              </w:rPr>
              <w:t>România</w:t>
            </w:r>
          </w:p>
          <w:p w14:paraId="468BB0C6" w14:textId="77777777" w:rsidR="005057D2" w:rsidRPr="00961E0F" w:rsidRDefault="005057D2" w:rsidP="00BE2571">
            <w:pPr>
              <w:rPr>
                <w:rFonts w:ascii="Times New Roman" w:hAnsi="Times New Roman"/>
                <w:noProof/>
                <w:color w:val="000000"/>
                <w:szCs w:val="22"/>
                <w:lang w:val="it-IT"/>
              </w:rPr>
            </w:pPr>
            <w:r w:rsidRPr="00961E0F">
              <w:rPr>
                <w:rFonts w:ascii="Times New Roman" w:hAnsi="Times New Roman"/>
                <w:noProof/>
                <w:color w:val="000000"/>
                <w:szCs w:val="22"/>
                <w:lang w:val="it-IT"/>
              </w:rPr>
              <w:t xml:space="preserve">Novartis Pharma Services </w:t>
            </w:r>
            <w:r w:rsidRPr="00961E0F">
              <w:rPr>
                <w:rFonts w:ascii="Times New Roman" w:hAnsi="Times New Roman"/>
                <w:color w:val="2F2F2F"/>
                <w:szCs w:val="22"/>
              </w:rPr>
              <w:t>Romania SRL</w:t>
            </w:r>
          </w:p>
          <w:p w14:paraId="78097790" w14:textId="77777777" w:rsidR="005057D2" w:rsidRPr="00961E0F" w:rsidRDefault="005057D2" w:rsidP="00BE2571">
            <w:pPr>
              <w:rPr>
                <w:rFonts w:ascii="Times New Roman" w:hAnsi="Times New Roman"/>
                <w:color w:val="000000"/>
                <w:szCs w:val="22"/>
              </w:rPr>
            </w:pPr>
            <w:r w:rsidRPr="00961E0F">
              <w:rPr>
                <w:rFonts w:ascii="Times New Roman" w:hAnsi="Times New Roman"/>
                <w:noProof/>
                <w:color w:val="000000"/>
                <w:szCs w:val="22"/>
                <w:lang w:val="it-IT"/>
              </w:rPr>
              <w:t>Tel: +40 21 31299 01</w:t>
            </w:r>
          </w:p>
        </w:tc>
      </w:tr>
      <w:tr w:rsidR="005057D2" w:rsidRPr="00961E0F" w14:paraId="1B9B5320" w14:textId="77777777" w:rsidTr="000666D1">
        <w:trPr>
          <w:cantSplit/>
        </w:trPr>
        <w:tc>
          <w:tcPr>
            <w:tcW w:w="4650" w:type="dxa"/>
          </w:tcPr>
          <w:p w14:paraId="1EC96314" w14:textId="77777777" w:rsidR="005057D2" w:rsidRPr="00961E0F" w:rsidRDefault="005057D2" w:rsidP="00BE2571">
            <w:pPr>
              <w:rPr>
                <w:rFonts w:ascii="Times New Roman" w:hAnsi="Times New Roman"/>
                <w:b/>
                <w:color w:val="000000"/>
                <w:szCs w:val="22"/>
                <w:lang w:val="en-US"/>
              </w:rPr>
            </w:pPr>
            <w:smartTag w:uri="urn:schemas-microsoft-com:office:smarttags" w:element="place">
              <w:smartTag w:uri="urn:schemas-microsoft-com:office:smarttags" w:element="country-region">
                <w:r w:rsidRPr="00961E0F">
                  <w:rPr>
                    <w:rFonts w:ascii="Times New Roman" w:hAnsi="Times New Roman"/>
                    <w:b/>
                    <w:color w:val="000000"/>
                    <w:szCs w:val="22"/>
                    <w:lang w:val="en-US"/>
                  </w:rPr>
                  <w:t>Ireland</w:t>
                </w:r>
              </w:smartTag>
            </w:smartTag>
          </w:p>
          <w:p w14:paraId="2EEAB50F"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Ireland Limited</w:t>
            </w:r>
          </w:p>
          <w:p w14:paraId="7D30BC2A"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Tel: +353 1 260 12 55</w:t>
            </w:r>
          </w:p>
          <w:p w14:paraId="51AF8E8B" w14:textId="77777777" w:rsidR="005057D2" w:rsidRPr="00961E0F" w:rsidRDefault="005057D2" w:rsidP="00BE2571">
            <w:pPr>
              <w:rPr>
                <w:rFonts w:ascii="Times New Roman" w:hAnsi="Times New Roman"/>
                <w:b/>
                <w:color w:val="000000"/>
                <w:szCs w:val="22"/>
                <w:lang w:val="en-US"/>
              </w:rPr>
            </w:pPr>
          </w:p>
        </w:tc>
        <w:tc>
          <w:tcPr>
            <w:tcW w:w="4650" w:type="dxa"/>
          </w:tcPr>
          <w:p w14:paraId="56FC4AED"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Slovenija</w:t>
            </w:r>
          </w:p>
          <w:p w14:paraId="27D35D89"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Services Inc.</w:t>
            </w:r>
          </w:p>
          <w:p w14:paraId="72B818C6"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+386 1 300 75 50</w:t>
            </w:r>
          </w:p>
        </w:tc>
      </w:tr>
      <w:tr w:rsidR="005057D2" w:rsidRPr="00961E0F" w14:paraId="1982195D" w14:textId="77777777" w:rsidTr="000666D1">
        <w:trPr>
          <w:cantSplit/>
        </w:trPr>
        <w:tc>
          <w:tcPr>
            <w:tcW w:w="4650" w:type="dxa"/>
          </w:tcPr>
          <w:p w14:paraId="30D0BB62"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Ísland</w:t>
            </w:r>
          </w:p>
          <w:p w14:paraId="52B16063"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Vistor hf.</w:t>
            </w:r>
          </w:p>
          <w:p w14:paraId="79CBA23C" w14:textId="77777777" w:rsidR="005057D2" w:rsidRPr="00961E0F" w:rsidRDefault="005057D2" w:rsidP="00BE2571">
            <w:pPr>
              <w:rPr>
                <w:rFonts w:ascii="Times New Roman" w:hAnsi="Times New Roman"/>
                <w:color w:val="000000"/>
                <w:szCs w:val="22"/>
              </w:rPr>
            </w:pPr>
            <w:r w:rsidRPr="00961E0F">
              <w:rPr>
                <w:rFonts w:ascii="Times New Roman" w:hAnsi="Times New Roman"/>
                <w:noProof/>
                <w:color w:val="000000"/>
                <w:szCs w:val="22"/>
                <w:lang w:val="it-IT"/>
              </w:rPr>
              <w:t>S</w:t>
            </w:r>
            <w:r w:rsidRPr="00961E0F">
              <w:rPr>
                <w:rFonts w:ascii="Times New Roman" w:hAnsi="Times New Roman"/>
                <w:noProof/>
                <w:color w:val="000000"/>
                <w:szCs w:val="22"/>
                <w:lang w:val="cs-CZ"/>
              </w:rPr>
              <w:t>í</w:t>
            </w:r>
            <w:r w:rsidRPr="00961E0F">
              <w:rPr>
                <w:rFonts w:ascii="Times New Roman" w:hAnsi="Times New Roman"/>
                <w:noProof/>
                <w:color w:val="000000"/>
                <w:szCs w:val="22"/>
                <w:lang w:val="it-IT"/>
              </w:rPr>
              <w:t>mi</w:t>
            </w:r>
            <w:r w:rsidRPr="00961E0F">
              <w:rPr>
                <w:rFonts w:ascii="Times New Roman" w:hAnsi="Times New Roman"/>
                <w:color w:val="000000"/>
                <w:szCs w:val="22"/>
              </w:rPr>
              <w:t>: +354 535 7000</w:t>
            </w:r>
          </w:p>
          <w:p w14:paraId="141BC3B2" w14:textId="77777777" w:rsidR="005057D2" w:rsidRPr="00961E0F" w:rsidRDefault="005057D2" w:rsidP="00BE2571">
            <w:pPr>
              <w:rPr>
                <w:rFonts w:ascii="Times New Roman" w:hAnsi="Times New Roman"/>
                <w:b/>
                <w:color w:val="000000"/>
                <w:szCs w:val="22"/>
              </w:rPr>
            </w:pPr>
          </w:p>
        </w:tc>
        <w:tc>
          <w:tcPr>
            <w:tcW w:w="4650" w:type="dxa"/>
          </w:tcPr>
          <w:p w14:paraId="082F4CB9"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Slovenská republika</w:t>
            </w:r>
          </w:p>
          <w:p w14:paraId="199F0C82"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Slovakia s.r.o.</w:t>
            </w:r>
          </w:p>
          <w:p w14:paraId="05AF8CA8"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+421 2 5542 5439</w:t>
            </w:r>
          </w:p>
          <w:p w14:paraId="3AB3A9B3" w14:textId="77777777" w:rsidR="005057D2" w:rsidRPr="00961E0F" w:rsidRDefault="005057D2" w:rsidP="00BE2571">
            <w:pPr>
              <w:rPr>
                <w:rFonts w:ascii="Times New Roman" w:hAnsi="Times New Roman"/>
                <w:color w:val="000000"/>
                <w:szCs w:val="22"/>
              </w:rPr>
            </w:pPr>
          </w:p>
        </w:tc>
      </w:tr>
      <w:tr w:rsidR="005057D2" w:rsidRPr="00961E0F" w14:paraId="546314D3" w14:textId="77777777" w:rsidTr="000666D1">
        <w:trPr>
          <w:cantSplit/>
        </w:trPr>
        <w:tc>
          <w:tcPr>
            <w:tcW w:w="4650" w:type="dxa"/>
          </w:tcPr>
          <w:p w14:paraId="2F13B664"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Italia</w:t>
            </w:r>
          </w:p>
          <w:p w14:paraId="2248D73F"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 S.p.A.</w:t>
            </w:r>
          </w:p>
          <w:p w14:paraId="5F765936" w14:textId="77777777" w:rsidR="005057D2" w:rsidRPr="00961E0F" w:rsidRDefault="005057D2" w:rsidP="00BE2571">
            <w:pPr>
              <w:rPr>
                <w:rFonts w:ascii="Times New Roman" w:hAnsi="Times New Roman"/>
                <w:b/>
                <w:color w:val="000000"/>
                <w:szCs w:val="22"/>
              </w:rPr>
            </w:pPr>
            <w:r w:rsidRPr="00961E0F">
              <w:rPr>
                <w:rFonts w:ascii="Times New Roman" w:hAnsi="Times New Roman"/>
                <w:color w:val="000000"/>
                <w:szCs w:val="22"/>
              </w:rPr>
              <w:t>Tel: +39 02 96 54 1</w:t>
            </w:r>
          </w:p>
        </w:tc>
        <w:tc>
          <w:tcPr>
            <w:tcW w:w="4650" w:type="dxa"/>
          </w:tcPr>
          <w:p w14:paraId="5A4957D7"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Suomi/Finland</w:t>
            </w:r>
          </w:p>
          <w:p w14:paraId="4ABBAA2C"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Finland Oy</w:t>
            </w:r>
          </w:p>
          <w:p w14:paraId="1C7C3660"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 xml:space="preserve">Puh/Tel: </w:t>
            </w:r>
            <w:r w:rsidRPr="00961E0F">
              <w:rPr>
                <w:rFonts w:ascii="Times New Roman" w:hAnsi="Times New Roman"/>
                <w:color w:val="000000"/>
                <w:szCs w:val="22"/>
                <w:lang w:val="de-CH" w:bidi="he-IL"/>
              </w:rPr>
              <w:t>+358 (0)10 6133 200</w:t>
            </w:r>
          </w:p>
          <w:p w14:paraId="643EB2ED" w14:textId="77777777" w:rsidR="005057D2" w:rsidRPr="00961E0F" w:rsidRDefault="005057D2" w:rsidP="00BE2571">
            <w:pPr>
              <w:rPr>
                <w:rFonts w:ascii="Times New Roman" w:hAnsi="Times New Roman"/>
                <w:color w:val="000000"/>
                <w:szCs w:val="22"/>
              </w:rPr>
            </w:pPr>
          </w:p>
        </w:tc>
      </w:tr>
      <w:tr w:rsidR="005057D2" w:rsidRPr="006E2114" w14:paraId="7D44B6A8" w14:textId="77777777" w:rsidTr="000666D1">
        <w:trPr>
          <w:cantSplit/>
        </w:trPr>
        <w:tc>
          <w:tcPr>
            <w:tcW w:w="4650" w:type="dxa"/>
          </w:tcPr>
          <w:p w14:paraId="7822BD9D"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lastRenderedPageBreak/>
              <w:t>Κύπρος</w:t>
            </w:r>
          </w:p>
          <w:p w14:paraId="67D11D81"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lang w:bidi="he-IL"/>
              </w:rPr>
              <w:t>Novartis Pharma Services Inc.</w:t>
            </w:r>
          </w:p>
          <w:p w14:paraId="5C65C63D"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Τηλ: +357 22 690 690</w:t>
            </w:r>
          </w:p>
          <w:p w14:paraId="4772ECF9" w14:textId="77777777" w:rsidR="005057D2" w:rsidRPr="00961E0F" w:rsidRDefault="005057D2" w:rsidP="00BE2571">
            <w:pPr>
              <w:rPr>
                <w:rFonts w:ascii="Times New Roman" w:hAnsi="Times New Roman"/>
                <w:b/>
                <w:color w:val="000000"/>
                <w:szCs w:val="22"/>
              </w:rPr>
            </w:pPr>
          </w:p>
        </w:tc>
        <w:tc>
          <w:tcPr>
            <w:tcW w:w="4650" w:type="dxa"/>
          </w:tcPr>
          <w:p w14:paraId="1EF9EBFE"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Sverige</w:t>
            </w:r>
          </w:p>
          <w:p w14:paraId="74DF3973"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Sverige AB</w:t>
            </w:r>
          </w:p>
          <w:p w14:paraId="32ABEA3D"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+46 8 732 32 00</w:t>
            </w:r>
          </w:p>
          <w:p w14:paraId="0845EA93" w14:textId="77777777" w:rsidR="005057D2" w:rsidRPr="00961E0F" w:rsidRDefault="005057D2" w:rsidP="00BE2571">
            <w:pPr>
              <w:rPr>
                <w:rFonts w:ascii="Times New Roman" w:hAnsi="Times New Roman"/>
                <w:color w:val="000000"/>
                <w:szCs w:val="22"/>
                <w:lang w:val="de-CH"/>
              </w:rPr>
            </w:pPr>
          </w:p>
        </w:tc>
      </w:tr>
      <w:tr w:rsidR="005057D2" w:rsidRPr="00961E0F" w14:paraId="2BAD0EED" w14:textId="77777777" w:rsidTr="000666D1">
        <w:trPr>
          <w:cantSplit/>
        </w:trPr>
        <w:tc>
          <w:tcPr>
            <w:tcW w:w="4650" w:type="dxa"/>
          </w:tcPr>
          <w:p w14:paraId="50204025" w14:textId="77777777" w:rsidR="005057D2" w:rsidRPr="00961E0F" w:rsidRDefault="005057D2" w:rsidP="00BE2571">
            <w:pPr>
              <w:rPr>
                <w:rFonts w:ascii="Times New Roman" w:hAnsi="Times New Roman"/>
                <w:b/>
                <w:color w:val="000000"/>
                <w:szCs w:val="22"/>
                <w:lang w:val="it-IT"/>
              </w:rPr>
            </w:pPr>
            <w:r w:rsidRPr="00961E0F">
              <w:rPr>
                <w:rFonts w:ascii="Times New Roman" w:hAnsi="Times New Roman"/>
                <w:b/>
                <w:color w:val="000000"/>
                <w:szCs w:val="22"/>
                <w:lang w:val="it-IT"/>
              </w:rPr>
              <w:t>Latvija</w:t>
            </w:r>
          </w:p>
          <w:p w14:paraId="0049A1B0" w14:textId="45E848AB" w:rsidR="005057D2" w:rsidRPr="00961E0F" w:rsidRDefault="00E07259" w:rsidP="00BE2571">
            <w:pPr>
              <w:rPr>
                <w:rFonts w:ascii="Times New Roman" w:hAnsi="Times New Roman"/>
                <w:color w:val="000000"/>
                <w:szCs w:val="22"/>
                <w:lang w:val="it-IT"/>
              </w:rPr>
            </w:pPr>
            <w:r w:rsidRPr="00961E0F">
              <w:rPr>
                <w:rFonts w:ascii="Times New Roman" w:hAnsi="Times New Roman"/>
                <w:color w:val="000000"/>
                <w:szCs w:val="22"/>
                <w:lang w:val="it-IT"/>
              </w:rPr>
              <w:t xml:space="preserve">SIA </w:t>
            </w:r>
            <w:r w:rsidR="00505205" w:rsidRPr="00961E0F">
              <w:rPr>
                <w:rFonts w:ascii="Times New Roman" w:hAnsi="Times New Roman"/>
                <w:color w:val="000000"/>
                <w:szCs w:val="22"/>
                <w:lang w:val="it-IT"/>
              </w:rPr>
              <w:t>Novartis Baltics</w:t>
            </w:r>
          </w:p>
          <w:p w14:paraId="23CC930A" w14:textId="77777777" w:rsidR="005057D2" w:rsidRPr="00961E0F" w:rsidRDefault="005057D2" w:rsidP="00BE2571">
            <w:pPr>
              <w:rPr>
                <w:rFonts w:ascii="Times New Roman" w:hAnsi="Times New Roman"/>
                <w:color w:val="000000"/>
                <w:szCs w:val="22"/>
                <w:lang w:val="it-IT"/>
              </w:rPr>
            </w:pPr>
            <w:r w:rsidRPr="00961E0F">
              <w:rPr>
                <w:rFonts w:ascii="Times New Roman" w:hAnsi="Times New Roman"/>
                <w:color w:val="000000"/>
                <w:szCs w:val="22"/>
                <w:lang w:val="it-IT"/>
              </w:rPr>
              <w:t>Tel: +371 67 887 070</w:t>
            </w:r>
          </w:p>
          <w:p w14:paraId="7A319FA7" w14:textId="77777777" w:rsidR="005057D2" w:rsidRPr="00961E0F" w:rsidRDefault="005057D2" w:rsidP="00BE2571">
            <w:pPr>
              <w:rPr>
                <w:rFonts w:ascii="Times New Roman" w:hAnsi="Times New Roman"/>
                <w:b/>
                <w:color w:val="000000"/>
                <w:szCs w:val="22"/>
                <w:lang w:val="it-IT"/>
              </w:rPr>
            </w:pPr>
          </w:p>
        </w:tc>
        <w:tc>
          <w:tcPr>
            <w:tcW w:w="4650" w:type="dxa"/>
          </w:tcPr>
          <w:p w14:paraId="5CC6BAA9" w14:textId="77777777" w:rsidR="005057D2" w:rsidRPr="00961E0F" w:rsidRDefault="005057D2" w:rsidP="00BE2571">
            <w:pPr>
              <w:rPr>
                <w:rFonts w:ascii="Times New Roman" w:hAnsi="Times New Roman"/>
                <w:b/>
                <w:color w:val="000000"/>
                <w:szCs w:val="22"/>
                <w:lang w:val="en-US"/>
              </w:rPr>
            </w:pPr>
            <w:smartTag w:uri="urn:schemas-microsoft-com:office:smarttags" w:element="place">
              <w:smartTag w:uri="urn:schemas-microsoft-com:office:smarttags" w:element="country-region">
                <w:r w:rsidRPr="00961E0F">
                  <w:rPr>
                    <w:rFonts w:ascii="Times New Roman" w:hAnsi="Times New Roman"/>
                    <w:b/>
                    <w:color w:val="000000"/>
                    <w:szCs w:val="22"/>
                    <w:lang w:val="en-US"/>
                  </w:rPr>
                  <w:t>United Kingdom</w:t>
                </w:r>
              </w:smartTag>
            </w:smartTag>
          </w:p>
          <w:p w14:paraId="4EF3BBF0"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Pharmaceuticals UK Ltd.</w:t>
            </w:r>
          </w:p>
          <w:p w14:paraId="777DB828"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+44 1276 698370</w:t>
            </w:r>
          </w:p>
          <w:p w14:paraId="2D0ECBCC" w14:textId="77777777" w:rsidR="005057D2" w:rsidRPr="00961E0F" w:rsidRDefault="005057D2" w:rsidP="00BE2571">
            <w:pPr>
              <w:rPr>
                <w:rFonts w:ascii="Times New Roman" w:hAnsi="Times New Roman"/>
                <w:color w:val="000000"/>
                <w:szCs w:val="22"/>
              </w:rPr>
            </w:pPr>
          </w:p>
        </w:tc>
      </w:tr>
    </w:tbl>
    <w:p w14:paraId="29226E52" w14:textId="77777777" w:rsidR="005057D2" w:rsidRPr="00961E0F" w:rsidRDefault="005057D2" w:rsidP="005057D2">
      <w:pPr>
        <w:widowControl w:val="0"/>
        <w:ind w:right="-449"/>
        <w:rPr>
          <w:rFonts w:ascii="Times New Roman" w:hAnsi="Times New Roman"/>
          <w:color w:val="000000"/>
          <w:szCs w:val="22"/>
        </w:rPr>
      </w:pPr>
    </w:p>
    <w:p w14:paraId="28EEF98F" w14:textId="77777777" w:rsidR="007D642D" w:rsidRPr="00961E0F" w:rsidRDefault="007D642D">
      <w:pPr>
        <w:widowControl w:val="0"/>
        <w:numPr>
          <w:ilvl w:val="12"/>
          <w:numId w:val="0"/>
        </w:numPr>
        <w:ind w:right="-2"/>
        <w:rPr>
          <w:rFonts w:ascii="Times New Roman" w:hAnsi="Times New Roman"/>
          <w:b/>
          <w:color w:val="000000"/>
          <w:szCs w:val="22"/>
        </w:rPr>
      </w:pPr>
      <w:r w:rsidRPr="00961E0F">
        <w:rPr>
          <w:rFonts w:ascii="Times New Roman" w:hAnsi="Times New Roman"/>
          <w:b/>
          <w:color w:val="000000"/>
          <w:szCs w:val="22"/>
        </w:rPr>
        <w:t>La dernière date à laquelle cette notice a été révisée est</w:t>
      </w:r>
    </w:p>
    <w:p w14:paraId="72E8BE82" w14:textId="77777777" w:rsidR="007D642D" w:rsidRPr="00961E0F" w:rsidRDefault="007D642D">
      <w:pPr>
        <w:widowControl w:val="0"/>
        <w:numPr>
          <w:ilvl w:val="12"/>
          <w:numId w:val="0"/>
        </w:numPr>
        <w:ind w:right="-2"/>
        <w:rPr>
          <w:rFonts w:ascii="Times New Roman" w:hAnsi="Times New Roman"/>
          <w:bCs/>
          <w:color w:val="000000"/>
          <w:szCs w:val="22"/>
        </w:rPr>
      </w:pPr>
    </w:p>
    <w:p w14:paraId="65E18014" w14:textId="77777777" w:rsidR="007D642D" w:rsidRPr="00961E0F" w:rsidRDefault="007D642D">
      <w:pPr>
        <w:widowControl w:val="0"/>
        <w:numPr>
          <w:ilvl w:val="12"/>
          <w:numId w:val="0"/>
        </w:numPr>
        <w:ind w:right="-2"/>
        <w:rPr>
          <w:rFonts w:ascii="Times New Roman" w:hAnsi="Times New Roman"/>
          <w:b/>
          <w:bCs/>
          <w:color w:val="000000"/>
          <w:szCs w:val="22"/>
        </w:rPr>
      </w:pPr>
      <w:r w:rsidRPr="00961E0F">
        <w:rPr>
          <w:rFonts w:ascii="Times New Roman" w:hAnsi="Times New Roman"/>
          <w:b/>
          <w:bCs/>
          <w:color w:val="000000"/>
          <w:szCs w:val="22"/>
        </w:rPr>
        <w:t>Autres sources d’informations</w:t>
      </w:r>
    </w:p>
    <w:p w14:paraId="16FB6D0A" w14:textId="77777777" w:rsidR="007D642D" w:rsidRPr="00961E0F" w:rsidRDefault="007D642D">
      <w:pPr>
        <w:rPr>
          <w:rFonts w:ascii="Times New Roman" w:hAnsi="Times New Roman"/>
          <w:color w:val="000000"/>
          <w:szCs w:val="22"/>
        </w:rPr>
      </w:pPr>
      <w:r w:rsidRPr="00961E0F">
        <w:rPr>
          <w:rFonts w:ascii="Times New Roman" w:hAnsi="Times New Roman"/>
          <w:color w:val="000000"/>
          <w:szCs w:val="22"/>
        </w:rPr>
        <w:t>Des informations détaillées sur ce médicament sont disponibles sur le site internet de l’Agence européenne des médicaments http://ema.europa.eu</w:t>
      </w:r>
    </w:p>
    <w:p w14:paraId="4692D014" w14:textId="77777777" w:rsidR="007D642D" w:rsidRPr="00961E0F" w:rsidRDefault="007D642D">
      <w:pPr>
        <w:widowControl w:val="0"/>
        <w:suppressAutoHyphens/>
        <w:ind w:left="-142" w:firstLine="142"/>
        <w:jc w:val="center"/>
        <w:rPr>
          <w:rFonts w:ascii="Times New Roman" w:hAnsi="Times New Roman"/>
          <w:b/>
          <w:color w:val="000000"/>
          <w:szCs w:val="22"/>
        </w:rPr>
      </w:pPr>
      <w:r w:rsidRPr="00961E0F">
        <w:rPr>
          <w:color w:val="000000"/>
        </w:rPr>
        <w:br w:type="page"/>
      </w:r>
      <w:r w:rsidRPr="00961E0F">
        <w:rPr>
          <w:rFonts w:ascii="Times New Roman" w:hAnsi="Times New Roman"/>
          <w:b/>
          <w:color w:val="000000"/>
          <w:szCs w:val="22"/>
        </w:rPr>
        <w:lastRenderedPageBreak/>
        <w:t xml:space="preserve">Notice : </w:t>
      </w:r>
      <w:r w:rsidR="00B83C4B" w:rsidRPr="00961E0F">
        <w:rPr>
          <w:rFonts w:ascii="Times New Roman" w:hAnsi="Times New Roman"/>
          <w:b/>
          <w:color w:val="000000"/>
          <w:szCs w:val="22"/>
        </w:rPr>
        <w:t xml:space="preserve">Information </w:t>
      </w:r>
      <w:r w:rsidRPr="00961E0F">
        <w:rPr>
          <w:rFonts w:ascii="Times New Roman" w:hAnsi="Times New Roman"/>
          <w:b/>
          <w:color w:val="000000"/>
          <w:szCs w:val="22"/>
        </w:rPr>
        <w:t>de l’utilisateur</w:t>
      </w:r>
    </w:p>
    <w:p w14:paraId="094578FE" w14:textId="77777777" w:rsidR="007D642D" w:rsidRPr="00961E0F" w:rsidRDefault="007D642D">
      <w:pPr>
        <w:widowControl w:val="0"/>
        <w:suppressAutoHyphens/>
        <w:ind w:left="-142" w:firstLine="142"/>
        <w:jc w:val="center"/>
        <w:rPr>
          <w:rFonts w:ascii="Times New Roman" w:hAnsi="Times New Roman"/>
          <w:color w:val="000000"/>
          <w:szCs w:val="22"/>
        </w:rPr>
      </w:pPr>
    </w:p>
    <w:p w14:paraId="493F6710" w14:textId="0EBE17B4" w:rsidR="007D642D" w:rsidRDefault="007D642D">
      <w:pPr>
        <w:widowControl w:val="0"/>
        <w:suppressAutoHyphens/>
        <w:ind w:left="-142" w:firstLine="142"/>
        <w:jc w:val="center"/>
        <w:rPr>
          <w:rFonts w:ascii="Times New Roman" w:hAnsi="Times New Roman"/>
          <w:b/>
          <w:color w:val="000000"/>
          <w:szCs w:val="22"/>
        </w:rPr>
      </w:pPr>
      <w:r w:rsidRPr="00961E0F">
        <w:rPr>
          <w:rFonts w:ascii="Times New Roman" w:hAnsi="Times New Roman"/>
          <w:b/>
          <w:color w:val="000000"/>
          <w:szCs w:val="22"/>
        </w:rPr>
        <w:t>Glivec 100 mg comprimés pelliculés</w:t>
      </w:r>
    </w:p>
    <w:p w14:paraId="2DA0065F" w14:textId="53854957" w:rsidR="00E155EF" w:rsidRPr="00961E0F" w:rsidRDefault="00E155EF">
      <w:pPr>
        <w:widowControl w:val="0"/>
        <w:suppressAutoHyphens/>
        <w:ind w:left="-142" w:firstLine="142"/>
        <w:jc w:val="center"/>
        <w:rPr>
          <w:rFonts w:ascii="Times New Roman" w:hAnsi="Times New Roman"/>
          <w:b/>
          <w:color w:val="000000"/>
          <w:szCs w:val="22"/>
        </w:rPr>
      </w:pPr>
      <w:r>
        <w:rPr>
          <w:rFonts w:ascii="Times New Roman" w:hAnsi="Times New Roman"/>
          <w:b/>
          <w:color w:val="000000"/>
          <w:szCs w:val="22"/>
        </w:rPr>
        <w:t>Glivec 400 mg comprimés pelliculés</w:t>
      </w:r>
    </w:p>
    <w:p w14:paraId="2061B2E5" w14:textId="77777777" w:rsidR="007D642D" w:rsidRPr="00961E0F" w:rsidRDefault="00D535F2">
      <w:pPr>
        <w:widowControl w:val="0"/>
        <w:suppressAutoHyphens/>
        <w:ind w:left="-142" w:firstLine="142"/>
        <w:jc w:val="center"/>
        <w:rPr>
          <w:rFonts w:ascii="Times New Roman" w:hAnsi="Times New Roman"/>
          <w:color w:val="000000"/>
          <w:szCs w:val="22"/>
        </w:rPr>
      </w:pPr>
      <w:r w:rsidRPr="00961E0F">
        <w:rPr>
          <w:rFonts w:ascii="Times New Roman" w:hAnsi="Times New Roman"/>
          <w:color w:val="000000"/>
          <w:szCs w:val="22"/>
        </w:rPr>
        <w:t>i</w:t>
      </w:r>
      <w:r w:rsidR="007D642D" w:rsidRPr="00961E0F">
        <w:rPr>
          <w:rFonts w:ascii="Times New Roman" w:hAnsi="Times New Roman"/>
          <w:color w:val="000000"/>
          <w:szCs w:val="22"/>
        </w:rPr>
        <w:t>matinib</w:t>
      </w:r>
    </w:p>
    <w:p w14:paraId="5F18CC1D" w14:textId="77777777" w:rsidR="003A406F" w:rsidRPr="00961E0F" w:rsidRDefault="003A406F" w:rsidP="0023251A">
      <w:pPr>
        <w:widowControl w:val="0"/>
        <w:suppressAutoHyphens/>
        <w:ind w:left="-142" w:firstLine="142"/>
        <w:rPr>
          <w:rFonts w:ascii="Times New Roman" w:hAnsi="Times New Roman"/>
          <w:color w:val="000000"/>
          <w:szCs w:val="22"/>
        </w:rPr>
      </w:pPr>
    </w:p>
    <w:p w14:paraId="555B54F8" w14:textId="77777777" w:rsidR="003A406F" w:rsidRPr="00961E0F" w:rsidRDefault="00351949" w:rsidP="003A406F">
      <w:pPr>
        <w:tabs>
          <w:tab w:val="left" w:pos="567"/>
        </w:tabs>
        <w:spacing w:line="260" w:lineRule="exact"/>
        <w:rPr>
          <w:rFonts w:ascii="Times New Roman" w:hAnsi="Times New Roman"/>
          <w:snapToGrid w:val="0"/>
          <w:szCs w:val="22"/>
          <w:lang w:val="fr-BE"/>
        </w:rPr>
      </w:pPr>
      <w:r w:rsidRPr="00961E0F">
        <w:rPr>
          <w:rFonts w:ascii="Times New Roman" w:hAnsi="Times New Roman"/>
          <w:noProof/>
          <w:snapToGrid w:val="0"/>
          <w:lang w:val="en-US"/>
        </w:rPr>
        <w:drawing>
          <wp:inline distT="0" distB="0" distL="0" distR="0" wp14:anchorId="63A1C964" wp14:editId="50B7DE3D">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3A406F" w:rsidRPr="00961E0F">
        <w:rPr>
          <w:rFonts w:ascii="Times New Roman" w:hAnsi="Times New Roman"/>
          <w:snapToGrid w:val="0"/>
          <w:szCs w:val="22"/>
          <w:lang w:val="fr-BE"/>
        </w:rPr>
        <w:t>Ce médicament fait l’objet d’une surveillance supplémentaire qui permettra l’identification rapide de nouvelles informations relatives à la sécurité. Vous pouvez y contribuer en signalant tout effet indésirable que vous observez. Voir en fin de rubrique 4 comment déclarer les effets indésirables.</w:t>
      </w:r>
    </w:p>
    <w:p w14:paraId="2BD77F2B" w14:textId="77777777" w:rsidR="007D642D" w:rsidRPr="00961E0F" w:rsidRDefault="007D642D">
      <w:pPr>
        <w:widowControl w:val="0"/>
        <w:numPr>
          <w:ilvl w:val="12"/>
          <w:numId w:val="0"/>
        </w:numPr>
        <w:ind w:right="-2"/>
        <w:jc w:val="both"/>
        <w:rPr>
          <w:rFonts w:ascii="Times New Roman" w:hAnsi="Times New Roman"/>
          <w:color w:val="000000"/>
          <w:szCs w:val="22"/>
          <w:lang w:val="fr-BE"/>
        </w:rPr>
      </w:pPr>
    </w:p>
    <w:p w14:paraId="05365CA2" w14:textId="77777777" w:rsidR="007D642D" w:rsidRPr="00961E0F" w:rsidRDefault="007D642D">
      <w:pPr>
        <w:widowControl w:val="0"/>
        <w:ind w:right="-2"/>
        <w:rPr>
          <w:rFonts w:ascii="Times New Roman" w:hAnsi="Times New Roman"/>
          <w:b/>
          <w:color w:val="000000"/>
          <w:szCs w:val="22"/>
        </w:rPr>
      </w:pPr>
      <w:r w:rsidRPr="00961E0F">
        <w:rPr>
          <w:rFonts w:ascii="Times New Roman" w:hAnsi="Times New Roman"/>
          <w:b/>
          <w:color w:val="000000"/>
          <w:szCs w:val="22"/>
        </w:rPr>
        <w:t>Veuillez lire attentivement cette notice avant de prendre ce médicament car elle contient des informations importantes pour vous.</w:t>
      </w:r>
    </w:p>
    <w:p w14:paraId="118C5552"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Gardez cette notice. Vous pourriez avoir besoin de la relire.</w:t>
      </w:r>
    </w:p>
    <w:p w14:paraId="4FB1F38B"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Si vous avez d’autres questions, interrogez votre médecin, votre pharmacien ou votre infirmier/ère.</w:t>
      </w:r>
    </w:p>
    <w:p w14:paraId="78D903A5"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Ce médicament vous a été personnellement prescrit. Ne le donnez pas à d’autres personnes. Il pourrait leur être nocif, même si les signes de leur maladie sont identiques aux vôtres.</w:t>
      </w:r>
    </w:p>
    <w:p w14:paraId="386DBD37" w14:textId="77777777" w:rsidR="007D642D" w:rsidRPr="00961E0F" w:rsidRDefault="007D642D">
      <w:pPr>
        <w:widowControl w:val="0"/>
        <w:numPr>
          <w:ilvl w:val="0"/>
          <w:numId w:val="5"/>
        </w:numPr>
        <w:tabs>
          <w:tab w:val="clear" w:pos="644"/>
        </w:tabs>
        <w:ind w:right="-2" w:hanging="567"/>
        <w:rPr>
          <w:rFonts w:ascii="Times New Roman" w:hAnsi="Times New Roman"/>
          <w:color w:val="000000"/>
          <w:szCs w:val="22"/>
        </w:rPr>
      </w:pPr>
      <w:r w:rsidRPr="00961E0F">
        <w:rPr>
          <w:rFonts w:ascii="Times New Roman" w:hAnsi="Times New Roman"/>
          <w:color w:val="000000"/>
          <w:szCs w:val="22"/>
        </w:rPr>
        <w:t>Si vous ressentez un quelconque effet indésirable, parlez-en à votre médecin, votre pharmacien ou votre infirmier/ère. Ceci s’applique aussi à tout effet indésirable qui ne serait pas mentionné dans cette notice.</w:t>
      </w:r>
      <w:r w:rsidR="00B83C4B" w:rsidRPr="00961E0F">
        <w:rPr>
          <w:rFonts w:ascii="Times New Roman" w:hAnsi="Times New Roman"/>
          <w:color w:val="000000"/>
          <w:szCs w:val="22"/>
        </w:rPr>
        <w:t xml:space="preserve"> Voir rubrique 4.</w:t>
      </w:r>
    </w:p>
    <w:p w14:paraId="6500AC96" w14:textId="77777777" w:rsidR="007D642D" w:rsidRPr="00961E0F" w:rsidRDefault="007D642D">
      <w:pPr>
        <w:widowControl w:val="0"/>
        <w:ind w:right="-2"/>
        <w:rPr>
          <w:rFonts w:ascii="Times New Roman" w:hAnsi="Times New Roman"/>
          <w:color w:val="000000"/>
          <w:szCs w:val="22"/>
        </w:rPr>
      </w:pPr>
    </w:p>
    <w:p w14:paraId="65E9ECE0" w14:textId="77777777" w:rsidR="007D642D" w:rsidRPr="00961E0F" w:rsidRDefault="007D642D">
      <w:pPr>
        <w:widowControl w:val="0"/>
        <w:ind w:right="-2"/>
        <w:rPr>
          <w:rFonts w:ascii="Times New Roman" w:hAnsi="Times New Roman"/>
          <w:color w:val="000000"/>
          <w:szCs w:val="22"/>
        </w:rPr>
      </w:pPr>
    </w:p>
    <w:p w14:paraId="5A314D47" w14:textId="77777777" w:rsidR="007D642D" w:rsidRPr="00961E0F" w:rsidRDefault="007D642D">
      <w:pPr>
        <w:widowControl w:val="0"/>
        <w:ind w:right="-2"/>
        <w:rPr>
          <w:rFonts w:ascii="Times New Roman" w:hAnsi="Times New Roman"/>
          <w:color w:val="000000"/>
          <w:szCs w:val="22"/>
        </w:rPr>
      </w:pPr>
      <w:r w:rsidRPr="00961E0F">
        <w:rPr>
          <w:rFonts w:ascii="Times New Roman" w:hAnsi="Times New Roman"/>
          <w:b/>
          <w:color w:val="000000"/>
          <w:szCs w:val="22"/>
        </w:rPr>
        <w:t>Que contient cette notice</w:t>
      </w:r>
      <w:r w:rsidR="00B83C4B" w:rsidRPr="00961E0F">
        <w:rPr>
          <w:rFonts w:ascii="Times New Roman" w:hAnsi="Times New Roman"/>
          <w:b/>
          <w:color w:val="000000"/>
          <w:szCs w:val="22"/>
        </w:rPr>
        <w:t> ?</w:t>
      </w:r>
    </w:p>
    <w:p w14:paraId="306E78F5"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1.</w:t>
      </w:r>
      <w:r w:rsidRPr="00961E0F">
        <w:rPr>
          <w:rFonts w:ascii="Times New Roman" w:hAnsi="Times New Roman"/>
          <w:color w:val="000000"/>
          <w:szCs w:val="22"/>
        </w:rPr>
        <w:tab/>
        <w:t>Qu</w:t>
      </w:r>
      <w:r w:rsidRPr="00961E0F">
        <w:rPr>
          <w:rFonts w:ascii="Times New Roman" w:hAnsi="Times New Roman"/>
          <w:noProof/>
          <w:color w:val="000000"/>
        </w:rPr>
        <w:t>’</w:t>
      </w:r>
      <w:r w:rsidRPr="00961E0F">
        <w:rPr>
          <w:rFonts w:ascii="Times New Roman" w:hAnsi="Times New Roman"/>
          <w:color w:val="000000"/>
          <w:szCs w:val="22"/>
        </w:rPr>
        <w:t>est-ce que Glivec et dans quel cas est-il utilisé</w:t>
      </w:r>
    </w:p>
    <w:p w14:paraId="19231284"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2.</w:t>
      </w:r>
      <w:r w:rsidRPr="00961E0F">
        <w:rPr>
          <w:rFonts w:ascii="Times New Roman" w:hAnsi="Times New Roman"/>
          <w:color w:val="000000"/>
          <w:szCs w:val="22"/>
        </w:rPr>
        <w:tab/>
        <w:t>Quelles sont les informations à connaître avant de prendre Glivec</w:t>
      </w:r>
    </w:p>
    <w:p w14:paraId="718A1EAD"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3.</w:t>
      </w:r>
      <w:r w:rsidRPr="00961E0F">
        <w:rPr>
          <w:rFonts w:ascii="Times New Roman" w:hAnsi="Times New Roman"/>
          <w:color w:val="000000"/>
          <w:szCs w:val="22"/>
        </w:rPr>
        <w:tab/>
        <w:t>Comment prendre Glivec</w:t>
      </w:r>
    </w:p>
    <w:p w14:paraId="5AC7D30C"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4.</w:t>
      </w:r>
      <w:r w:rsidRPr="00961E0F">
        <w:rPr>
          <w:rFonts w:ascii="Times New Roman" w:hAnsi="Times New Roman"/>
          <w:color w:val="000000"/>
          <w:szCs w:val="22"/>
        </w:rPr>
        <w:tab/>
      </w:r>
      <w:r w:rsidR="00B83C4B" w:rsidRPr="00961E0F">
        <w:rPr>
          <w:rFonts w:ascii="Times New Roman" w:hAnsi="Times New Roman"/>
          <w:color w:val="000000"/>
          <w:szCs w:val="22"/>
        </w:rPr>
        <w:t xml:space="preserve">Quels sont les effets </w:t>
      </w:r>
      <w:r w:rsidRPr="00961E0F">
        <w:rPr>
          <w:rFonts w:ascii="Times New Roman" w:hAnsi="Times New Roman"/>
          <w:color w:val="000000"/>
          <w:szCs w:val="22"/>
        </w:rPr>
        <w:t>indésirables éventuels</w:t>
      </w:r>
    </w:p>
    <w:p w14:paraId="3EF86B78"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5.</w:t>
      </w:r>
      <w:r w:rsidRPr="00961E0F">
        <w:rPr>
          <w:rFonts w:ascii="Times New Roman" w:hAnsi="Times New Roman"/>
          <w:color w:val="000000"/>
          <w:szCs w:val="22"/>
        </w:rPr>
        <w:tab/>
        <w:t>Comment conserver Glivec</w:t>
      </w:r>
    </w:p>
    <w:p w14:paraId="5B3FBAF3" w14:textId="77777777" w:rsidR="007D642D" w:rsidRPr="00961E0F" w:rsidRDefault="007D642D">
      <w:pPr>
        <w:widowControl w:val="0"/>
        <w:ind w:left="567" w:right="-29" w:hanging="567"/>
        <w:rPr>
          <w:rFonts w:ascii="Times New Roman" w:hAnsi="Times New Roman"/>
          <w:color w:val="000000"/>
          <w:szCs w:val="22"/>
        </w:rPr>
      </w:pPr>
      <w:r w:rsidRPr="00961E0F">
        <w:rPr>
          <w:rFonts w:ascii="Times New Roman" w:hAnsi="Times New Roman"/>
          <w:color w:val="000000"/>
          <w:szCs w:val="22"/>
        </w:rPr>
        <w:t>6.</w:t>
      </w:r>
      <w:r w:rsidRPr="00961E0F">
        <w:rPr>
          <w:rFonts w:ascii="Times New Roman" w:hAnsi="Times New Roman"/>
          <w:color w:val="000000"/>
          <w:szCs w:val="22"/>
        </w:rPr>
        <w:tab/>
        <w:t>Contenu de l’emballage et autres informations</w:t>
      </w:r>
    </w:p>
    <w:p w14:paraId="36F3ECBF" w14:textId="77777777" w:rsidR="007D642D" w:rsidRPr="00961E0F" w:rsidRDefault="007D642D">
      <w:pPr>
        <w:widowControl w:val="0"/>
        <w:suppressAutoHyphens/>
        <w:ind w:left="567" w:hanging="567"/>
        <w:rPr>
          <w:rFonts w:ascii="Times New Roman" w:hAnsi="Times New Roman"/>
          <w:color w:val="000000"/>
          <w:szCs w:val="22"/>
        </w:rPr>
      </w:pPr>
    </w:p>
    <w:p w14:paraId="46CE2784" w14:textId="77777777" w:rsidR="007D642D" w:rsidRPr="00961E0F" w:rsidRDefault="007D642D">
      <w:pPr>
        <w:widowControl w:val="0"/>
        <w:suppressAutoHyphens/>
        <w:rPr>
          <w:rFonts w:ascii="Times New Roman" w:hAnsi="Times New Roman"/>
          <w:color w:val="000000"/>
          <w:szCs w:val="22"/>
        </w:rPr>
      </w:pPr>
    </w:p>
    <w:p w14:paraId="6DCEBB68" w14:textId="77777777" w:rsidR="007D642D" w:rsidRPr="00961E0F" w:rsidRDefault="007D642D" w:rsidP="00527B2A">
      <w:pPr>
        <w:pStyle w:val="BodyText3"/>
        <w:keepNext/>
        <w:widowControl w:val="0"/>
        <w:rPr>
          <w:color w:val="000000"/>
          <w:szCs w:val="22"/>
        </w:rPr>
      </w:pPr>
      <w:r w:rsidRPr="00961E0F">
        <w:rPr>
          <w:color w:val="000000"/>
          <w:szCs w:val="22"/>
        </w:rPr>
        <w:t>1.</w:t>
      </w:r>
      <w:r w:rsidRPr="00961E0F">
        <w:rPr>
          <w:color w:val="000000"/>
          <w:szCs w:val="22"/>
        </w:rPr>
        <w:tab/>
        <w:t>Qu'est-ce que Glivec et dans quel cas est-il utilisé</w:t>
      </w:r>
    </w:p>
    <w:p w14:paraId="2EF8776C" w14:textId="77777777" w:rsidR="007D642D" w:rsidRPr="00961E0F" w:rsidRDefault="007D642D" w:rsidP="00527B2A">
      <w:pPr>
        <w:keepNext/>
        <w:widowControl w:val="0"/>
        <w:suppressAutoHyphens/>
        <w:ind w:left="567" w:hanging="567"/>
        <w:rPr>
          <w:rFonts w:ascii="Times New Roman" w:hAnsi="Times New Roman"/>
          <w:color w:val="000000"/>
          <w:szCs w:val="22"/>
        </w:rPr>
      </w:pPr>
    </w:p>
    <w:p w14:paraId="0D0A40C8"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Glivec est un médicament qui contient une substance active appelée imatinib. Ce médicament agit par inhibition de la croissance des cellules anormales des maladies décrites ci-dessous parmi lesquelles certains types de cancer.</w:t>
      </w:r>
    </w:p>
    <w:p w14:paraId="5D63E443" w14:textId="77777777" w:rsidR="007D642D" w:rsidRPr="00961E0F" w:rsidRDefault="007D642D">
      <w:pPr>
        <w:widowControl w:val="0"/>
        <w:suppressAutoHyphens/>
        <w:ind w:left="567" w:hanging="567"/>
        <w:rPr>
          <w:rFonts w:ascii="Times New Roman" w:hAnsi="Times New Roman"/>
          <w:color w:val="000000"/>
          <w:szCs w:val="22"/>
        </w:rPr>
      </w:pPr>
    </w:p>
    <w:p w14:paraId="5C38D39A"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Glivec est un traitement chez les adultes et les enfants :</w:t>
      </w:r>
    </w:p>
    <w:p w14:paraId="0B1A9F0E" w14:textId="77777777" w:rsidR="007D642D" w:rsidRPr="00961E0F" w:rsidRDefault="007D642D" w:rsidP="00527B2A">
      <w:pPr>
        <w:keepNext/>
        <w:widowControl w:val="0"/>
        <w:suppressAutoHyphens/>
        <w:rPr>
          <w:rFonts w:ascii="Times New Roman" w:hAnsi="Times New Roman"/>
          <w:bCs/>
          <w:color w:val="000000"/>
          <w:szCs w:val="22"/>
        </w:rPr>
      </w:pPr>
    </w:p>
    <w:p w14:paraId="175482FA" w14:textId="77777777" w:rsidR="007D642D" w:rsidRPr="00961E0F" w:rsidRDefault="007D642D">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Leucémie myéloïde chronique (LMC).</w:t>
      </w:r>
      <w:r w:rsidRPr="00961E0F">
        <w:rPr>
          <w:color w:val="000000"/>
          <w:szCs w:val="22"/>
          <w:lang w:val="fr-FR"/>
        </w:rPr>
        <w:t xml:space="preserve"> La leucémie est un cancer des globules blancs du sang. Ces globules blancs aident habituellement l’organisme à se défendre contre les infections. La leucémie myéloïde chronique est une forme de leucémie dans laquelle certains globules blancs anormaux, (appelés cellules myéloïdes), commencent à se multiplier de manière incontrôlée. Glivec inhibe la croissance de ces cellules.</w:t>
      </w:r>
    </w:p>
    <w:p w14:paraId="20316EB7" w14:textId="77777777" w:rsidR="00CD7E29" w:rsidRPr="00961E0F" w:rsidRDefault="00CD7E29" w:rsidP="00CD7E29">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Leucémie aiguë lymphoïde chromosome Philadelphie positive (LAL Ph-positive)</w:t>
      </w:r>
      <w:r w:rsidRPr="00961E0F">
        <w:rPr>
          <w:color w:val="000000"/>
          <w:szCs w:val="22"/>
          <w:lang w:val="fr-FR"/>
        </w:rPr>
        <w:t>.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Glivec inhibe la croissance de ces cellules.</w:t>
      </w:r>
    </w:p>
    <w:p w14:paraId="2371174F" w14:textId="77777777" w:rsidR="007D642D" w:rsidRPr="00961E0F" w:rsidRDefault="007D642D">
      <w:pPr>
        <w:pStyle w:val="paragraphSIF"/>
        <w:widowControl w:val="0"/>
        <w:tabs>
          <w:tab w:val="clear" w:pos="-720"/>
        </w:tabs>
        <w:suppressAutoHyphens/>
        <w:jc w:val="left"/>
        <w:rPr>
          <w:color w:val="000000"/>
          <w:szCs w:val="22"/>
          <w:lang w:val="fr-FR"/>
        </w:rPr>
      </w:pPr>
    </w:p>
    <w:p w14:paraId="4497E759" w14:textId="77777777" w:rsidR="007D642D" w:rsidRPr="00961E0F" w:rsidRDefault="007D642D" w:rsidP="00527B2A">
      <w:pPr>
        <w:pStyle w:val="paragraphSIF"/>
        <w:keepNext/>
        <w:widowControl w:val="0"/>
        <w:tabs>
          <w:tab w:val="clear" w:pos="-720"/>
        </w:tabs>
        <w:suppressAutoHyphens/>
        <w:jc w:val="left"/>
        <w:rPr>
          <w:b/>
          <w:color w:val="000000"/>
          <w:szCs w:val="22"/>
          <w:lang w:val="fr-FR"/>
        </w:rPr>
      </w:pPr>
      <w:r w:rsidRPr="00961E0F">
        <w:rPr>
          <w:b/>
          <w:color w:val="000000"/>
          <w:szCs w:val="22"/>
          <w:lang w:val="fr-FR"/>
        </w:rPr>
        <w:t>Glivec est aussi un traitement chez l’adulte :</w:t>
      </w:r>
    </w:p>
    <w:p w14:paraId="12931D46" w14:textId="77777777" w:rsidR="007D642D" w:rsidRPr="00961E0F" w:rsidRDefault="007D642D" w:rsidP="00527B2A">
      <w:pPr>
        <w:pStyle w:val="paragraphSIF"/>
        <w:keepNext/>
        <w:widowControl w:val="0"/>
        <w:tabs>
          <w:tab w:val="clear" w:pos="-720"/>
        </w:tabs>
        <w:suppressAutoHyphens/>
        <w:jc w:val="left"/>
        <w:rPr>
          <w:color w:val="000000"/>
          <w:szCs w:val="22"/>
          <w:lang w:val="fr-FR"/>
        </w:rPr>
      </w:pPr>
    </w:p>
    <w:p w14:paraId="30D6B509" w14:textId="77777777" w:rsidR="007D642D" w:rsidRPr="00961E0F" w:rsidRDefault="007D642D">
      <w:pPr>
        <w:pStyle w:val="Listlevel1"/>
        <w:numPr>
          <w:ilvl w:val="0"/>
          <w:numId w:val="16"/>
        </w:numPr>
        <w:tabs>
          <w:tab w:val="clear" w:pos="-113"/>
        </w:tabs>
        <w:spacing w:before="0" w:after="0"/>
        <w:ind w:left="567" w:hanging="567"/>
        <w:rPr>
          <w:color w:val="000000"/>
          <w:sz w:val="22"/>
          <w:szCs w:val="22"/>
          <w:lang w:val="fr-FR"/>
        </w:rPr>
      </w:pPr>
      <w:r w:rsidRPr="00961E0F">
        <w:rPr>
          <w:b/>
          <w:color w:val="000000"/>
          <w:sz w:val="22"/>
          <w:szCs w:val="22"/>
          <w:lang w:val="fr-FR"/>
        </w:rPr>
        <w:t>Syndromes myéloprolifératifs/myélodysplasiques (</w:t>
      </w:r>
      <w:smartTag w:uri="urn:schemas-microsoft-com:office:smarttags" w:element="stockticker">
        <w:r w:rsidRPr="00961E0F">
          <w:rPr>
            <w:b/>
            <w:color w:val="000000"/>
            <w:sz w:val="22"/>
            <w:szCs w:val="22"/>
            <w:lang w:val="fr-FR"/>
          </w:rPr>
          <w:t>SMP</w:t>
        </w:r>
      </w:smartTag>
      <w:r w:rsidRPr="00961E0F">
        <w:rPr>
          <w:b/>
          <w:color w:val="000000"/>
          <w:sz w:val="22"/>
          <w:szCs w:val="22"/>
          <w:lang w:val="fr-FR"/>
        </w:rPr>
        <w:t>/</w:t>
      </w:r>
      <w:smartTag w:uri="urn:schemas-microsoft-com:office:smarttags" w:element="stockticker">
        <w:r w:rsidRPr="00961E0F">
          <w:rPr>
            <w:b/>
            <w:color w:val="000000"/>
            <w:sz w:val="22"/>
            <w:szCs w:val="22"/>
            <w:lang w:val="fr-FR"/>
          </w:rPr>
          <w:t>SMD</w:t>
        </w:r>
      </w:smartTag>
      <w:r w:rsidRPr="00961E0F">
        <w:rPr>
          <w:b/>
          <w:color w:val="000000"/>
          <w:sz w:val="22"/>
          <w:szCs w:val="22"/>
          <w:lang w:val="fr-FR"/>
        </w:rPr>
        <w:t>)</w:t>
      </w:r>
      <w:r w:rsidRPr="00961E0F">
        <w:rPr>
          <w:color w:val="000000"/>
          <w:sz w:val="22"/>
          <w:szCs w:val="22"/>
          <w:lang w:val="fr-FR"/>
        </w:rPr>
        <w:t>. Il s’agit d’un groupe de maladies du sang pour lesquelles des cellules du sang commencent à se multiplier de manière incontrôlée. Glivec inhibe la croissance de ces cellules dans un certain sous-groupe de ces maladies.</w:t>
      </w:r>
    </w:p>
    <w:p w14:paraId="37EBF35C" w14:textId="77777777" w:rsidR="007D642D" w:rsidRPr="00961E0F" w:rsidRDefault="007D642D" w:rsidP="00527B2A">
      <w:pPr>
        <w:pStyle w:val="Listlevel1"/>
        <w:keepLines/>
        <w:numPr>
          <w:ilvl w:val="0"/>
          <w:numId w:val="16"/>
        </w:numPr>
        <w:tabs>
          <w:tab w:val="clear" w:pos="-113"/>
        </w:tabs>
        <w:spacing w:before="0" w:after="0"/>
        <w:ind w:left="567" w:hanging="567"/>
        <w:rPr>
          <w:color w:val="000000"/>
          <w:sz w:val="22"/>
          <w:szCs w:val="22"/>
          <w:lang w:val="fr-FR"/>
        </w:rPr>
      </w:pPr>
      <w:r w:rsidRPr="00961E0F">
        <w:rPr>
          <w:b/>
          <w:color w:val="000000"/>
          <w:sz w:val="22"/>
          <w:szCs w:val="22"/>
          <w:lang w:val="fr-FR"/>
        </w:rPr>
        <w:lastRenderedPageBreak/>
        <w:t>Syndrome hyperéosinophilique (SHE) et/ou de la leucémie chronique à éosinophiles (LCE)</w:t>
      </w:r>
      <w:r w:rsidRPr="00961E0F">
        <w:rPr>
          <w:color w:val="000000"/>
          <w:sz w:val="22"/>
          <w:szCs w:val="22"/>
          <w:lang w:val="fr-FR"/>
        </w:rPr>
        <w:t>. Ce sont des maladies pour lesquelles des cellules du sang (appelées éosinophiles) commencent à se multiplier de manière incontrôlée. Glivec inhibe la croissance de ces cellules dans un certain sous-groupe de ces maladies.</w:t>
      </w:r>
    </w:p>
    <w:p w14:paraId="71E3E922" w14:textId="77777777" w:rsidR="007D642D" w:rsidRPr="00961E0F" w:rsidRDefault="007D642D">
      <w:pPr>
        <w:pStyle w:val="paragraphSIF"/>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Tumeurs stromales gastro-intestinales malignes (GIST)</w:t>
      </w:r>
      <w:r w:rsidRPr="00961E0F">
        <w:rPr>
          <w:color w:val="000000"/>
          <w:szCs w:val="22"/>
          <w:lang w:val="fr-FR"/>
        </w:rPr>
        <w:t>. GIST est un cancer de l'estomac et des intestins. Il résulte de la croissance cellulaire incontrôlée des tissus de support de ces organes. Glivec inhibe la croissance de ces cellules.</w:t>
      </w:r>
    </w:p>
    <w:p w14:paraId="4F73BFF3" w14:textId="77777777" w:rsidR="007D642D" w:rsidRPr="00961E0F" w:rsidRDefault="007D642D" w:rsidP="00527B2A">
      <w:pPr>
        <w:pStyle w:val="paragraphSIF"/>
        <w:keepNext/>
        <w:keepLines/>
        <w:widowControl w:val="0"/>
        <w:numPr>
          <w:ilvl w:val="0"/>
          <w:numId w:val="16"/>
        </w:numPr>
        <w:tabs>
          <w:tab w:val="clear" w:pos="-720"/>
          <w:tab w:val="clear" w:pos="-113"/>
        </w:tabs>
        <w:suppressAutoHyphens/>
        <w:ind w:left="567" w:hanging="567"/>
        <w:jc w:val="left"/>
        <w:rPr>
          <w:color w:val="000000"/>
          <w:szCs w:val="22"/>
          <w:lang w:val="fr-FR"/>
        </w:rPr>
      </w:pPr>
      <w:r w:rsidRPr="00961E0F">
        <w:rPr>
          <w:b/>
          <w:color w:val="000000"/>
          <w:szCs w:val="22"/>
          <w:lang w:val="fr-FR"/>
        </w:rPr>
        <w:t>Dermatofibrosarcome protuberans (DFSP)</w:t>
      </w:r>
      <w:r w:rsidRPr="00961E0F">
        <w:rPr>
          <w:color w:val="000000"/>
          <w:szCs w:val="22"/>
          <w:lang w:val="fr-FR"/>
        </w:rPr>
        <w:t>. Le dermatofibrosarcome est un cancer du tissu sous la peau dans lequel certaines cellules commencent à se multiplier de manière incontrôlée. Glivec inhibe la croissance de ces cellules.</w:t>
      </w:r>
    </w:p>
    <w:p w14:paraId="2697BE32"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Par la suite dans cette notice, les abréviations ci-dessus sont utilisées pour désigner ces maladies.</w:t>
      </w:r>
    </w:p>
    <w:p w14:paraId="266853BD" w14:textId="77777777" w:rsidR="007D642D" w:rsidRPr="00961E0F" w:rsidRDefault="007D642D">
      <w:pPr>
        <w:pStyle w:val="paragraphSIF"/>
        <w:widowControl w:val="0"/>
        <w:tabs>
          <w:tab w:val="clear" w:pos="-720"/>
        </w:tabs>
        <w:suppressAutoHyphens/>
        <w:jc w:val="left"/>
        <w:rPr>
          <w:color w:val="000000"/>
          <w:szCs w:val="22"/>
          <w:lang w:val="fr-FR"/>
        </w:rPr>
      </w:pPr>
    </w:p>
    <w:p w14:paraId="0B614FC2" w14:textId="77777777" w:rsidR="007D642D" w:rsidRPr="00961E0F" w:rsidRDefault="007D642D">
      <w:pPr>
        <w:pStyle w:val="paragraphSIF"/>
        <w:widowControl w:val="0"/>
        <w:tabs>
          <w:tab w:val="clear" w:pos="-720"/>
        </w:tabs>
        <w:suppressAutoHyphens/>
        <w:jc w:val="left"/>
        <w:rPr>
          <w:color w:val="000000"/>
          <w:lang w:val="fr-FR"/>
        </w:rPr>
      </w:pPr>
      <w:r w:rsidRPr="00961E0F">
        <w:rPr>
          <w:color w:val="000000"/>
          <w:lang w:val="fr-FR"/>
        </w:rPr>
        <w:t>Si vous avez des questions sur comment Glivec agit ou pourquoi ce médicament vous a été prescrit, adressez-vous à votre médecin.</w:t>
      </w:r>
    </w:p>
    <w:p w14:paraId="2F3D6DA4" w14:textId="77777777" w:rsidR="007D642D" w:rsidRPr="00961E0F" w:rsidRDefault="007D642D">
      <w:pPr>
        <w:widowControl w:val="0"/>
        <w:suppressAutoHyphens/>
        <w:rPr>
          <w:rFonts w:ascii="Times New Roman" w:hAnsi="Times New Roman"/>
          <w:color w:val="000000"/>
          <w:szCs w:val="22"/>
        </w:rPr>
      </w:pPr>
    </w:p>
    <w:p w14:paraId="62A3EDD7" w14:textId="77777777" w:rsidR="007D642D" w:rsidRPr="00961E0F" w:rsidRDefault="007D642D">
      <w:pPr>
        <w:widowControl w:val="0"/>
        <w:suppressAutoHyphens/>
        <w:rPr>
          <w:rFonts w:ascii="Times New Roman" w:hAnsi="Times New Roman"/>
          <w:color w:val="000000"/>
          <w:szCs w:val="22"/>
        </w:rPr>
      </w:pPr>
    </w:p>
    <w:p w14:paraId="45E832F6" w14:textId="77777777" w:rsidR="007D642D" w:rsidRPr="00961E0F" w:rsidRDefault="007D642D" w:rsidP="00527B2A">
      <w:pPr>
        <w:keepNext/>
        <w:widowControl w:val="0"/>
        <w:suppressAutoHyphens/>
        <w:ind w:left="567" w:hanging="567"/>
        <w:rPr>
          <w:rFonts w:ascii="Times New Roman" w:hAnsi="Times New Roman"/>
          <w:b/>
          <w:color w:val="000000"/>
          <w:szCs w:val="22"/>
        </w:rPr>
      </w:pPr>
      <w:r w:rsidRPr="00961E0F">
        <w:rPr>
          <w:rFonts w:ascii="Times New Roman" w:hAnsi="Times New Roman"/>
          <w:b/>
          <w:color w:val="000000"/>
          <w:szCs w:val="22"/>
        </w:rPr>
        <w:t>2.</w:t>
      </w:r>
      <w:r w:rsidRPr="00961E0F">
        <w:rPr>
          <w:rFonts w:ascii="Times New Roman" w:hAnsi="Times New Roman"/>
          <w:b/>
          <w:color w:val="000000"/>
          <w:szCs w:val="22"/>
        </w:rPr>
        <w:tab/>
        <w:t>Quelles sont les informations à connaître avant de prendre Glivec</w:t>
      </w:r>
    </w:p>
    <w:p w14:paraId="77F7E9BF" w14:textId="77777777" w:rsidR="007D642D" w:rsidRPr="00961E0F" w:rsidRDefault="007D642D" w:rsidP="00527B2A">
      <w:pPr>
        <w:keepNext/>
        <w:widowControl w:val="0"/>
        <w:suppressAutoHyphens/>
        <w:ind w:left="567" w:hanging="567"/>
        <w:rPr>
          <w:rFonts w:ascii="Times New Roman" w:hAnsi="Times New Roman"/>
          <w:color w:val="000000"/>
          <w:szCs w:val="22"/>
        </w:rPr>
      </w:pPr>
    </w:p>
    <w:p w14:paraId="7CCF312E"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Glivec vous sera prescrit uniquement par un médecin qui a l’expérience des médicaments utilisés dans les traitements des cancers du sang ou de tumeurs solides.</w:t>
      </w:r>
    </w:p>
    <w:p w14:paraId="339EA806" w14:textId="77777777" w:rsidR="007D642D" w:rsidRPr="00961E0F" w:rsidRDefault="007D642D">
      <w:pPr>
        <w:widowControl w:val="0"/>
        <w:suppressAutoHyphens/>
        <w:rPr>
          <w:rFonts w:ascii="Times New Roman" w:hAnsi="Times New Roman"/>
          <w:color w:val="000000"/>
          <w:szCs w:val="22"/>
        </w:rPr>
      </w:pPr>
    </w:p>
    <w:p w14:paraId="68A0C0D3"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Suivez attentivement toutes les instructions qui vous sont données par votre médecin même si elles diffèrent des informations générales qui sont précisées dans cette notice.</w:t>
      </w:r>
    </w:p>
    <w:p w14:paraId="7A1245E6" w14:textId="77777777" w:rsidR="007D642D" w:rsidRPr="00961E0F" w:rsidRDefault="007D642D">
      <w:pPr>
        <w:widowControl w:val="0"/>
        <w:suppressAutoHyphens/>
        <w:rPr>
          <w:rFonts w:ascii="Times New Roman" w:hAnsi="Times New Roman"/>
          <w:color w:val="000000"/>
          <w:szCs w:val="22"/>
        </w:rPr>
      </w:pPr>
    </w:p>
    <w:p w14:paraId="2A10944C" w14:textId="77777777" w:rsidR="007D642D" w:rsidRPr="00961E0F" w:rsidRDefault="007D642D" w:rsidP="00527B2A">
      <w:pPr>
        <w:pStyle w:val="BodyText2"/>
        <w:keepNext/>
        <w:widowControl w:val="0"/>
        <w:rPr>
          <w:b/>
          <w:color w:val="000000"/>
          <w:szCs w:val="22"/>
        </w:rPr>
      </w:pPr>
      <w:r w:rsidRPr="00961E0F">
        <w:rPr>
          <w:b/>
          <w:color w:val="000000"/>
          <w:szCs w:val="22"/>
        </w:rPr>
        <w:t>Ne prenez jamais Glivec :</w:t>
      </w:r>
    </w:p>
    <w:p w14:paraId="5915F84E" w14:textId="77777777" w:rsidR="007D642D" w:rsidRPr="00961E0F" w:rsidRDefault="007D642D" w:rsidP="00527B2A">
      <w:pPr>
        <w:pStyle w:val="BodyText2"/>
        <w:keepNext/>
        <w:widowControl w:val="0"/>
        <w:numPr>
          <w:ilvl w:val="0"/>
          <w:numId w:val="4"/>
        </w:numPr>
        <w:ind w:left="567" w:hanging="567"/>
        <w:rPr>
          <w:color w:val="000000"/>
          <w:szCs w:val="22"/>
        </w:rPr>
      </w:pPr>
      <w:r w:rsidRPr="00961E0F">
        <w:rPr>
          <w:color w:val="000000"/>
          <w:szCs w:val="22"/>
        </w:rPr>
        <w:t>si vous êtes allergique à l’imatinib ou à l’un des autres composants contenus dans ce médicament mentionnés à la rubrique 6.</w:t>
      </w:r>
    </w:p>
    <w:p w14:paraId="3AE3BA3A" w14:textId="77777777" w:rsidR="007D642D" w:rsidRPr="00961E0F" w:rsidRDefault="007D642D">
      <w:pPr>
        <w:pStyle w:val="BodyText2"/>
        <w:widowControl w:val="0"/>
        <w:ind w:left="0" w:firstLine="0"/>
        <w:rPr>
          <w:color w:val="000000"/>
          <w:szCs w:val="22"/>
        </w:rPr>
      </w:pPr>
      <w:r w:rsidRPr="00961E0F">
        <w:rPr>
          <w:color w:val="000000"/>
          <w:szCs w:val="22"/>
        </w:rPr>
        <w:t>Si vous êtes concernés,</w:t>
      </w:r>
      <w:r w:rsidRPr="00961E0F">
        <w:rPr>
          <w:b/>
          <w:color w:val="000000"/>
          <w:szCs w:val="22"/>
        </w:rPr>
        <w:t xml:space="preserve"> parlez-en à votre médecin avant de prendre Glivec</w:t>
      </w:r>
      <w:r w:rsidRPr="00961E0F">
        <w:rPr>
          <w:color w:val="000000"/>
          <w:szCs w:val="22"/>
        </w:rPr>
        <w:t>.</w:t>
      </w:r>
    </w:p>
    <w:p w14:paraId="4D6C2081" w14:textId="77777777" w:rsidR="007D642D" w:rsidRPr="00961E0F" w:rsidRDefault="007D642D">
      <w:pPr>
        <w:pStyle w:val="BodyText2"/>
        <w:widowControl w:val="0"/>
        <w:ind w:left="0" w:firstLine="0"/>
        <w:rPr>
          <w:color w:val="000000"/>
          <w:szCs w:val="22"/>
        </w:rPr>
      </w:pPr>
    </w:p>
    <w:p w14:paraId="4827E21C" w14:textId="77777777" w:rsidR="007D642D" w:rsidRPr="00961E0F" w:rsidRDefault="007D642D">
      <w:pPr>
        <w:pStyle w:val="BodyText2"/>
        <w:widowControl w:val="0"/>
        <w:ind w:left="0" w:firstLine="0"/>
        <w:rPr>
          <w:color w:val="000000"/>
          <w:szCs w:val="22"/>
        </w:rPr>
      </w:pPr>
      <w:r w:rsidRPr="00961E0F">
        <w:rPr>
          <w:color w:val="000000"/>
          <w:szCs w:val="22"/>
        </w:rPr>
        <w:t>Si vous pensez que vous pouvez être allergique mais vous n’êtes pas sûre, demandez l’avis de votre médecin.</w:t>
      </w:r>
    </w:p>
    <w:p w14:paraId="3D1A1F91" w14:textId="77777777" w:rsidR="007D642D" w:rsidRPr="00961E0F" w:rsidRDefault="007D642D">
      <w:pPr>
        <w:widowControl w:val="0"/>
        <w:suppressAutoHyphens/>
        <w:rPr>
          <w:rFonts w:ascii="Times New Roman" w:hAnsi="Times New Roman"/>
          <w:color w:val="000000"/>
          <w:szCs w:val="22"/>
        </w:rPr>
      </w:pPr>
    </w:p>
    <w:p w14:paraId="2E39DDE3"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noProof/>
          <w:szCs w:val="22"/>
          <w:lang w:val="fr-BE"/>
        </w:rPr>
        <w:t>Avertissements et précautions</w:t>
      </w:r>
    </w:p>
    <w:p w14:paraId="7D0209A1" w14:textId="77777777" w:rsidR="007D642D" w:rsidRPr="00961E0F" w:rsidRDefault="007D642D" w:rsidP="00527B2A">
      <w:pPr>
        <w:keepNext/>
        <w:widowControl w:val="0"/>
        <w:suppressAutoHyphens/>
        <w:rPr>
          <w:rFonts w:ascii="Times New Roman" w:hAnsi="Times New Roman"/>
          <w:color w:val="000000"/>
          <w:szCs w:val="22"/>
        </w:rPr>
      </w:pPr>
      <w:r w:rsidRPr="00961E0F">
        <w:rPr>
          <w:rFonts w:ascii="Times New Roman" w:hAnsi="Times New Roman"/>
          <w:color w:val="000000"/>
          <w:szCs w:val="22"/>
        </w:rPr>
        <w:t>Adressez-vous à votre médecin avant de prendre Glivec :</w:t>
      </w:r>
    </w:p>
    <w:p w14:paraId="52386038" w14:textId="77777777" w:rsidR="007D642D" w:rsidRPr="00961E0F" w:rsidRDefault="007D642D">
      <w:pPr>
        <w:widowControl w:val="0"/>
        <w:numPr>
          <w:ilvl w:val="0"/>
          <w:numId w:val="4"/>
        </w:numPr>
        <w:suppressAutoHyphens/>
        <w:ind w:left="567" w:hanging="567"/>
        <w:rPr>
          <w:rFonts w:ascii="Times New Roman" w:hAnsi="Times New Roman"/>
          <w:color w:val="000000"/>
          <w:szCs w:val="22"/>
        </w:rPr>
      </w:pPr>
      <w:r w:rsidRPr="00961E0F">
        <w:rPr>
          <w:rFonts w:ascii="Times New Roman" w:hAnsi="Times New Roman"/>
          <w:color w:val="000000"/>
          <w:szCs w:val="22"/>
        </w:rPr>
        <w:t>si vous avez ou avez eu un problème au foie, aux reins ou au cœur.</w:t>
      </w:r>
    </w:p>
    <w:p w14:paraId="57D03290" w14:textId="77777777" w:rsidR="007D642D" w:rsidRPr="00961E0F" w:rsidRDefault="007D642D">
      <w:pPr>
        <w:widowControl w:val="0"/>
        <w:numPr>
          <w:ilvl w:val="0"/>
          <w:numId w:val="4"/>
        </w:numPr>
        <w:suppressAutoHyphens/>
        <w:ind w:left="567" w:hanging="567"/>
        <w:rPr>
          <w:rFonts w:ascii="Times New Roman" w:hAnsi="Times New Roman"/>
          <w:color w:val="000000"/>
          <w:szCs w:val="22"/>
        </w:rPr>
      </w:pPr>
      <w:r w:rsidRPr="00961E0F">
        <w:rPr>
          <w:rFonts w:ascii="Times New Roman" w:hAnsi="Times New Roman"/>
          <w:color w:val="000000"/>
          <w:szCs w:val="22"/>
        </w:rPr>
        <w:t>si vous recevez un traitement par lévotyroxine car vous avez subi une chirurgie de la thyroïde.</w:t>
      </w:r>
    </w:p>
    <w:p w14:paraId="69309F91" w14:textId="77777777" w:rsidR="008914A0" w:rsidRPr="00961E0F" w:rsidRDefault="008914A0" w:rsidP="005964B1">
      <w:pPr>
        <w:pStyle w:val="Default"/>
        <w:numPr>
          <w:ilvl w:val="0"/>
          <w:numId w:val="4"/>
        </w:numPr>
        <w:snapToGrid w:val="0"/>
        <w:ind w:left="567" w:hanging="567"/>
        <w:rPr>
          <w:rFonts w:ascii="Times New Roman" w:hAnsi="Times New Roman" w:cs="Times New Roman"/>
          <w:sz w:val="22"/>
          <w:szCs w:val="22"/>
          <w:lang w:val="fr-FR"/>
        </w:rPr>
      </w:pPr>
      <w:r w:rsidRPr="00961E0F">
        <w:rPr>
          <w:rFonts w:ascii="Times New Roman" w:hAnsi="Times New Roman" w:cs="Times New Roman"/>
          <w:sz w:val="22"/>
          <w:szCs w:val="22"/>
          <w:lang w:val="fr-FR"/>
        </w:rPr>
        <w:t xml:space="preserve">si vous avez </w:t>
      </w:r>
      <w:r w:rsidR="00FC7FBB" w:rsidRPr="00961E0F">
        <w:rPr>
          <w:rFonts w:ascii="Times New Roman" w:hAnsi="Times New Roman" w:cs="Times New Roman"/>
          <w:sz w:val="22"/>
          <w:szCs w:val="22"/>
          <w:lang w:val="fr-FR"/>
        </w:rPr>
        <w:t xml:space="preserve">déjà </w:t>
      </w:r>
      <w:r w:rsidRPr="00961E0F">
        <w:rPr>
          <w:rFonts w:ascii="Times New Roman" w:hAnsi="Times New Roman" w:cs="Times New Roman"/>
          <w:sz w:val="22"/>
          <w:szCs w:val="22"/>
          <w:lang w:val="fr-FR"/>
        </w:rPr>
        <w:t>eu ou pouvez avoir actuellement une hépatite B. En effet, Glivec pourrait réactiver votre hépatite B, ce qui peut être fatal dans certains cas. Les patients seront étroitement surveillés par leur médecin afin de détecter tout signe d’infection avant l’instauration du traitement.</w:t>
      </w:r>
    </w:p>
    <w:p w14:paraId="0966750A" w14:textId="77777777" w:rsidR="00114267" w:rsidRPr="00961E0F" w:rsidRDefault="00237C0F" w:rsidP="00527B2A">
      <w:pPr>
        <w:keepNext/>
        <w:keepLines/>
        <w:widowControl w:val="0"/>
        <w:numPr>
          <w:ilvl w:val="0"/>
          <w:numId w:val="4"/>
        </w:numPr>
        <w:suppressAutoHyphens/>
        <w:ind w:left="567" w:hanging="567"/>
        <w:rPr>
          <w:rFonts w:ascii="Times New Roman" w:hAnsi="Times New Roman"/>
          <w:szCs w:val="22"/>
        </w:rPr>
      </w:pPr>
      <w:r w:rsidRPr="00961E0F">
        <w:rPr>
          <w:rFonts w:ascii="Times New Roman" w:hAnsi="Times New Roman"/>
          <w:szCs w:val="22"/>
        </w:rPr>
        <w:t>s</w:t>
      </w:r>
      <w:r w:rsidR="00114267" w:rsidRPr="00961E0F">
        <w:rPr>
          <w:rFonts w:ascii="Times New Roman" w:hAnsi="Times New Roman"/>
          <w:szCs w:val="22"/>
        </w:rPr>
        <w:t xml:space="preserve">i vous présentez des ecchymoses, des saignements, de la fièvre, de la fatigue et une confusion quand vous prenez Glivec, contactez votre médecin. Cela peut être </w:t>
      </w:r>
      <w:r w:rsidR="0075579D" w:rsidRPr="00961E0F">
        <w:rPr>
          <w:rFonts w:ascii="Times New Roman" w:hAnsi="Times New Roman"/>
          <w:szCs w:val="22"/>
        </w:rPr>
        <w:t>un</w:t>
      </w:r>
      <w:r w:rsidR="00114267" w:rsidRPr="00961E0F">
        <w:rPr>
          <w:rFonts w:ascii="Times New Roman" w:hAnsi="Times New Roman"/>
          <w:szCs w:val="22"/>
        </w:rPr>
        <w:t xml:space="preserve"> signe d</w:t>
      </w:r>
      <w:r w:rsidR="0075579D" w:rsidRPr="00961E0F">
        <w:rPr>
          <w:rFonts w:ascii="Times New Roman" w:hAnsi="Times New Roman"/>
          <w:szCs w:val="22"/>
        </w:rPr>
        <w:t>e</w:t>
      </w:r>
      <w:r w:rsidR="00114267" w:rsidRPr="00961E0F">
        <w:rPr>
          <w:rFonts w:ascii="Times New Roman" w:hAnsi="Times New Roman"/>
          <w:szCs w:val="22"/>
        </w:rPr>
        <w:t xml:space="preserve"> lésion des vaisseaux sanguins connue sous le nom de microangiopathie thrombotique (MAT).</w:t>
      </w:r>
    </w:p>
    <w:p w14:paraId="3AA4C1AC" w14:textId="77777777" w:rsidR="007D642D" w:rsidRPr="00961E0F" w:rsidRDefault="007D642D" w:rsidP="005964B1">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l’une de ces situations vous concerne, </w:t>
      </w:r>
      <w:r w:rsidRPr="00961E0F">
        <w:rPr>
          <w:rFonts w:ascii="Times New Roman" w:hAnsi="Times New Roman"/>
          <w:b/>
          <w:color w:val="000000"/>
          <w:szCs w:val="22"/>
        </w:rPr>
        <w:t>parlez-en à votre médecin avant de prendre Glivec</w:t>
      </w:r>
      <w:r w:rsidRPr="00961E0F">
        <w:rPr>
          <w:rFonts w:ascii="Times New Roman" w:hAnsi="Times New Roman"/>
          <w:color w:val="000000"/>
          <w:szCs w:val="22"/>
        </w:rPr>
        <w:t>.</w:t>
      </w:r>
    </w:p>
    <w:p w14:paraId="5DA6B06F" w14:textId="77777777" w:rsidR="00226601" w:rsidRPr="00961E0F" w:rsidRDefault="00226601" w:rsidP="005964B1">
      <w:pPr>
        <w:widowControl w:val="0"/>
        <w:suppressAutoHyphens/>
        <w:rPr>
          <w:rFonts w:ascii="Times New Roman" w:hAnsi="Times New Roman"/>
          <w:color w:val="000000"/>
          <w:szCs w:val="22"/>
        </w:rPr>
      </w:pPr>
    </w:p>
    <w:p w14:paraId="5ECB8111" w14:textId="77777777" w:rsidR="007D642D" w:rsidRPr="00961E0F" w:rsidRDefault="00226601">
      <w:pPr>
        <w:widowControl w:val="0"/>
        <w:suppressAutoHyphens/>
        <w:rPr>
          <w:rFonts w:ascii="Times New Roman" w:hAnsi="Times New Roman"/>
          <w:color w:val="000000"/>
          <w:szCs w:val="22"/>
        </w:rPr>
      </w:pPr>
      <w:r w:rsidRPr="00961E0F">
        <w:rPr>
          <w:rFonts w:ascii="Times New Roman" w:hAnsi="Times New Roman"/>
          <w:color w:val="000000"/>
          <w:szCs w:val="22"/>
        </w:rPr>
        <w:t>Vous pourriez devenir plus sensible au soleil pendant votre traitement par Glivec. Il est important de couvrir les zones de la peau exposées au soleil et d’utiliser un écran solaire avec un facteur de protection solaire (FPS) élevé. Ces précautions doivent également être appliquées chez les enfants.</w:t>
      </w:r>
    </w:p>
    <w:p w14:paraId="402354D9" w14:textId="77777777" w:rsidR="00226601" w:rsidRPr="00961E0F" w:rsidRDefault="00226601">
      <w:pPr>
        <w:widowControl w:val="0"/>
        <w:suppressAutoHyphens/>
        <w:rPr>
          <w:rFonts w:ascii="Times New Roman" w:hAnsi="Times New Roman"/>
          <w:color w:val="000000"/>
          <w:szCs w:val="22"/>
        </w:rPr>
      </w:pPr>
    </w:p>
    <w:p w14:paraId="267AE359"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b/>
          <w:color w:val="000000"/>
          <w:szCs w:val="22"/>
        </w:rPr>
        <w:t>Au cours de votre traitement avec Glivec, dites immédiatement à votre médecin</w:t>
      </w:r>
      <w:r w:rsidRPr="00961E0F">
        <w:rPr>
          <w:rFonts w:ascii="Times New Roman" w:hAnsi="Times New Roman"/>
          <w:color w:val="000000"/>
          <w:szCs w:val="22"/>
        </w:rPr>
        <w:t xml:space="preserve"> si vous prenez du poids très rapidement. Glivec peut faire que votre corps va retenir plus d’eau (rétention d’eau sévère).</w:t>
      </w:r>
    </w:p>
    <w:p w14:paraId="537090FE" w14:textId="77777777" w:rsidR="007D642D" w:rsidRPr="00961E0F" w:rsidRDefault="007D642D">
      <w:pPr>
        <w:widowControl w:val="0"/>
        <w:suppressAutoHyphens/>
        <w:rPr>
          <w:rFonts w:ascii="Times New Roman" w:hAnsi="Times New Roman"/>
          <w:color w:val="000000"/>
          <w:szCs w:val="22"/>
        </w:rPr>
      </w:pPr>
    </w:p>
    <w:p w14:paraId="20773AF0"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Pendant que vous prenez Glivec, votre médecin surveillera régulièrement si ce médicament agit. Des examens sanguins seront réalisés et vous serez régulièrement pesé pendant que vous prendrez Glivec.</w:t>
      </w:r>
    </w:p>
    <w:p w14:paraId="191CDACA" w14:textId="77777777" w:rsidR="007D642D" w:rsidRPr="00961E0F" w:rsidRDefault="007D642D">
      <w:pPr>
        <w:pStyle w:val="paragraphSIF"/>
        <w:widowControl w:val="0"/>
        <w:tabs>
          <w:tab w:val="clear" w:pos="-720"/>
        </w:tabs>
        <w:suppressAutoHyphens/>
        <w:jc w:val="left"/>
        <w:rPr>
          <w:color w:val="000000"/>
          <w:szCs w:val="22"/>
          <w:lang w:val="fr-FR"/>
        </w:rPr>
      </w:pPr>
    </w:p>
    <w:p w14:paraId="03022372" w14:textId="77777777" w:rsidR="007D642D" w:rsidRPr="00961E0F" w:rsidRDefault="007D642D" w:rsidP="00527B2A">
      <w:pPr>
        <w:keepNext/>
        <w:rPr>
          <w:rFonts w:ascii="Times New Roman" w:hAnsi="Times New Roman"/>
          <w:b/>
          <w:bCs/>
          <w:color w:val="000000"/>
        </w:rPr>
      </w:pPr>
      <w:r w:rsidRPr="00961E0F">
        <w:rPr>
          <w:rFonts w:ascii="Times New Roman" w:hAnsi="Times New Roman"/>
          <w:b/>
          <w:bCs/>
          <w:color w:val="000000"/>
        </w:rPr>
        <w:lastRenderedPageBreak/>
        <w:t>Enfants et adolescents</w:t>
      </w:r>
    </w:p>
    <w:p w14:paraId="04167867" w14:textId="77777777" w:rsidR="007D642D" w:rsidRPr="00961E0F" w:rsidRDefault="007D642D">
      <w:pPr>
        <w:rPr>
          <w:rFonts w:ascii="Times New Roman" w:hAnsi="Times New Roman"/>
          <w:color w:val="000000"/>
        </w:rPr>
      </w:pPr>
      <w:r w:rsidRPr="00961E0F">
        <w:rPr>
          <w:rFonts w:ascii="Times New Roman" w:hAnsi="Times New Roman"/>
          <w:color w:val="000000"/>
        </w:rPr>
        <w:t xml:space="preserve">Glivec est aussi un traitement de </w:t>
      </w:r>
      <w:smartTag w:uri="urn:schemas-microsoft-com:office:smarttags" w:element="PersonName">
        <w:smartTagPr>
          <w:attr w:name="ProductID" w:val="la LMC"/>
        </w:smartTagPr>
        <w:r w:rsidRPr="00961E0F">
          <w:rPr>
            <w:rFonts w:ascii="Times New Roman" w:hAnsi="Times New Roman"/>
            <w:color w:val="000000"/>
          </w:rPr>
          <w:t>la LMC</w:t>
        </w:r>
      </w:smartTag>
      <w:r w:rsidRPr="00961E0F">
        <w:rPr>
          <w:rFonts w:ascii="Times New Roman" w:hAnsi="Times New Roman"/>
          <w:color w:val="000000"/>
        </w:rPr>
        <w:t xml:space="preserve"> chez l’enfant. Il n’y a pas eu d’utilisation de Glivec chez l’enfant de moins de 2 ans. L’</w:t>
      </w:r>
      <w:r w:rsidR="009D0572" w:rsidRPr="00961E0F">
        <w:rPr>
          <w:rFonts w:ascii="Times New Roman" w:hAnsi="Times New Roman"/>
          <w:color w:val="000000"/>
        </w:rPr>
        <w:t>expérience est limitée</w:t>
      </w:r>
      <w:r w:rsidRPr="00961E0F">
        <w:rPr>
          <w:rFonts w:ascii="Times New Roman" w:hAnsi="Times New Roman"/>
          <w:color w:val="000000"/>
        </w:rPr>
        <w:t xml:space="preserve"> chez les enfants ayant une LAL Ph-positive</w:t>
      </w:r>
      <w:r w:rsidR="009D0572" w:rsidRPr="00961E0F">
        <w:rPr>
          <w:rFonts w:ascii="Times New Roman" w:hAnsi="Times New Roman"/>
          <w:color w:val="000000"/>
        </w:rPr>
        <w:t xml:space="preserve"> et très limitée chez les enfants ayant un SMP/SMD, DFSP, GIST et SHE/LCE</w:t>
      </w:r>
      <w:r w:rsidRPr="00961E0F">
        <w:rPr>
          <w:rFonts w:ascii="Times New Roman" w:hAnsi="Times New Roman"/>
          <w:color w:val="000000"/>
        </w:rPr>
        <w:t>.</w:t>
      </w:r>
    </w:p>
    <w:p w14:paraId="6D15AC6F" w14:textId="77777777" w:rsidR="007D642D" w:rsidRPr="00961E0F" w:rsidRDefault="007D642D">
      <w:pPr>
        <w:rPr>
          <w:rFonts w:ascii="Times New Roman" w:hAnsi="Times New Roman"/>
          <w:color w:val="000000"/>
        </w:rPr>
      </w:pPr>
    </w:p>
    <w:p w14:paraId="738504D0" w14:textId="77777777" w:rsidR="007D642D" w:rsidRPr="00961E0F" w:rsidRDefault="007D642D">
      <w:pPr>
        <w:rPr>
          <w:rFonts w:ascii="Times New Roman" w:hAnsi="Times New Roman"/>
          <w:color w:val="000000"/>
        </w:rPr>
      </w:pPr>
      <w:r w:rsidRPr="00961E0F">
        <w:rPr>
          <w:rFonts w:ascii="Times New Roman" w:hAnsi="Times New Roman"/>
          <w:color w:val="000000"/>
        </w:rPr>
        <w:t>Certains enfants ou adolescents traités par Glivec peuvent avoir un retard de croissance. Le médecin surveillera régulièrement la croissance de votre enfant lors des visites prévues.</w:t>
      </w:r>
    </w:p>
    <w:p w14:paraId="5116A336" w14:textId="77777777" w:rsidR="007D642D" w:rsidRPr="00961E0F" w:rsidRDefault="007D642D">
      <w:pPr>
        <w:pStyle w:val="paragraphSIF"/>
        <w:widowControl w:val="0"/>
        <w:tabs>
          <w:tab w:val="clear" w:pos="-720"/>
        </w:tabs>
        <w:suppressAutoHyphens/>
        <w:jc w:val="left"/>
        <w:rPr>
          <w:color w:val="000000"/>
          <w:szCs w:val="22"/>
          <w:lang w:val="fr-FR"/>
        </w:rPr>
      </w:pPr>
    </w:p>
    <w:p w14:paraId="6C802E00" w14:textId="77777777" w:rsidR="007D642D" w:rsidRPr="00961E0F" w:rsidRDefault="007D642D" w:rsidP="00527B2A">
      <w:pPr>
        <w:pStyle w:val="paragraphSIF"/>
        <w:keepNext/>
        <w:widowControl w:val="0"/>
        <w:tabs>
          <w:tab w:val="clear" w:pos="-720"/>
        </w:tabs>
        <w:suppressAutoHyphens/>
        <w:jc w:val="left"/>
        <w:rPr>
          <w:b/>
          <w:color w:val="000000"/>
          <w:szCs w:val="22"/>
          <w:lang w:val="fr-FR"/>
        </w:rPr>
      </w:pPr>
      <w:r w:rsidRPr="00961E0F">
        <w:rPr>
          <w:b/>
          <w:color w:val="000000"/>
          <w:szCs w:val="22"/>
          <w:lang w:val="fr-FR"/>
        </w:rPr>
        <w:t>Autres médicaments et Glivec</w:t>
      </w:r>
    </w:p>
    <w:p w14:paraId="0C71989C" w14:textId="77777777" w:rsidR="007D642D" w:rsidRPr="00961E0F" w:rsidRDefault="007D642D">
      <w:pPr>
        <w:pStyle w:val="paragraphSIF"/>
        <w:widowControl w:val="0"/>
        <w:tabs>
          <w:tab w:val="clear" w:pos="-720"/>
        </w:tabs>
        <w:suppressAutoHyphens/>
        <w:jc w:val="left"/>
        <w:rPr>
          <w:color w:val="000000"/>
          <w:szCs w:val="22"/>
          <w:lang w:val="fr-FR"/>
        </w:rPr>
      </w:pPr>
      <w:r w:rsidRPr="00961E0F">
        <w:rPr>
          <w:color w:val="000000"/>
          <w:lang w:val="fr-FR"/>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de Glivec lorsqu’ils sont pris en même temps. Ils peuvent augmenter ou diminuer l’effet de Glivec en menant à une augmentation des effets indésirables de Glivec ou à une moindre efficacité de Glivec. Glivec peut agir de la même façon sur d’autres médicaments.</w:t>
      </w:r>
    </w:p>
    <w:p w14:paraId="7CF84DA5" w14:textId="77777777" w:rsidR="007D642D" w:rsidRPr="00961E0F" w:rsidRDefault="007D642D">
      <w:pPr>
        <w:widowControl w:val="0"/>
        <w:suppressAutoHyphens/>
        <w:rPr>
          <w:rFonts w:ascii="Times New Roman" w:hAnsi="Times New Roman"/>
          <w:color w:val="000000"/>
          <w:szCs w:val="22"/>
        </w:rPr>
      </w:pPr>
    </w:p>
    <w:p w14:paraId="5CC79CE3"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Prévenez votre médecin si vous utilisez d’autres médicaments qui empêchent la formation de caillots sanguins.</w:t>
      </w:r>
    </w:p>
    <w:p w14:paraId="70DAAAAC" w14:textId="77777777" w:rsidR="007D642D" w:rsidRPr="00961E0F" w:rsidRDefault="007D642D">
      <w:pPr>
        <w:widowControl w:val="0"/>
        <w:suppressAutoHyphens/>
        <w:rPr>
          <w:rFonts w:ascii="Times New Roman" w:hAnsi="Times New Roman"/>
          <w:color w:val="000000"/>
          <w:szCs w:val="22"/>
        </w:rPr>
      </w:pPr>
    </w:p>
    <w:p w14:paraId="0FD26C24"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 xml:space="preserve">Grossesse, allaitement et </w:t>
      </w:r>
      <w:r w:rsidR="00B83C4B" w:rsidRPr="00961E0F">
        <w:rPr>
          <w:rFonts w:ascii="Times New Roman" w:hAnsi="Times New Roman"/>
          <w:b/>
          <w:color w:val="000000"/>
          <w:szCs w:val="22"/>
        </w:rPr>
        <w:t>fertilité</w:t>
      </w:r>
    </w:p>
    <w:p w14:paraId="168B6B09"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Si vous êtes enceinte ou que vous allaitez, si vous pensez être enceinte ou </w:t>
      </w:r>
      <w:r w:rsidR="00B83C4B" w:rsidRPr="00961E0F">
        <w:rPr>
          <w:rFonts w:ascii="Times New Roman" w:hAnsi="Times New Roman"/>
          <w:color w:val="000000"/>
          <w:szCs w:val="22"/>
        </w:rPr>
        <w:t>planifiez une grossesse</w:t>
      </w:r>
      <w:r w:rsidRPr="00961E0F">
        <w:rPr>
          <w:rFonts w:ascii="Times New Roman" w:hAnsi="Times New Roman"/>
          <w:color w:val="000000"/>
          <w:szCs w:val="22"/>
        </w:rPr>
        <w:t>, demandez conseil à votre médecin avant de prendre ce médicament.</w:t>
      </w:r>
    </w:p>
    <w:p w14:paraId="7D95F675"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Glivec ne doit pas être utilisé</w:t>
      </w:r>
      <w:r w:rsidRPr="00961E0F">
        <w:rPr>
          <w:color w:val="000000"/>
          <w:szCs w:val="22"/>
        </w:rPr>
        <w:t xml:space="preserve"> </w:t>
      </w:r>
      <w:r w:rsidRPr="00961E0F">
        <w:rPr>
          <w:rFonts w:ascii="Times New Roman" w:hAnsi="Times New Roman"/>
          <w:color w:val="000000"/>
          <w:szCs w:val="22"/>
        </w:rPr>
        <w:t>au cours de la grossesse à moins d’une nécessité absolue car il pourrait nuire à votre bébé. Votre médecin discutera avec vous des risques possibles de prendre Glivec au cours de la grossesse.</w:t>
      </w:r>
    </w:p>
    <w:p w14:paraId="7D1CDD90" w14:textId="4043333F"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Chez les femmes pouvant être enceintes, une contraception efficace doit être conseillée</w:t>
      </w:r>
      <w:r w:rsidR="000414F8">
        <w:rPr>
          <w:rFonts w:ascii="Times New Roman" w:hAnsi="Times New Roman"/>
          <w:color w:val="000000"/>
          <w:szCs w:val="22"/>
        </w:rPr>
        <w:t xml:space="preserve"> pendant le traitement et pendant les 15 jours suivant l’arrêt du traitement</w:t>
      </w:r>
      <w:r w:rsidRPr="00961E0F">
        <w:rPr>
          <w:rFonts w:ascii="Times New Roman" w:hAnsi="Times New Roman"/>
          <w:color w:val="000000"/>
          <w:szCs w:val="22"/>
        </w:rPr>
        <w:t>.</w:t>
      </w:r>
    </w:p>
    <w:p w14:paraId="576CCF47"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N’allaitez pas au cours du traitement par Glivec</w:t>
      </w:r>
      <w:r w:rsidR="000414F8">
        <w:rPr>
          <w:rFonts w:ascii="Times New Roman" w:hAnsi="Times New Roman"/>
          <w:color w:val="000000"/>
          <w:szCs w:val="22"/>
        </w:rPr>
        <w:t xml:space="preserve"> et pendant les 15 jours suivant l’arrêt du traitement, car cela pourrait être nocif pour votre bébé</w:t>
      </w:r>
      <w:r w:rsidRPr="00961E0F">
        <w:rPr>
          <w:rFonts w:ascii="Times New Roman" w:hAnsi="Times New Roman"/>
          <w:color w:val="000000"/>
          <w:szCs w:val="22"/>
        </w:rPr>
        <w:t>.</w:t>
      </w:r>
    </w:p>
    <w:p w14:paraId="0458BB47" w14:textId="77777777" w:rsidR="007D642D" w:rsidRPr="00961E0F" w:rsidRDefault="007D642D">
      <w:pPr>
        <w:widowControl w:val="0"/>
        <w:numPr>
          <w:ilvl w:val="0"/>
          <w:numId w:val="17"/>
        </w:numPr>
        <w:tabs>
          <w:tab w:val="clear" w:pos="0"/>
        </w:tabs>
        <w:suppressAutoHyphens/>
        <w:ind w:left="567" w:hanging="567"/>
        <w:rPr>
          <w:rFonts w:ascii="Times New Roman" w:hAnsi="Times New Roman"/>
          <w:color w:val="000000"/>
          <w:szCs w:val="22"/>
        </w:rPr>
      </w:pPr>
      <w:r w:rsidRPr="00961E0F">
        <w:rPr>
          <w:rFonts w:ascii="Times New Roman" w:hAnsi="Times New Roman"/>
          <w:color w:val="000000"/>
          <w:szCs w:val="22"/>
        </w:rPr>
        <w:t>Il est conseillé aux patients qui s'inquièteraient de leur fécondité lors de la prise de Glivec de consulter leur médecin.</w:t>
      </w:r>
    </w:p>
    <w:p w14:paraId="5B153628" w14:textId="77777777" w:rsidR="007D642D" w:rsidRPr="00961E0F" w:rsidRDefault="007D642D">
      <w:pPr>
        <w:pStyle w:val="EndnoteText"/>
        <w:widowControl w:val="0"/>
        <w:tabs>
          <w:tab w:val="clear" w:pos="567"/>
        </w:tabs>
        <w:suppressAutoHyphens/>
        <w:rPr>
          <w:color w:val="000000"/>
          <w:szCs w:val="22"/>
          <w:lang w:val="fr-FR"/>
        </w:rPr>
      </w:pPr>
    </w:p>
    <w:p w14:paraId="57CB928B"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Conduite de véhicules et utilisation de machines</w:t>
      </w:r>
    </w:p>
    <w:p w14:paraId="37C1BB8F" w14:textId="77777777" w:rsidR="007D642D" w:rsidRPr="00961E0F" w:rsidRDefault="007D642D">
      <w:pPr>
        <w:suppressAutoHyphens/>
        <w:rPr>
          <w:rFonts w:ascii="Times New Roman" w:hAnsi="Times New Roman"/>
          <w:color w:val="000000"/>
        </w:rPr>
      </w:pPr>
      <w:r w:rsidRPr="00961E0F">
        <w:rPr>
          <w:rFonts w:ascii="Times New Roman" w:hAnsi="Times New Roman"/>
          <w:color w:val="000000"/>
          <w:szCs w:val="22"/>
        </w:rPr>
        <w:t xml:space="preserve">Vous pouvez avoir des vertiges, des étourdissements ou des troubles de la vision lorsque vous prenez ce traitement. Si cela se produit, </w:t>
      </w:r>
      <w:r w:rsidRPr="00961E0F">
        <w:rPr>
          <w:rFonts w:ascii="Times New Roman" w:hAnsi="Times New Roman"/>
          <w:color w:val="000000"/>
        </w:rPr>
        <w:t>ne conduisez pas ou n’utilisez pas de machines jusqu’à ce que vous vous sentiez de nouveau bien.</w:t>
      </w:r>
    </w:p>
    <w:p w14:paraId="1E45275B" w14:textId="77777777" w:rsidR="007D642D" w:rsidRPr="00961E0F" w:rsidRDefault="007D642D">
      <w:pPr>
        <w:pStyle w:val="paragraphSIF"/>
        <w:widowControl w:val="0"/>
        <w:tabs>
          <w:tab w:val="clear" w:pos="-720"/>
        </w:tabs>
        <w:suppressAutoHyphens/>
        <w:jc w:val="left"/>
        <w:rPr>
          <w:color w:val="000000"/>
          <w:szCs w:val="22"/>
          <w:lang w:val="fr-FR"/>
        </w:rPr>
      </w:pPr>
    </w:p>
    <w:p w14:paraId="5E038FB2" w14:textId="77777777" w:rsidR="007D642D" w:rsidRPr="00961E0F" w:rsidRDefault="007D642D">
      <w:pPr>
        <w:widowControl w:val="0"/>
        <w:suppressAutoHyphens/>
        <w:ind w:left="567" w:hanging="567"/>
        <w:rPr>
          <w:rFonts w:ascii="Times New Roman" w:hAnsi="Times New Roman"/>
          <w:color w:val="000000"/>
          <w:szCs w:val="22"/>
        </w:rPr>
      </w:pPr>
    </w:p>
    <w:p w14:paraId="49AC7E00" w14:textId="77777777" w:rsidR="007D642D" w:rsidRPr="00961E0F" w:rsidRDefault="007D642D" w:rsidP="00527B2A">
      <w:pPr>
        <w:keepNext/>
        <w:widowControl w:val="0"/>
        <w:suppressAutoHyphens/>
        <w:ind w:left="567" w:hanging="567"/>
        <w:rPr>
          <w:rFonts w:ascii="Times New Roman" w:hAnsi="Times New Roman"/>
          <w:b/>
          <w:color w:val="000000"/>
          <w:szCs w:val="22"/>
        </w:rPr>
      </w:pPr>
      <w:r w:rsidRPr="00961E0F">
        <w:rPr>
          <w:rFonts w:ascii="Times New Roman" w:hAnsi="Times New Roman"/>
          <w:b/>
          <w:color w:val="000000"/>
          <w:szCs w:val="22"/>
        </w:rPr>
        <w:t>3.</w:t>
      </w:r>
      <w:r w:rsidRPr="00961E0F">
        <w:rPr>
          <w:rFonts w:ascii="Times New Roman" w:hAnsi="Times New Roman"/>
          <w:b/>
          <w:color w:val="000000"/>
          <w:szCs w:val="22"/>
        </w:rPr>
        <w:tab/>
        <w:t>Comment prendre Glivec</w:t>
      </w:r>
    </w:p>
    <w:p w14:paraId="796A93C6" w14:textId="77777777" w:rsidR="007D642D" w:rsidRPr="00961E0F" w:rsidRDefault="007D642D" w:rsidP="00527B2A">
      <w:pPr>
        <w:keepNext/>
        <w:widowControl w:val="0"/>
        <w:suppressAutoHyphens/>
        <w:rPr>
          <w:rFonts w:ascii="Times New Roman" w:hAnsi="Times New Roman"/>
          <w:color w:val="000000"/>
          <w:szCs w:val="22"/>
        </w:rPr>
      </w:pPr>
    </w:p>
    <w:p w14:paraId="08B4019A"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Votre médecin vous a prescrit Glivec car vous souffrez d’une maladie grave. Glivec peut vous aider à lutter contre cette maladie.</w:t>
      </w:r>
    </w:p>
    <w:p w14:paraId="7CAE2F5B" w14:textId="77777777" w:rsidR="007D642D" w:rsidRPr="00961E0F" w:rsidRDefault="007D642D">
      <w:pPr>
        <w:widowControl w:val="0"/>
        <w:suppressAutoHyphens/>
        <w:rPr>
          <w:rFonts w:ascii="Times New Roman" w:hAnsi="Times New Roman"/>
          <w:color w:val="000000"/>
          <w:szCs w:val="22"/>
        </w:rPr>
      </w:pPr>
    </w:p>
    <w:p w14:paraId="415BC206"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Toutefois, veillez à toujours prendre ce médicament en suivant exactement les indications de votre médecin ou pharmacien. Il est important de le faire aussi longtemps que votre médecin ou votre pharmacien vous le dit. Vérifiez auprès de votre médecin ou pharmacien en cas de doute.</w:t>
      </w:r>
    </w:p>
    <w:p w14:paraId="782F45B4" w14:textId="77777777" w:rsidR="007D642D" w:rsidRPr="00961E0F" w:rsidRDefault="007D642D">
      <w:pPr>
        <w:widowControl w:val="0"/>
        <w:rPr>
          <w:rFonts w:ascii="Times New Roman" w:hAnsi="Times New Roman"/>
          <w:color w:val="000000"/>
          <w:szCs w:val="22"/>
        </w:rPr>
      </w:pPr>
    </w:p>
    <w:p w14:paraId="48920F50"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Vous ne devez pas arrêter de prendre Glivec à moins que votre médecin vous l’ait dit. Si vous ne pouvez prendre ce médicament alors que votre médecin vous l’a prescrit ou vous pensez que vous n’en avez plus besoin, contactez immédiatement votre médecin.</w:t>
      </w:r>
    </w:p>
    <w:p w14:paraId="266252E5" w14:textId="77777777" w:rsidR="007D642D" w:rsidRPr="00961E0F" w:rsidRDefault="007D642D">
      <w:pPr>
        <w:widowControl w:val="0"/>
        <w:rPr>
          <w:rFonts w:ascii="Times New Roman" w:hAnsi="Times New Roman"/>
          <w:color w:val="000000"/>
          <w:szCs w:val="22"/>
        </w:rPr>
      </w:pPr>
    </w:p>
    <w:p w14:paraId="2512E513"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lastRenderedPageBreak/>
        <w:t>Quelle dose de Glivec prendre ?</w:t>
      </w:r>
    </w:p>
    <w:p w14:paraId="60EAC11F" w14:textId="77777777" w:rsidR="007D642D" w:rsidRPr="00961E0F" w:rsidRDefault="007D642D" w:rsidP="00527B2A">
      <w:pPr>
        <w:keepNext/>
        <w:widowControl w:val="0"/>
        <w:rPr>
          <w:rFonts w:ascii="Times New Roman" w:hAnsi="Times New Roman"/>
          <w:bCs/>
          <w:color w:val="000000"/>
          <w:szCs w:val="22"/>
        </w:rPr>
      </w:pPr>
    </w:p>
    <w:p w14:paraId="28FFBD72" w14:textId="77777777" w:rsidR="007D642D" w:rsidRPr="00961E0F" w:rsidRDefault="007D642D" w:rsidP="00527B2A">
      <w:pPr>
        <w:keepNext/>
        <w:widowControl w:val="0"/>
        <w:rPr>
          <w:rFonts w:ascii="Times New Roman" w:hAnsi="Times New Roman"/>
          <w:b/>
          <w:bCs/>
          <w:color w:val="000000"/>
          <w:szCs w:val="22"/>
        </w:rPr>
      </w:pPr>
      <w:r w:rsidRPr="00961E0F">
        <w:rPr>
          <w:rFonts w:ascii="Times New Roman" w:hAnsi="Times New Roman"/>
          <w:b/>
          <w:bCs/>
          <w:color w:val="000000"/>
          <w:szCs w:val="22"/>
        </w:rPr>
        <w:t>Utilisation chez les adultes</w:t>
      </w:r>
    </w:p>
    <w:p w14:paraId="76138990" w14:textId="77777777" w:rsidR="007D642D" w:rsidRPr="00961E0F" w:rsidRDefault="007D642D" w:rsidP="00527B2A">
      <w:pPr>
        <w:pStyle w:val="paragraphSIF"/>
        <w:keepNext/>
        <w:widowControl w:val="0"/>
        <w:tabs>
          <w:tab w:val="clear" w:pos="-720"/>
        </w:tabs>
        <w:suppressAutoHyphens/>
        <w:jc w:val="left"/>
        <w:rPr>
          <w:color w:val="000000"/>
          <w:szCs w:val="22"/>
          <w:lang w:val="fr-FR"/>
        </w:rPr>
      </w:pPr>
      <w:r w:rsidRPr="00961E0F">
        <w:rPr>
          <w:color w:val="000000"/>
          <w:szCs w:val="22"/>
          <w:lang w:val="fr-FR"/>
        </w:rPr>
        <w:t>Votre médecin vous dira exactement combien de comprimés vous devrez prendre.</w:t>
      </w:r>
    </w:p>
    <w:p w14:paraId="669160A2" w14:textId="77777777" w:rsidR="007D642D" w:rsidRPr="00961E0F" w:rsidRDefault="007D642D" w:rsidP="00527B2A">
      <w:pPr>
        <w:pStyle w:val="paragraphSIF"/>
        <w:keepNext/>
        <w:widowControl w:val="0"/>
        <w:tabs>
          <w:tab w:val="clear" w:pos="-720"/>
        </w:tabs>
        <w:suppressAutoHyphens/>
        <w:jc w:val="left"/>
        <w:rPr>
          <w:color w:val="000000"/>
          <w:szCs w:val="22"/>
          <w:lang w:val="fr-FR"/>
        </w:rPr>
      </w:pPr>
    </w:p>
    <w:p w14:paraId="7235027C" w14:textId="77777777" w:rsidR="007D642D" w:rsidRPr="00961E0F" w:rsidRDefault="007D642D" w:rsidP="00527B2A">
      <w:pPr>
        <w:pStyle w:val="paragraphSIF"/>
        <w:keepNext/>
        <w:widowControl w:val="0"/>
        <w:numPr>
          <w:ilvl w:val="0"/>
          <w:numId w:val="27"/>
        </w:numPr>
        <w:tabs>
          <w:tab w:val="clear" w:pos="-720"/>
          <w:tab w:val="clear" w:pos="678"/>
        </w:tabs>
        <w:suppressAutoHyphens/>
        <w:ind w:left="567" w:hanging="567"/>
        <w:jc w:val="left"/>
        <w:rPr>
          <w:b/>
          <w:color w:val="000000"/>
          <w:szCs w:val="22"/>
          <w:lang w:val="fr-FR"/>
        </w:rPr>
      </w:pPr>
      <w:r w:rsidRPr="00961E0F">
        <w:rPr>
          <w:b/>
          <w:color w:val="000000"/>
          <w:szCs w:val="22"/>
          <w:lang w:val="fr-FR"/>
        </w:rPr>
        <w:t>Si vous êtes traité(e) pour une LMC :</w:t>
      </w:r>
    </w:p>
    <w:p w14:paraId="76AD54DE" w14:textId="44A1E372" w:rsidR="007D642D" w:rsidRPr="00961E0F" w:rsidRDefault="007D642D" w:rsidP="006B246A">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En fonction de votre état la dose usuelle pour débuter est soit </w:t>
      </w:r>
      <w:r w:rsidRPr="006B246A">
        <w:rPr>
          <w:b/>
          <w:bCs/>
          <w:color w:val="000000"/>
          <w:szCs w:val="22"/>
          <w:lang w:val="fr-FR"/>
        </w:rPr>
        <w:t>400 mg</w:t>
      </w:r>
      <w:r w:rsidRPr="00961E0F">
        <w:rPr>
          <w:color w:val="000000"/>
          <w:szCs w:val="22"/>
          <w:lang w:val="fr-FR"/>
        </w:rPr>
        <w:t xml:space="preserve"> soit </w:t>
      </w:r>
      <w:r w:rsidRPr="006B246A">
        <w:rPr>
          <w:b/>
          <w:bCs/>
          <w:color w:val="000000"/>
          <w:szCs w:val="22"/>
          <w:lang w:val="fr-FR"/>
        </w:rPr>
        <w:t>600 </w:t>
      </w:r>
      <w:r w:rsidRPr="006B246A">
        <w:rPr>
          <w:b/>
          <w:bCs/>
          <w:color w:val="000000"/>
          <w:lang w:val="fr-FR"/>
        </w:rPr>
        <w:t>mg</w:t>
      </w:r>
      <w:r w:rsidR="00E155EF">
        <w:rPr>
          <w:color w:val="000000"/>
          <w:szCs w:val="22"/>
          <w:lang w:val="fr-FR"/>
        </w:rPr>
        <w:t xml:space="preserve"> à prendre </w:t>
      </w:r>
      <w:r w:rsidR="00E155EF" w:rsidRPr="006B246A">
        <w:rPr>
          <w:b/>
          <w:bCs/>
          <w:color w:val="000000"/>
          <w:szCs w:val="22"/>
          <w:lang w:val="fr-FR"/>
        </w:rPr>
        <w:t>une fois</w:t>
      </w:r>
      <w:r w:rsidR="00E155EF">
        <w:rPr>
          <w:color w:val="000000"/>
          <w:szCs w:val="22"/>
          <w:lang w:val="fr-FR"/>
        </w:rPr>
        <w:t xml:space="preserve"> par jour.</w:t>
      </w:r>
    </w:p>
    <w:p w14:paraId="3324FAC9" w14:textId="77777777" w:rsidR="007D642D" w:rsidRPr="00961E0F" w:rsidRDefault="007D642D">
      <w:pPr>
        <w:pStyle w:val="paragraphSIF"/>
        <w:widowControl w:val="0"/>
        <w:tabs>
          <w:tab w:val="clear" w:pos="-720"/>
        </w:tabs>
        <w:suppressAutoHyphens/>
        <w:jc w:val="left"/>
        <w:rPr>
          <w:color w:val="000000"/>
          <w:szCs w:val="22"/>
          <w:lang w:val="fr-FR"/>
        </w:rPr>
      </w:pPr>
    </w:p>
    <w:p w14:paraId="2CB5C4CA" w14:textId="77777777" w:rsidR="007D642D" w:rsidRPr="00961E0F" w:rsidRDefault="007D642D" w:rsidP="00527B2A">
      <w:pPr>
        <w:pStyle w:val="paragraphSIF"/>
        <w:keepNext/>
        <w:widowControl w:val="0"/>
        <w:numPr>
          <w:ilvl w:val="0"/>
          <w:numId w:val="28"/>
        </w:numPr>
        <w:tabs>
          <w:tab w:val="clear" w:pos="-720"/>
          <w:tab w:val="clear" w:pos="678"/>
        </w:tabs>
        <w:suppressAutoHyphens/>
        <w:ind w:left="567" w:hanging="567"/>
        <w:jc w:val="left"/>
        <w:rPr>
          <w:color w:val="000000"/>
          <w:szCs w:val="22"/>
          <w:lang w:val="fr-FR"/>
        </w:rPr>
      </w:pPr>
      <w:r w:rsidRPr="00961E0F">
        <w:rPr>
          <w:b/>
          <w:color w:val="000000"/>
          <w:szCs w:val="22"/>
          <w:lang w:val="fr-FR"/>
        </w:rPr>
        <w:t>Si vous êtes traité(e) pour un GIST </w:t>
      </w:r>
      <w:r w:rsidRPr="00961E0F">
        <w:rPr>
          <w:b/>
          <w:bCs/>
          <w:color w:val="000000"/>
          <w:szCs w:val="22"/>
          <w:lang w:val="fr-FR"/>
        </w:rPr>
        <w:t>:</w:t>
      </w:r>
    </w:p>
    <w:p w14:paraId="544B5611" w14:textId="297C4FB6"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400 mg </w:t>
      </w:r>
      <w:r w:rsidR="006B246A">
        <w:rPr>
          <w:color w:val="000000"/>
          <w:szCs w:val="22"/>
          <w:lang w:val="fr-FR"/>
        </w:rPr>
        <w:t>à</w:t>
      </w:r>
      <w:r w:rsidRPr="00961E0F">
        <w:rPr>
          <w:color w:val="000000"/>
          <w:szCs w:val="22"/>
          <w:lang w:val="fr-FR"/>
        </w:rPr>
        <w:t xml:space="preserve"> prendre </w:t>
      </w:r>
      <w:r w:rsidRPr="00961E0F">
        <w:rPr>
          <w:b/>
          <w:color w:val="000000"/>
          <w:szCs w:val="22"/>
          <w:lang w:val="fr-FR"/>
        </w:rPr>
        <w:t>une fois</w:t>
      </w:r>
      <w:r w:rsidRPr="00961E0F">
        <w:rPr>
          <w:color w:val="000000"/>
          <w:szCs w:val="22"/>
          <w:lang w:val="fr-FR"/>
        </w:rPr>
        <w:t xml:space="preserve"> par jour.</w:t>
      </w:r>
    </w:p>
    <w:p w14:paraId="6931BE76" w14:textId="77777777" w:rsidR="007D642D" w:rsidRPr="00961E0F" w:rsidRDefault="007D642D">
      <w:pPr>
        <w:pStyle w:val="paragraphSIF"/>
        <w:widowControl w:val="0"/>
        <w:tabs>
          <w:tab w:val="clear" w:pos="-720"/>
        </w:tabs>
        <w:suppressAutoHyphens/>
        <w:jc w:val="left"/>
        <w:rPr>
          <w:color w:val="000000"/>
          <w:szCs w:val="22"/>
          <w:lang w:val="fr-FR"/>
        </w:rPr>
      </w:pPr>
    </w:p>
    <w:p w14:paraId="3464B179" w14:textId="4C199051" w:rsidR="007D642D" w:rsidRPr="00961E0F" w:rsidRDefault="007D642D">
      <w:pPr>
        <w:pStyle w:val="paragraphSIF"/>
        <w:widowControl w:val="0"/>
        <w:tabs>
          <w:tab w:val="clear" w:pos="-720"/>
        </w:tabs>
        <w:suppressAutoHyphens/>
        <w:jc w:val="left"/>
        <w:rPr>
          <w:color w:val="000000"/>
          <w:szCs w:val="22"/>
          <w:lang w:val="fr-FR"/>
        </w:rPr>
      </w:pPr>
      <w:r w:rsidRPr="00961E0F">
        <w:rPr>
          <w:color w:val="000000"/>
          <w:szCs w:val="22"/>
          <w:lang w:val="fr-FR"/>
        </w:rPr>
        <w:t xml:space="preserve">Pour les LMC et les GIST, votre médecin peut prescrire une dose plus élevée ou plus faible en fonction de votre réponse au traitement. Si votre dose est de 800 mg par jour, vous devrez prendre </w:t>
      </w:r>
      <w:r w:rsidR="00E155EF">
        <w:rPr>
          <w:color w:val="000000"/>
          <w:szCs w:val="22"/>
          <w:lang w:val="fr-FR"/>
        </w:rPr>
        <w:t>400 mg</w:t>
      </w:r>
      <w:r w:rsidRPr="00961E0F">
        <w:rPr>
          <w:color w:val="000000"/>
          <w:szCs w:val="22"/>
          <w:lang w:val="fr-FR"/>
        </w:rPr>
        <w:t xml:space="preserve"> le matin et </w:t>
      </w:r>
      <w:r w:rsidR="00E155EF">
        <w:rPr>
          <w:color w:val="000000"/>
          <w:szCs w:val="22"/>
          <w:lang w:val="fr-FR"/>
        </w:rPr>
        <w:t>400 mg</w:t>
      </w:r>
      <w:r w:rsidRPr="00961E0F">
        <w:rPr>
          <w:color w:val="000000"/>
          <w:szCs w:val="22"/>
          <w:lang w:val="fr-FR"/>
        </w:rPr>
        <w:t xml:space="preserve"> le soir.</w:t>
      </w:r>
    </w:p>
    <w:p w14:paraId="15F94B6C" w14:textId="77777777" w:rsidR="007D642D" w:rsidRPr="00961E0F" w:rsidRDefault="007D642D">
      <w:pPr>
        <w:widowControl w:val="0"/>
        <w:rPr>
          <w:rFonts w:ascii="Times New Roman" w:hAnsi="Times New Roman"/>
          <w:color w:val="000000"/>
          <w:szCs w:val="22"/>
        </w:rPr>
      </w:pPr>
    </w:p>
    <w:p w14:paraId="17CF2742" w14:textId="77777777" w:rsidR="007D642D" w:rsidRPr="00961E0F" w:rsidRDefault="007D642D" w:rsidP="00527B2A">
      <w:pPr>
        <w:pStyle w:val="paragraphSIF"/>
        <w:keepNext/>
        <w:widowControl w:val="0"/>
        <w:numPr>
          <w:ilvl w:val="0"/>
          <w:numId w:val="29"/>
        </w:numPr>
        <w:tabs>
          <w:tab w:val="clear" w:pos="-720"/>
          <w:tab w:val="clear" w:pos="720"/>
        </w:tabs>
        <w:suppressAutoHyphens/>
        <w:ind w:left="567" w:hanging="567"/>
        <w:jc w:val="left"/>
        <w:rPr>
          <w:b/>
          <w:color w:val="000000"/>
          <w:szCs w:val="22"/>
          <w:lang w:val="fr-FR"/>
        </w:rPr>
      </w:pPr>
      <w:r w:rsidRPr="00961E0F">
        <w:rPr>
          <w:b/>
          <w:color w:val="000000"/>
          <w:szCs w:val="22"/>
          <w:lang w:val="fr-FR"/>
        </w:rPr>
        <w:t>Si vous êtes traité(e) pour une LAL Ph-positive :</w:t>
      </w:r>
    </w:p>
    <w:p w14:paraId="0121CB39" w14:textId="2B00EEB2"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600 mg </w:t>
      </w:r>
      <w:r w:rsidR="006B246A">
        <w:rPr>
          <w:color w:val="000000"/>
          <w:szCs w:val="22"/>
          <w:lang w:val="fr-FR"/>
        </w:rPr>
        <w:t>à</w:t>
      </w:r>
      <w:r w:rsidRPr="00961E0F">
        <w:rPr>
          <w:color w:val="000000"/>
          <w:szCs w:val="22"/>
          <w:lang w:val="fr-FR"/>
        </w:rPr>
        <w:t xml:space="preserve"> prendre </w:t>
      </w:r>
      <w:r w:rsidRPr="00961E0F">
        <w:rPr>
          <w:b/>
          <w:color w:val="000000"/>
          <w:szCs w:val="22"/>
          <w:lang w:val="fr-FR"/>
        </w:rPr>
        <w:t>une fois</w:t>
      </w:r>
      <w:r w:rsidRPr="00961E0F">
        <w:rPr>
          <w:color w:val="000000"/>
          <w:szCs w:val="22"/>
          <w:lang w:val="fr-FR"/>
        </w:rPr>
        <w:t xml:space="preserve"> par jour.</w:t>
      </w:r>
    </w:p>
    <w:p w14:paraId="087DFEAF" w14:textId="77777777" w:rsidR="007D642D" w:rsidRPr="00961E0F" w:rsidRDefault="007D642D">
      <w:pPr>
        <w:pStyle w:val="paragraphSIF"/>
        <w:widowControl w:val="0"/>
        <w:tabs>
          <w:tab w:val="clear" w:pos="-720"/>
        </w:tabs>
        <w:suppressAutoHyphens/>
        <w:jc w:val="left"/>
        <w:rPr>
          <w:color w:val="000000"/>
          <w:szCs w:val="22"/>
          <w:lang w:val="fr-FR"/>
        </w:rPr>
      </w:pPr>
    </w:p>
    <w:p w14:paraId="64A04329" w14:textId="77777777" w:rsidR="007D642D" w:rsidRPr="00961E0F" w:rsidRDefault="007D642D" w:rsidP="00527B2A">
      <w:pPr>
        <w:pStyle w:val="paragraphSIF"/>
        <w:keepNext/>
        <w:widowControl w:val="0"/>
        <w:numPr>
          <w:ilvl w:val="0"/>
          <w:numId w:val="29"/>
        </w:numPr>
        <w:tabs>
          <w:tab w:val="clear" w:pos="-720"/>
          <w:tab w:val="clear" w:pos="720"/>
        </w:tabs>
        <w:suppressAutoHyphens/>
        <w:ind w:left="567" w:hanging="567"/>
        <w:jc w:val="left"/>
        <w:rPr>
          <w:b/>
          <w:color w:val="000000"/>
          <w:szCs w:val="22"/>
          <w:lang w:val="fr-FR"/>
        </w:rPr>
      </w:pPr>
      <w:r w:rsidRPr="00961E0F">
        <w:rPr>
          <w:b/>
          <w:color w:val="000000"/>
          <w:szCs w:val="22"/>
          <w:lang w:val="fr-FR"/>
        </w:rPr>
        <w:t xml:space="preserve">Si vous êtes traité(e) pour un </w:t>
      </w:r>
      <w:smartTag w:uri="urn:schemas-microsoft-com:office:smarttags" w:element="stockticker">
        <w:r w:rsidRPr="00961E0F">
          <w:rPr>
            <w:b/>
            <w:color w:val="000000"/>
            <w:szCs w:val="22"/>
            <w:lang w:val="fr-FR"/>
          </w:rPr>
          <w:t>SMD</w:t>
        </w:r>
      </w:smartTag>
      <w:r w:rsidRPr="00961E0F">
        <w:rPr>
          <w:b/>
          <w:color w:val="000000"/>
          <w:szCs w:val="22"/>
          <w:lang w:val="fr-FR"/>
        </w:rPr>
        <w:t>/</w:t>
      </w:r>
      <w:smartTag w:uri="urn:schemas-microsoft-com:office:smarttags" w:element="stockticker">
        <w:r w:rsidRPr="00961E0F">
          <w:rPr>
            <w:b/>
            <w:color w:val="000000"/>
            <w:szCs w:val="22"/>
            <w:lang w:val="fr-FR"/>
          </w:rPr>
          <w:t>SMP</w:t>
        </w:r>
      </w:smartTag>
      <w:r w:rsidRPr="00961E0F">
        <w:rPr>
          <w:b/>
          <w:color w:val="000000"/>
          <w:szCs w:val="22"/>
          <w:lang w:val="fr-FR"/>
        </w:rPr>
        <w:t> :</w:t>
      </w:r>
    </w:p>
    <w:p w14:paraId="733D5B17" w14:textId="5C382DE1"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400 mg </w:t>
      </w:r>
      <w:r w:rsidR="006B246A">
        <w:rPr>
          <w:color w:val="000000"/>
          <w:szCs w:val="22"/>
          <w:lang w:val="fr-FR"/>
        </w:rPr>
        <w:t>à</w:t>
      </w:r>
      <w:r w:rsidRPr="00961E0F">
        <w:rPr>
          <w:color w:val="000000"/>
          <w:szCs w:val="22"/>
          <w:lang w:val="fr-FR"/>
        </w:rPr>
        <w:t xml:space="preserve"> prendre </w:t>
      </w:r>
      <w:r w:rsidRPr="00961E0F">
        <w:rPr>
          <w:b/>
          <w:color w:val="000000"/>
          <w:szCs w:val="22"/>
          <w:lang w:val="fr-FR"/>
        </w:rPr>
        <w:t>une fois</w:t>
      </w:r>
      <w:r w:rsidRPr="00961E0F">
        <w:rPr>
          <w:color w:val="000000"/>
          <w:szCs w:val="22"/>
          <w:lang w:val="fr-FR"/>
        </w:rPr>
        <w:t xml:space="preserve"> par jour.</w:t>
      </w:r>
    </w:p>
    <w:p w14:paraId="13DC65C3" w14:textId="77777777" w:rsidR="007D642D" w:rsidRPr="00961E0F" w:rsidRDefault="007D642D">
      <w:pPr>
        <w:pStyle w:val="paragraphSIF"/>
        <w:widowControl w:val="0"/>
        <w:tabs>
          <w:tab w:val="clear" w:pos="-720"/>
        </w:tabs>
        <w:suppressAutoHyphens/>
        <w:jc w:val="left"/>
        <w:rPr>
          <w:color w:val="000000"/>
          <w:szCs w:val="22"/>
          <w:lang w:val="fr-FR"/>
        </w:rPr>
      </w:pPr>
    </w:p>
    <w:p w14:paraId="0938AC9B" w14:textId="77777777" w:rsidR="007D642D" w:rsidRPr="00961E0F" w:rsidRDefault="007D642D" w:rsidP="00527B2A">
      <w:pPr>
        <w:pStyle w:val="paragraphSIF"/>
        <w:keepNext/>
        <w:widowControl w:val="0"/>
        <w:numPr>
          <w:ilvl w:val="0"/>
          <w:numId w:val="29"/>
        </w:numPr>
        <w:tabs>
          <w:tab w:val="clear" w:pos="-720"/>
          <w:tab w:val="clear" w:pos="720"/>
        </w:tabs>
        <w:suppressAutoHyphens/>
        <w:ind w:left="567" w:hanging="567"/>
        <w:jc w:val="left"/>
        <w:rPr>
          <w:color w:val="000000"/>
          <w:szCs w:val="22"/>
          <w:lang w:val="fr-FR"/>
        </w:rPr>
      </w:pPr>
      <w:r w:rsidRPr="00961E0F">
        <w:rPr>
          <w:b/>
          <w:color w:val="000000"/>
          <w:szCs w:val="22"/>
          <w:lang w:val="fr-FR"/>
        </w:rPr>
        <w:t>Si vous êtes traité(e) pour un SHE/LCE</w:t>
      </w:r>
      <w:r w:rsidRPr="00961E0F">
        <w:rPr>
          <w:color w:val="000000"/>
          <w:szCs w:val="22"/>
          <w:lang w:val="fr-FR"/>
        </w:rPr>
        <w:t> </w:t>
      </w:r>
      <w:r w:rsidRPr="00961E0F">
        <w:rPr>
          <w:b/>
          <w:bCs/>
          <w:color w:val="000000"/>
          <w:szCs w:val="22"/>
          <w:lang w:val="fr-FR"/>
        </w:rPr>
        <w:t>:</w:t>
      </w:r>
    </w:p>
    <w:p w14:paraId="5E4263B7" w14:textId="50CA044B" w:rsidR="007D642D" w:rsidRPr="00961E0F" w:rsidRDefault="007D642D">
      <w:pPr>
        <w:pStyle w:val="paragraphSIF"/>
        <w:widowControl w:val="0"/>
        <w:tabs>
          <w:tab w:val="clear" w:pos="-720"/>
        </w:tabs>
        <w:suppressAutoHyphens/>
        <w:ind w:left="567"/>
        <w:jc w:val="left"/>
        <w:rPr>
          <w:color w:val="000000"/>
          <w:szCs w:val="22"/>
          <w:lang w:val="fr-FR"/>
        </w:rPr>
      </w:pPr>
      <w:r w:rsidRPr="00961E0F">
        <w:rPr>
          <w:color w:val="000000"/>
          <w:szCs w:val="22"/>
          <w:lang w:val="fr-FR"/>
        </w:rPr>
        <w:t xml:space="preserve">La dose initiale est de 100 mg </w:t>
      </w:r>
      <w:r w:rsidR="006B246A">
        <w:rPr>
          <w:color w:val="000000"/>
          <w:szCs w:val="22"/>
          <w:lang w:val="fr-FR"/>
        </w:rPr>
        <w:t>à</w:t>
      </w:r>
      <w:r w:rsidRPr="00961E0F">
        <w:rPr>
          <w:color w:val="000000"/>
          <w:szCs w:val="22"/>
          <w:lang w:val="fr-FR"/>
        </w:rPr>
        <w:t xml:space="preserve"> prendre </w:t>
      </w:r>
      <w:r w:rsidRPr="00961E0F">
        <w:rPr>
          <w:b/>
          <w:color w:val="000000"/>
          <w:szCs w:val="22"/>
          <w:lang w:val="fr-FR"/>
        </w:rPr>
        <w:t>une fois</w:t>
      </w:r>
      <w:r w:rsidRPr="00961E0F">
        <w:rPr>
          <w:color w:val="000000"/>
          <w:szCs w:val="22"/>
          <w:lang w:val="fr-FR"/>
        </w:rPr>
        <w:t xml:space="preserve"> par jour. Votre médecin peut décider d’augmenter la dose initiale à 400 mg, </w:t>
      </w:r>
      <w:r w:rsidR="006B246A">
        <w:rPr>
          <w:color w:val="000000"/>
          <w:szCs w:val="22"/>
          <w:lang w:val="fr-FR"/>
        </w:rPr>
        <w:t>à</w:t>
      </w:r>
      <w:r w:rsidRPr="00961E0F">
        <w:rPr>
          <w:color w:val="000000"/>
          <w:szCs w:val="22"/>
          <w:lang w:val="fr-FR"/>
        </w:rPr>
        <w:t xml:space="preserve"> prendre </w:t>
      </w:r>
      <w:r w:rsidRPr="00961E0F">
        <w:rPr>
          <w:b/>
          <w:color w:val="000000"/>
          <w:szCs w:val="22"/>
          <w:lang w:val="fr-FR"/>
        </w:rPr>
        <w:t>une fois</w:t>
      </w:r>
      <w:r w:rsidRPr="00961E0F">
        <w:rPr>
          <w:color w:val="000000"/>
          <w:szCs w:val="22"/>
          <w:lang w:val="fr-FR"/>
        </w:rPr>
        <w:t xml:space="preserve"> par jour, en fonction de votre réponse au traitement.</w:t>
      </w:r>
    </w:p>
    <w:p w14:paraId="33F8402B" w14:textId="77777777" w:rsidR="007D642D" w:rsidRPr="00961E0F" w:rsidRDefault="007D642D">
      <w:pPr>
        <w:pStyle w:val="paragraphSIF"/>
        <w:widowControl w:val="0"/>
        <w:tabs>
          <w:tab w:val="clear" w:pos="-720"/>
        </w:tabs>
        <w:suppressAutoHyphens/>
        <w:jc w:val="left"/>
        <w:rPr>
          <w:color w:val="000000"/>
          <w:szCs w:val="22"/>
          <w:lang w:val="fr-FR"/>
        </w:rPr>
      </w:pPr>
    </w:p>
    <w:p w14:paraId="55C27F8C" w14:textId="77777777" w:rsidR="007D642D" w:rsidRPr="00961E0F" w:rsidRDefault="007D642D" w:rsidP="00527B2A">
      <w:pPr>
        <w:pStyle w:val="paragraphSIF"/>
        <w:keepNext/>
        <w:widowControl w:val="0"/>
        <w:numPr>
          <w:ilvl w:val="0"/>
          <w:numId w:val="29"/>
        </w:numPr>
        <w:tabs>
          <w:tab w:val="clear" w:pos="-720"/>
          <w:tab w:val="clear" w:pos="720"/>
        </w:tabs>
        <w:suppressAutoHyphens/>
        <w:ind w:left="567" w:hanging="567"/>
        <w:jc w:val="left"/>
        <w:rPr>
          <w:b/>
          <w:color w:val="000000"/>
          <w:lang w:val="fr-FR"/>
        </w:rPr>
      </w:pPr>
      <w:r w:rsidRPr="00961E0F">
        <w:rPr>
          <w:b/>
          <w:color w:val="000000"/>
          <w:lang w:val="fr-FR"/>
        </w:rPr>
        <w:t>Si vous êtes traité(e) pour un DFSP :</w:t>
      </w:r>
    </w:p>
    <w:p w14:paraId="21A3F41B" w14:textId="1247FBA9" w:rsidR="007D642D" w:rsidRPr="00961E0F" w:rsidRDefault="007D642D">
      <w:pPr>
        <w:pStyle w:val="paragraphSIF"/>
        <w:widowControl w:val="0"/>
        <w:tabs>
          <w:tab w:val="clear" w:pos="-720"/>
        </w:tabs>
        <w:suppressAutoHyphens/>
        <w:ind w:left="567"/>
        <w:jc w:val="left"/>
        <w:rPr>
          <w:color w:val="000000"/>
          <w:lang w:val="fr-FR"/>
        </w:rPr>
      </w:pPr>
      <w:r w:rsidRPr="00961E0F">
        <w:rPr>
          <w:color w:val="000000"/>
          <w:lang w:val="fr-FR"/>
        </w:rPr>
        <w:t xml:space="preserve">La dose est de 800 mg par jour, soit prendre </w:t>
      </w:r>
      <w:r w:rsidR="00B103DB">
        <w:rPr>
          <w:color w:val="000000"/>
          <w:lang w:val="fr-FR"/>
        </w:rPr>
        <w:t>400 mg</w:t>
      </w:r>
      <w:r w:rsidRPr="00961E0F">
        <w:rPr>
          <w:color w:val="000000"/>
          <w:szCs w:val="22"/>
          <w:lang w:val="fr-FR"/>
        </w:rPr>
        <w:t xml:space="preserve"> le matin et </w:t>
      </w:r>
      <w:r w:rsidR="00B103DB">
        <w:rPr>
          <w:color w:val="000000"/>
          <w:szCs w:val="22"/>
          <w:lang w:val="fr-FR"/>
        </w:rPr>
        <w:t>400 mg</w:t>
      </w:r>
      <w:r w:rsidRPr="00961E0F">
        <w:rPr>
          <w:color w:val="000000"/>
          <w:szCs w:val="22"/>
          <w:lang w:val="fr-FR"/>
        </w:rPr>
        <w:t xml:space="preserve"> le soir.</w:t>
      </w:r>
    </w:p>
    <w:p w14:paraId="29D865E9" w14:textId="15B0DB1C" w:rsidR="007D642D" w:rsidRDefault="007D642D">
      <w:pPr>
        <w:pStyle w:val="paragraphSIF"/>
        <w:rPr>
          <w:color w:val="000000"/>
          <w:lang w:val="fr-FR"/>
        </w:rPr>
      </w:pPr>
    </w:p>
    <w:p w14:paraId="1C126D78" w14:textId="0B3555DE" w:rsidR="00B103DB" w:rsidRPr="00B103DB" w:rsidRDefault="00CC1F81" w:rsidP="00B103DB">
      <w:pPr>
        <w:pStyle w:val="NormalWeb"/>
        <w:spacing w:before="0" w:beforeAutospacing="0" w:after="0" w:afterAutospacing="0"/>
        <w:rPr>
          <w:color w:val="000000"/>
          <w:sz w:val="22"/>
          <w:szCs w:val="22"/>
          <w:lang w:val="fr-FR" w:eastAsia="fr-FR"/>
        </w:rPr>
      </w:pPr>
      <w:r>
        <w:rPr>
          <w:color w:val="000000"/>
          <w:sz w:val="22"/>
          <w:szCs w:val="22"/>
          <w:lang w:val="fr-FR"/>
        </w:rPr>
        <w:t>Une</w:t>
      </w:r>
      <w:r w:rsidR="00B103DB" w:rsidRPr="00B103DB">
        <w:rPr>
          <w:color w:val="000000"/>
          <w:sz w:val="22"/>
          <w:szCs w:val="22"/>
          <w:lang w:val="fr-FR"/>
        </w:rPr>
        <w:t xml:space="preserve"> dose de 400 mg peut être prise soit en 1 </w:t>
      </w:r>
      <w:r w:rsidR="00B103DB">
        <w:rPr>
          <w:color w:val="000000"/>
          <w:sz w:val="22"/>
          <w:szCs w:val="22"/>
          <w:lang w:val="fr-FR"/>
        </w:rPr>
        <w:t>comprimé</w:t>
      </w:r>
      <w:r w:rsidR="00B103DB" w:rsidRPr="00B103DB">
        <w:rPr>
          <w:color w:val="000000"/>
          <w:sz w:val="22"/>
          <w:szCs w:val="22"/>
          <w:lang w:val="fr-FR"/>
        </w:rPr>
        <w:t xml:space="preserve"> de 400 mg ou 4 </w:t>
      </w:r>
      <w:r w:rsidR="00B103DB">
        <w:rPr>
          <w:color w:val="000000"/>
          <w:sz w:val="22"/>
          <w:szCs w:val="22"/>
          <w:lang w:val="fr-FR"/>
        </w:rPr>
        <w:t>comprimés</w:t>
      </w:r>
      <w:r w:rsidR="00B103DB" w:rsidRPr="00B103DB">
        <w:rPr>
          <w:color w:val="000000"/>
          <w:sz w:val="22"/>
          <w:szCs w:val="22"/>
          <w:lang w:val="fr-FR"/>
        </w:rPr>
        <w:t xml:space="preserve"> de 100 mg.</w:t>
      </w:r>
    </w:p>
    <w:p w14:paraId="09FE5D5A" w14:textId="57D7B5D5" w:rsidR="00B103DB" w:rsidRPr="003A4A63" w:rsidRDefault="00B103DB" w:rsidP="00B103DB">
      <w:pPr>
        <w:pStyle w:val="NormalWeb"/>
        <w:spacing w:before="0" w:beforeAutospacing="0" w:after="0" w:afterAutospacing="0"/>
        <w:rPr>
          <w:sz w:val="22"/>
          <w:szCs w:val="22"/>
          <w:lang w:val="fr-FR"/>
        </w:rPr>
      </w:pPr>
      <w:r w:rsidRPr="00B103DB">
        <w:rPr>
          <w:color w:val="000000"/>
          <w:sz w:val="22"/>
          <w:szCs w:val="22"/>
          <w:lang w:val="fr-FR"/>
        </w:rPr>
        <w:t xml:space="preserve">Une dose de 600 mg est à prendre </w:t>
      </w:r>
      <w:r w:rsidRPr="00B103DB">
        <w:rPr>
          <w:sz w:val="22"/>
          <w:szCs w:val="22"/>
          <w:lang w:val="fr-FR"/>
        </w:rPr>
        <w:t>en 1 </w:t>
      </w:r>
      <w:r>
        <w:rPr>
          <w:sz w:val="22"/>
          <w:szCs w:val="22"/>
          <w:lang w:val="fr-FR"/>
        </w:rPr>
        <w:t>comprimé</w:t>
      </w:r>
      <w:r w:rsidRPr="00B103DB">
        <w:rPr>
          <w:sz w:val="22"/>
          <w:szCs w:val="22"/>
          <w:lang w:val="fr-FR"/>
        </w:rPr>
        <w:t xml:space="preserve"> de 400 mg plus </w:t>
      </w:r>
      <w:r>
        <w:rPr>
          <w:sz w:val="22"/>
          <w:szCs w:val="22"/>
          <w:lang w:val="fr-FR"/>
        </w:rPr>
        <w:t>2</w:t>
      </w:r>
      <w:r w:rsidRPr="00B103DB">
        <w:rPr>
          <w:sz w:val="22"/>
          <w:szCs w:val="22"/>
          <w:lang w:val="fr-FR"/>
        </w:rPr>
        <w:t> </w:t>
      </w:r>
      <w:r>
        <w:rPr>
          <w:sz w:val="22"/>
          <w:szCs w:val="22"/>
          <w:lang w:val="fr-FR"/>
        </w:rPr>
        <w:t>comprimés</w:t>
      </w:r>
      <w:r w:rsidRPr="00B103DB">
        <w:rPr>
          <w:sz w:val="22"/>
          <w:szCs w:val="22"/>
          <w:lang w:val="fr-FR"/>
        </w:rPr>
        <w:t xml:space="preserve"> de 100 mg.</w:t>
      </w:r>
    </w:p>
    <w:p w14:paraId="3CD2753F" w14:textId="77777777" w:rsidR="00B103DB" w:rsidRPr="00961E0F" w:rsidRDefault="00B103DB">
      <w:pPr>
        <w:pStyle w:val="paragraphSIF"/>
        <w:rPr>
          <w:color w:val="000000"/>
          <w:lang w:val="fr-FR"/>
        </w:rPr>
      </w:pPr>
    </w:p>
    <w:p w14:paraId="6DCA54AA" w14:textId="77777777" w:rsidR="007D642D" w:rsidRPr="00961E0F" w:rsidRDefault="007D642D" w:rsidP="00527B2A">
      <w:pPr>
        <w:keepNext/>
        <w:widowControl w:val="0"/>
        <w:tabs>
          <w:tab w:val="left" w:pos="0"/>
        </w:tabs>
        <w:suppressAutoHyphens/>
        <w:rPr>
          <w:rFonts w:ascii="Times New Roman" w:hAnsi="Times New Roman"/>
          <w:b/>
          <w:bCs/>
          <w:color w:val="000000"/>
          <w:szCs w:val="22"/>
        </w:rPr>
      </w:pPr>
      <w:r w:rsidRPr="00961E0F">
        <w:rPr>
          <w:rFonts w:ascii="Times New Roman" w:hAnsi="Times New Roman"/>
          <w:b/>
          <w:bCs/>
          <w:color w:val="000000"/>
          <w:szCs w:val="22"/>
        </w:rPr>
        <w:t>Utilisation chez les enfants et les adolescents</w:t>
      </w:r>
    </w:p>
    <w:p w14:paraId="061EE05E" w14:textId="77777777" w:rsidR="007D642D" w:rsidRPr="00961E0F" w:rsidRDefault="007D642D" w:rsidP="0000102A">
      <w:pPr>
        <w:widowControl w:val="0"/>
        <w:suppressAutoHyphens/>
        <w:rPr>
          <w:rFonts w:ascii="Times New Roman" w:hAnsi="Times New Roman"/>
          <w:color w:val="000000"/>
          <w:szCs w:val="22"/>
        </w:rPr>
      </w:pPr>
      <w:r w:rsidRPr="00961E0F">
        <w:rPr>
          <w:rFonts w:ascii="Times New Roman" w:hAnsi="Times New Roman"/>
          <w:color w:val="000000"/>
          <w:szCs w:val="22"/>
        </w:rPr>
        <w:t>Votre médecin vous dira combien de Glivec donner à votre enfant. La dose de Glivec à avaler dépendra de l’état de votre enfant, de sa taille et de son poids. La dose quotidienne totale à avaler chez l’enfant ne doit pas dépasser 800 mg</w:t>
      </w:r>
      <w:r w:rsidR="00024AAF" w:rsidRPr="00961E0F">
        <w:rPr>
          <w:rFonts w:ascii="Times New Roman" w:hAnsi="Times New Roman"/>
          <w:color w:val="000000"/>
          <w:szCs w:val="22"/>
        </w:rPr>
        <w:t xml:space="preserve"> dans </w:t>
      </w:r>
      <w:smartTag w:uri="urn:schemas-microsoft-com:office:smarttags" w:element="PersonName">
        <w:smartTagPr>
          <w:attr w:name="ProductID" w:val="la LMC"/>
        </w:smartTagPr>
        <w:r w:rsidR="00024AAF" w:rsidRPr="00961E0F">
          <w:rPr>
            <w:rFonts w:ascii="Times New Roman" w:hAnsi="Times New Roman"/>
            <w:color w:val="000000"/>
            <w:szCs w:val="22"/>
          </w:rPr>
          <w:t>la LMC</w:t>
        </w:r>
      </w:smartTag>
      <w:r w:rsidR="00024AAF" w:rsidRPr="00961E0F">
        <w:rPr>
          <w:rFonts w:ascii="Times New Roman" w:hAnsi="Times New Roman"/>
          <w:color w:val="000000"/>
          <w:szCs w:val="22"/>
        </w:rPr>
        <w:t xml:space="preserve"> et 600 mg dans </w:t>
      </w:r>
      <w:smartTag w:uri="urn:schemas-microsoft-com:office:smarttags" w:element="PersonName">
        <w:smartTagPr>
          <w:attr w:name="ProductID" w:val="la LAL Ph-positive."/>
        </w:smartTagPr>
        <w:r w:rsidR="00024AAF" w:rsidRPr="00961E0F">
          <w:rPr>
            <w:rFonts w:ascii="Times New Roman" w:hAnsi="Times New Roman"/>
            <w:color w:val="000000"/>
            <w:szCs w:val="22"/>
          </w:rPr>
          <w:t>la LAL Ph-positive</w:t>
        </w:r>
        <w:r w:rsidRPr="00961E0F">
          <w:rPr>
            <w:rFonts w:ascii="Times New Roman" w:hAnsi="Times New Roman"/>
            <w:color w:val="000000"/>
            <w:szCs w:val="22"/>
          </w:rPr>
          <w:t>.</w:t>
        </w:r>
      </w:smartTag>
      <w:r w:rsidRPr="00961E0F">
        <w:rPr>
          <w:rFonts w:ascii="Times New Roman" w:hAnsi="Times New Roman"/>
          <w:color w:val="000000"/>
          <w:szCs w:val="22"/>
        </w:rPr>
        <w:t xml:space="preserve"> Le traitement peut être donné à votre enfant soit en une seule prise par jour ou bien la dose quotidienne peut être répartie en deux prises (la moitié le matin et l’autre moitié le soir).</w:t>
      </w:r>
    </w:p>
    <w:p w14:paraId="69922B1F" w14:textId="77777777" w:rsidR="007D642D" w:rsidRPr="00961E0F" w:rsidRDefault="007D642D">
      <w:pPr>
        <w:widowControl w:val="0"/>
        <w:suppressAutoHyphens/>
        <w:rPr>
          <w:rFonts w:ascii="Times New Roman" w:hAnsi="Times New Roman"/>
          <w:color w:val="000000"/>
          <w:szCs w:val="22"/>
        </w:rPr>
      </w:pPr>
    </w:p>
    <w:p w14:paraId="278D2E36"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Quand et comment prendre Glivec ?</w:t>
      </w:r>
    </w:p>
    <w:p w14:paraId="6E32A14F" w14:textId="77777777" w:rsidR="007D642D" w:rsidRPr="00961E0F" w:rsidRDefault="007D642D" w:rsidP="00527B2A">
      <w:pPr>
        <w:keepNext/>
        <w:widowControl w:val="0"/>
        <w:numPr>
          <w:ilvl w:val="0"/>
          <w:numId w:val="29"/>
        </w:numPr>
        <w:tabs>
          <w:tab w:val="clear" w:pos="720"/>
        </w:tabs>
        <w:suppressAutoHyphens/>
        <w:ind w:left="567" w:hanging="567"/>
        <w:rPr>
          <w:rFonts w:ascii="Times New Roman" w:hAnsi="Times New Roman"/>
          <w:color w:val="000000"/>
          <w:szCs w:val="22"/>
        </w:rPr>
      </w:pPr>
      <w:r w:rsidRPr="00961E0F">
        <w:rPr>
          <w:rFonts w:ascii="Times New Roman" w:hAnsi="Times New Roman"/>
          <w:b/>
          <w:color w:val="000000"/>
          <w:szCs w:val="22"/>
        </w:rPr>
        <w:t xml:space="preserve">Prenez Glivec au cours d’un repas </w:t>
      </w:r>
      <w:r w:rsidRPr="00961E0F">
        <w:rPr>
          <w:rFonts w:ascii="Times New Roman" w:hAnsi="Times New Roman"/>
          <w:color w:val="000000"/>
          <w:szCs w:val="22"/>
        </w:rPr>
        <w:t>cela vous aidera à protéger votre estomac des problèmes avec Glivec.</w:t>
      </w:r>
    </w:p>
    <w:p w14:paraId="27634FC8" w14:textId="77777777" w:rsidR="007D642D" w:rsidRPr="00961E0F" w:rsidRDefault="007D642D">
      <w:pPr>
        <w:widowControl w:val="0"/>
        <w:numPr>
          <w:ilvl w:val="0"/>
          <w:numId w:val="29"/>
        </w:numPr>
        <w:tabs>
          <w:tab w:val="clear" w:pos="720"/>
        </w:tabs>
        <w:suppressAutoHyphens/>
        <w:ind w:left="567" w:hanging="567"/>
        <w:rPr>
          <w:rFonts w:ascii="Times New Roman" w:hAnsi="Times New Roman"/>
          <w:b/>
          <w:color w:val="000000"/>
          <w:szCs w:val="22"/>
        </w:rPr>
      </w:pPr>
      <w:r w:rsidRPr="00961E0F">
        <w:rPr>
          <w:rFonts w:ascii="Times New Roman" w:hAnsi="Times New Roman"/>
          <w:b/>
          <w:color w:val="000000"/>
          <w:szCs w:val="22"/>
        </w:rPr>
        <w:t>Avalez les comprimés entiers avec un grand verre d’eau.</w:t>
      </w:r>
    </w:p>
    <w:p w14:paraId="27F87DB4" w14:textId="77777777" w:rsidR="007D642D" w:rsidRPr="00961E0F" w:rsidRDefault="007D642D">
      <w:pPr>
        <w:widowControl w:val="0"/>
        <w:suppressAutoHyphens/>
        <w:rPr>
          <w:rFonts w:ascii="Times New Roman" w:hAnsi="Times New Roman"/>
          <w:color w:val="000000"/>
          <w:szCs w:val="22"/>
        </w:rPr>
      </w:pPr>
    </w:p>
    <w:p w14:paraId="02FB3843" w14:textId="77777777" w:rsidR="007D642D" w:rsidRPr="00961E0F" w:rsidRDefault="007D642D" w:rsidP="00527B2A">
      <w:pPr>
        <w:keepNext/>
        <w:widowControl w:val="0"/>
        <w:suppressAutoHyphens/>
        <w:rPr>
          <w:rFonts w:ascii="Times New Roman" w:hAnsi="Times New Roman"/>
          <w:color w:val="000000"/>
          <w:szCs w:val="22"/>
        </w:rPr>
      </w:pPr>
      <w:r w:rsidRPr="00961E0F">
        <w:rPr>
          <w:rFonts w:ascii="Times New Roman" w:hAnsi="Times New Roman"/>
          <w:color w:val="000000"/>
          <w:szCs w:val="22"/>
        </w:rPr>
        <w:t>Si vous ne pouvez pas avaler les comprimés, vous pouvez les dissoudre dans un verre d’eau plate ou de jus de pomme :</w:t>
      </w:r>
    </w:p>
    <w:p w14:paraId="7AAA1BF5" w14:textId="2581D3DC" w:rsidR="007D642D" w:rsidRPr="00961E0F" w:rsidRDefault="007D642D">
      <w:pPr>
        <w:widowControl w:val="0"/>
        <w:numPr>
          <w:ilvl w:val="0"/>
          <w:numId w:val="8"/>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Prenez environ 50 ml pour chaque comprimé de 100 mg</w:t>
      </w:r>
      <w:r w:rsidR="00B103DB">
        <w:rPr>
          <w:rFonts w:ascii="Times New Roman" w:hAnsi="Times New Roman"/>
          <w:color w:val="000000"/>
          <w:szCs w:val="22"/>
        </w:rPr>
        <w:t xml:space="preserve"> ou 200 ml pour chaque comprimé de 400 mg</w:t>
      </w:r>
      <w:r w:rsidRPr="00961E0F">
        <w:rPr>
          <w:rFonts w:ascii="Times New Roman" w:hAnsi="Times New Roman"/>
          <w:color w:val="000000"/>
          <w:szCs w:val="22"/>
        </w:rPr>
        <w:t>.</w:t>
      </w:r>
    </w:p>
    <w:p w14:paraId="6AFF79FE" w14:textId="77777777" w:rsidR="007D642D" w:rsidRPr="00961E0F" w:rsidRDefault="007D642D">
      <w:pPr>
        <w:widowControl w:val="0"/>
        <w:numPr>
          <w:ilvl w:val="0"/>
          <w:numId w:val="8"/>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Remuez avec une cuillère jusqu’à dissolution complète des comprimés.</w:t>
      </w:r>
    </w:p>
    <w:p w14:paraId="65F7FD15" w14:textId="77777777" w:rsidR="007D642D" w:rsidRPr="00961E0F" w:rsidRDefault="007D642D">
      <w:pPr>
        <w:widowControl w:val="0"/>
        <w:numPr>
          <w:ilvl w:val="0"/>
          <w:numId w:val="8"/>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Lorsque les comprimés sont complètement dissous, buvez tout de suite la totalité du contenu du verre. Des traces des comprimés dissous peuvent rester déposées dans le verre.</w:t>
      </w:r>
    </w:p>
    <w:p w14:paraId="75B4F98C" w14:textId="77777777" w:rsidR="007D642D" w:rsidRPr="00961E0F" w:rsidRDefault="007D642D">
      <w:pPr>
        <w:widowControl w:val="0"/>
        <w:suppressAutoHyphens/>
        <w:rPr>
          <w:rFonts w:ascii="Times New Roman" w:hAnsi="Times New Roman"/>
          <w:color w:val="000000"/>
          <w:szCs w:val="22"/>
        </w:rPr>
      </w:pPr>
    </w:p>
    <w:p w14:paraId="3AD677C8"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lastRenderedPageBreak/>
        <w:t>Combien de temps prendre Glivec ?</w:t>
      </w:r>
    </w:p>
    <w:p w14:paraId="50BDFA50"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Continuez à prendre Glivec tous les jours aussi longtemps que votre médecin vous le dira</w:t>
      </w:r>
      <w:r w:rsidRPr="00961E0F">
        <w:rPr>
          <w:rFonts w:ascii="Times New Roman" w:hAnsi="Times New Roman"/>
          <w:b/>
          <w:color w:val="000000"/>
          <w:szCs w:val="22"/>
        </w:rPr>
        <w:t>.</w:t>
      </w:r>
    </w:p>
    <w:p w14:paraId="2338B3EB" w14:textId="77777777" w:rsidR="007D642D" w:rsidRPr="00961E0F" w:rsidRDefault="007D642D">
      <w:pPr>
        <w:pStyle w:val="EndnoteText"/>
        <w:widowControl w:val="0"/>
        <w:tabs>
          <w:tab w:val="clear" w:pos="567"/>
        </w:tabs>
        <w:suppressAutoHyphens/>
        <w:rPr>
          <w:color w:val="000000"/>
          <w:szCs w:val="22"/>
          <w:lang w:val="fr-FR"/>
        </w:rPr>
      </w:pPr>
    </w:p>
    <w:p w14:paraId="515B0494"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Si vous avez pris plus de Glivec que vous n’auriez dû</w:t>
      </w:r>
    </w:p>
    <w:p w14:paraId="2BCB832D"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vous avez pris accidentellement trop de comprimés, informez-en </w:t>
      </w:r>
      <w:r w:rsidRPr="00961E0F">
        <w:rPr>
          <w:rFonts w:ascii="Times New Roman" w:hAnsi="Times New Roman"/>
          <w:b/>
          <w:color w:val="000000"/>
          <w:szCs w:val="22"/>
        </w:rPr>
        <w:t>immédiatement</w:t>
      </w:r>
      <w:r w:rsidRPr="00961E0F">
        <w:rPr>
          <w:rFonts w:ascii="Times New Roman" w:hAnsi="Times New Roman"/>
          <w:color w:val="000000"/>
          <w:szCs w:val="22"/>
        </w:rPr>
        <w:t xml:space="preserve"> votre médecin. Vous pourriez nécessiter une surveillance médicale. Emportez avec vous la boîte de votre traitement.</w:t>
      </w:r>
    </w:p>
    <w:p w14:paraId="39740DEB" w14:textId="77777777" w:rsidR="007D642D" w:rsidRPr="00961E0F" w:rsidRDefault="007D642D">
      <w:pPr>
        <w:widowControl w:val="0"/>
        <w:suppressAutoHyphens/>
        <w:rPr>
          <w:rFonts w:ascii="Times New Roman" w:hAnsi="Times New Roman"/>
          <w:color w:val="000000"/>
          <w:szCs w:val="22"/>
        </w:rPr>
      </w:pPr>
    </w:p>
    <w:p w14:paraId="3446CF88"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Si vous oubliez de prendre Glivec</w:t>
      </w:r>
    </w:p>
    <w:p w14:paraId="1B94621C" w14:textId="77777777" w:rsidR="007D642D" w:rsidRPr="00961E0F" w:rsidRDefault="007D642D">
      <w:pPr>
        <w:widowControl w:val="0"/>
        <w:numPr>
          <w:ilvl w:val="0"/>
          <w:numId w:val="30"/>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t>Si vous oubliez de prendre une dose, prenez-la dès que vous vous en apercevez. Toutefois s’il est presque temps de prendre la dose suivante, passez la dose oubliée.</w:t>
      </w:r>
    </w:p>
    <w:p w14:paraId="26848D83" w14:textId="77777777" w:rsidR="007D642D" w:rsidRPr="00961E0F" w:rsidRDefault="007D642D">
      <w:pPr>
        <w:widowControl w:val="0"/>
        <w:numPr>
          <w:ilvl w:val="0"/>
          <w:numId w:val="30"/>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t>Continuez votre traitement selon la posologie habituelle.</w:t>
      </w:r>
    </w:p>
    <w:p w14:paraId="46359D0D" w14:textId="77777777" w:rsidR="007D642D" w:rsidRPr="00961E0F" w:rsidRDefault="007D642D">
      <w:pPr>
        <w:widowControl w:val="0"/>
        <w:numPr>
          <w:ilvl w:val="0"/>
          <w:numId w:val="30"/>
        </w:numPr>
        <w:tabs>
          <w:tab w:val="clear" w:pos="720"/>
        </w:tabs>
        <w:suppressAutoHyphens/>
        <w:ind w:left="567" w:hanging="567"/>
        <w:rPr>
          <w:rFonts w:ascii="Times New Roman" w:hAnsi="Times New Roman"/>
          <w:color w:val="000000"/>
          <w:szCs w:val="22"/>
        </w:rPr>
      </w:pPr>
      <w:r w:rsidRPr="00961E0F">
        <w:rPr>
          <w:rFonts w:ascii="Times New Roman" w:hAnsi="Times New Roman"/>
          <w:color w:val="000000"/>
          <w:szCs w:val="22"/>
        </w:rPr>
        <w:t>Ne prenez pas de dose double pour compenser la dose que vous avez oubliée de prendre.</w:t>
      </w:r>
    </w:p>
    <w:p w14:paraId="11D6D9FC" w14:textId="77777777" w:rsidR="007D642D" w:rsidRPr="00961E0F" w:rsidRDefault="007D642D">
      <w:pPr>
        <w:widowControl w:val="0"/>
        <w:suppressAutoHyphens/>
        <w:rPr>
          <w:rFonts w:ascii="Times New Roman" w:hAnsi="Times New Roman"/>
          <w:color w:val="000000"/>
          <w:szCs w:val="22"/>
        </w:rPr>
      </w:pPr>
    </w:p>
    <w:p w14:paraId="7A755F5A" w14:textId="77777777" w:rsidR="007D642D" w:rsidRPr="00961E0F" w:rsidRDefault="007D642D">
      <w:pPr>
        <w:widowControl w:val="0"/>
        <w:suppressAutoHyphens/>
        <w:rPr>
          <w:rFonts w:ascii="Times New Roman" w:hAnsi="Times New Roman"/>
          <w:color w:val="000000"/>
          <w:szCs w:val="22"/>
        </w:rPr>
      </w:pPr>
      <w:r w:rsidRPr="00961E0F">
        <w:rPr>
          <w:rFonts w:ascii="Times New Roman" w:hAnsi="Times New Roman"/>
          <w:color w:val="000000"/>
          <w:szCs w:val="22"/>
        </w:rPr>
        <w:t>Si vous avez d’autres questions sur l’utilisation de ce médicament, demandez plus d’informations à votre médecin, à votre pharmacien ou à votre infirmier/ère.</w:t>
      </w:r>
    </w:p>
    <w:p w14:paraId="03D7F27D" w14:textId="77777777" w:rsidR="007D642D" w:rsidRPr="00961E0F" w:rsidRDefault="007D642D">
      <w:pPr>
        <w:widowControl w:val="0"/>
        <w:suppressAutoHyphens/>
        <w:rPr>
          <w:rFonts w:ascii="Times New Roman" w:hAnsi="Times New Roman"/>
          <w:color w:val="000000"/>
          <w:szCs w:val="22"/>
        </w:rPr>
      </w:pPr>
    </w:p>
    <w:p w14:paraId="0E7E6361" w14:textId="77777777" w:rsidR="007D642D" w:rsidRPr="00961E0F" w:rsidRDefault="007D642D">
      <w:pPr>
        <w:widowControl w:val="0"/>
        <w:suppressAutoHyphens/>
        <w:rPr>
          <w:rFonts w:ascii="Times New Roman" w:hAnsi="Times New Roman"/>
          <w:color w:val="000000"/>
          <w:szCs w:val="22"/>
        </w:rPr>
      </w:pPr>
    </w:p>
    <w:p w14:paraId="21B73C09" w14:textId="77777777" w:rsidR="00EF4CB3" w:rsidRPr="00961E0F" w:rsidRDefault="00EF4CB3" w:rsidP="00527B2A">
      <w:pPr>
        <w:keepNext/>
        <w:widowControl w:val="0"/>
        <w:suppressAutoHyphens/>
        <w:ind w:left="567" w:hanging="567"/>
        <w:rPr>
          <w:rFonts w:ascii="Times New Roman" w:hAnsi="Times New Roman"/>
          <w:color w:val="000000"/>
          <w:szCs w:val="22"/>
        </w:rPr>
      </w:pPr>
      <w:r w:rsidRPr="00961E0F">
        <w:rPr>
          <w:rFonts w:ascii="Times New Roman" w:hAnsi="Times New Roman"/>
          <w:b/>
          <w:color w:val="000000"/>
          <w:szCs w:val="22"/>
        </w:rPr>
        <w:t>4.</w:t>
      </w:r>
      <w:r w:rsidRPr="00961E0F">
        <w:rPr>
          <w:rFonts w:ascii="Times New Roman" w:hAnsi="Times New Roman"/>
          <w:b/>
          <w:color w:val="000000"/>
          <w:szCs w:val="22"/>
        </w:rPr>
        <w:tab/>
        <w:t>Quels sont les effets indésirables éventuels</w:t>
      </w:r>
      <w:r w:rsidR="006365F2" w:rsidRPr="00961E0F">
        <w:rPr>
          <w:rFonts w:ascii="Times New Roman" w:hAnsi="Times New Roman"/>
          <w:b/>
          <w:color w:val="000000"/>
          <w:szCs w:val="22"/>
        </w:rPr>
        <w:t> ?</w:t>
      </w:r>
    </w:p>
    <w:p w14:paraId="0D86D6CD" w14:textId="77777777" w:rsidR="00EF4CB3" w:rsidRPr="00961E0F" w:rsidRDefault="00EF4CB3" w:rsidP="00527B2A">
      <w:pPr>
        <w:pStyle w:val="BodyText2"/>
        <w:keepNext/>
        <w:widowControl w:val="0"/>
        <w:rPr>
          <w:color w:val="000000"/>
          <w:szCs w:val="22"/>
        </w:rPr>
      </w:pPr>
    </w:p>
    <w:p w14:paraId="08EB2C6D" w14:textId="77777777" w:rsidR="00EF4CB3" w:rsidRPr="00961E0F" w:rsidRDefault="00EF4CB3" w:rsidP="00527B2A">
      <w:pPr>
        <w:pStyle w:val="BodyText2"/>
        <w:keepNext/>
        <w:widowControl w:val="0"/>
        <w:ind w:left="0" w:firstLine="0"/>
        <w:rPr>
          <w:color w:val="000000"/>
          <w:szCs w:val="22"/>
        </w:rPr>
      </w:pPr>
      <w:r w:rsidRPr="00961E0F">
        <w:rPr>
          <w:color w:val="000000"/>
          <w:szCs w:val="22"/>
        </w:rPr>
        <w:t>Comme tous les médicaments, ce médicament peut provoquer des effets indésirables, mais ils ne surviennent pas systématiquement chez tout le monde. Ils sont habituellement légers à modérés.</w:t>
      </w:r>
    </w:p>
    <w:p w14:paraId="4113FCAF" w14:textId="77777777" w:rsidR="00EF4CB3" w:rsidRPr="00961E0F" w:rsidRDefault="00EF4CB3" w:rsidP="00527B2A">
      <w:pPr>
        <w:keepNext/>
        <w:widowControl w:val="0"/>
        <w:autoSpaceDE w:val="0"/>
        <w:autoSpaceDN w:val="0"/>
        <w:adjustRightInd w:val="0"/>
        <w:rPr>
          <w:rFonts w:ascii="Times New Roman" w:hAnsi="Times New Roman"/>
          <w:color w:val="000000"/>
          <w:szCs w:val="22"/>
          <w:lang w:bidi="x-none"/>
        </w:rPr>
      </w:pPr>
    </w:p>
    <w:p w14:paraId="36D18A0F" w14:textId="77777777" w:rsidR="00EF4CB3" w:rsidRPr="00961E0F" w:rsidRDefault="00EF4CB3" w:rsidP="00527B2A">
      <w:pPr>
        <w:keepNext/>
        <w:widowControl w:val="0"/>
        <w:autoSpaceDE w:val="0"/>
        <w:autoSpaceDN w:val="0"/>
        <w:adjustRightInd w:val="0"/>
        <w:rPr>
          <w:rFonts w:ascii="Times New Roman" w:hAnsi="Times New Roman"/>
          <w:color w:val="000000"/>
          <w:szCs w:val="22"/>
          <w:lang w:bidi="x-none"/>
        </w:rPr>
      </w:pPr>
      <w:r w:rsidRPr="00961E0F">
        <w:rPr>
          <w:rFonts w:ascii="Times New Roman" w:hAnsi="Times New Roman"/>
          <w:b/>
          <w:color w:val="000000"/>
          <w:szCs w:val="22"/>
          <w:lang w:bidi="x-none"/>
        </w:rPr>
        <w:t>Certains effets peuvent être graves. Prévenez immédiatement votre médecin si vous présentez l’un des effets suivants :</w:t>
      </w:r>
    </w:p>
    <w:p w14:paraId="1FAA3C0A" w14:textId="77777777" w:rsidR="00EF4CB3" w:rsidRPr="00961E0F" w:rsidRDefault="00EF4CB3" w:rsidP="00527B2A">
      <w:pPr>
        <w:pStyle w:val="BodyText3"/>
        <w:keepNext/>
        <w:widowControl w:val="0"/>
        <w:rPr>
          <w:b w:val="0"/>
          <w:bCs/>
          <w:color w:val="000000"/>
          <w:szCs w:val="22"/>
        </w:rPr>
      </w:pPr>
    </w:p>
    <w:p w14:paraId="60CE1642" w14:textId="77777777" w:rsidR="00EF4CB3" w:rsidRPr="00961E0F" w:rsidRDefault="00EF4CB3" w:rsidP="00527B2A">
      <w:pPr>
        <w:pStyle w:val="BodyText3"/>
        <w:keepNext/>
        <w:widowControl w:val="0"/>
        <w:rPr>
          <w:b w:val="0"/>
          <w:color w:val="000000"/>
          <w:szCs w:val="22"/>
        </w:rPr>
      </w:pPr>
      <w:r w:rsidRPr="00961E0F">
        <w:rPr>
          <w:color w:val="000000"/>
          <w:szCs w:val="22"/>
        </w:rPr>
        <w:t xml:space="preserve">Très fréquents </w:t>
      </w:r>
      <w:r w:rsidRPr="00961E0F">
        <w:rPr>
          <w:b w:val="0"/>
          <w:color w:val="000000"/>
          <w:szCs w:val="22"/>
        </w:rPr>
        <w:t>(pouvant affecter plus d’1 personne sur 10)</w:t>
      </w:r>
      <w:r w:rsidRPr="00961E0F">
        <w:rPr>
          <w:szCs w:val="22"/>
        </w:rPr>
        <w:t xml:space="preserve"> </w:t>
      </w:r>
      <w:r w:rsidRPr="00961E0F">
        <w:rPr>
          <w:color w:val="000000"/>
          <w:szCs w:val="22"/>
        </w:rPr>
        <w:t xml:space="preserve">ou fréquents </w:t>
      </w:r>
      <w:r w:rsidRPr="00961E0F">
        <w:rPr>
          <w:b w:val="0"/>
          <w:color w:val="000000"/>
          <w:szCs w:val="22"/>
        </w:rPr>
        <w:t>(pouvant affecter jusqu’à 1 personne sur 10) :</w:t>
      </w:r>
    </w:p>
    <w:p w14:paraId="5D38DEE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Prise rapide de poids</w:t>
      </w:r>
      <w:r w:rsidRPr="00961E0F">
        <w:rPr>
          <w:rFonts w:ascii="Times New Roman" w:hAnsi="Times New Roman"/>
          <w:b/>
          <w:color w:val="000000"/>
          <w:szCs w:val="22"/>
        </w:rPr>
        <w:t>.</w:t>
      </w:r>
      <w:r w:rsidRPr="00961E0F">
        <w:rPr>
          <w:rFonts w:ascii="Times New Roman" w:hAnsi="Times New Roman"/>
          <w:color w:val="000000"/>
          <w:szCs w:val="22"/>
        </w:rPr>
        <w:t xml:space="preserve"> Glivec peut faire que votre corps va retenir plus d’eau (rétention hydrique sévère).</w:t>
      </w:r>
    </w:p>
    <w:p w14:paraId="69CB5612"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Signes d’infection tels que fièvre, frissons intenses, maux de gorge ou ulcérations de la bouche. Glivec peut réduire le nombre de globules blancs sanguins, aussi vous pouvez être plus sensible aux infections.</w:t>
      </w:r>
    </w:p>
    <w:p w14:paraId="38B1E5CD"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Saignements ou bleus sans raison évidente (lorsque vous ne vous êtes pas fait mal vous-même).</w:t>
      </w:r>
    </w:p>
    <w:p w14:paraId="1BC9CD94" w14:textId="77777777" w:rsidR="00EF4CB3" w:rsidRPr="00961E0F" w:rsidRDefault="00EF4CB3" w:rsidP="00EF4CB3">
      <w:pPr>
        <w:widowControl w:val="0"/>
        <w:suppressAutoHyphens/>
        <w:rPr>
          <w:rFonts w:ascii="Times New Roman" w:hAnsi="Times New Roman"/>
          <w:color w:val="000000"/>
          <w:szCs w:val="22"/>
        </w:rPr>
      </w:pPr>
    </w:p>
    <w:p w14:paraId="27E07405" w14:textId="77777777" w:rsidR="00EF4CB3" w:rsidRPr="00961E0F" w:rsidRDefault="00EF4CB3" w:rsidP="00527B2A">
      <w:pPr>
        <w:pStyle w:val="BodyText3"/>
        <w:keepNext/>
        <w:widowControl w:val="0"/>
        <w:rPr>
          <w:b w:val="0"/>
          <w:color w:val="000000"/>
          <w:szCs w:val="22"/>
        </w:rPr>
      </w:pPr>
      <w:r w:rsidRPr="00961E0F">
        <w:rPr>
          <w:color w:val="000000"/>
          <w:szCs w:val="22"/>
        </w:rPr>
        <w:t xml:space="preserve">Peu fréquents </w:t>
      </w:r>
      <w:r w:rsidRPr="00961E0F">
        <w:rPr>
          <w:b w:val="0"/>
          <w:color w:val="000000"/>
          <w:szCs w:val="22"/>
        </w:rPr>
        <w:t xml:space="preserve">(pouvant affecter jusqu’à 1 personne sur 100) </w:t>
      </w:r>
      <w:r w:rsidRPr="00961E0F">
        <w:rPr>
          <w:color w:val="000000"/>
          <w:szCs w:val="22"/>
        </w:rPr>
        <w:t xml:space="preserve">ou rares </w:t>
      </w:r>
      <w:r w:rsidRPr="00961E0F">
        <w:rPr>
          <w:b w:val="0"/>
          <w:color w:val="000000"/>
          <w:szCs w:val="22"/>
        </w:rPr>
        <w:t>(pouvant affecter jusqu’à 1 personne sur 1000) :</w:t>
      </w:r>
    </w:p>
    <w:p w14:paraId="68CFA1B4"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 thoracique ou troubles irréguliers du rythme cardiaque (signes de problèmes cardiaques).</w:t>
      </w:r>
    </w:p>
    <w:p w14:paraId="007B77F2"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Toux, difficultés ou douleurs respiratoires (signes de problèmes pulmonaires).</w:t>
      </w:r>
    </w:p>
    <w:p w14:paraId="1BB5349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Sensations d’étourdissements, sensations vertigineuses ou un évanouissement (signes d’une baisse de la pression artérielle).</w:t>
      </w:r>
    </w:p>
    <w:p w14:paraId="11AE544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(nausées) avec perte de l’appétit, coloration foncée des urines, jaunissement des yeux (signes de problémes hépatiques).</w:t>
      </w:r>
    </w:p>
    <w:p w14:paraId="67E2FBB8"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Eruption, rougissement de la peau avec des cloques sur la peau, les lèvres, la bouche ou les yeux, la peau qui pèle, fièvre, survenue de taches rouges ou pourpres, démangeaisons, sensations de brûlures, éruption pustuleuse (signes de problèmes cutanés).</w:t>
      </w:r>
    </w:p>
    <w:p w14:paraId="09DFA996"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 abdominale sévère, sang dans les vomissements, les selles ou les urines, ou selles noires (signes de problèmes gastro-intestinaux).</w:t>
      </w:r>
    </w:p>
    <w:p w14:paraId="6479924B"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Réduction importante du volume urinaire, sensations de soif (signes de problèmes rénaux).</w:t>
      </w:r>
    </w:p>
    <w:p w14:paraId="26EE26EE"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 avec diarrhée et vomissements, douleurs abdominales ou fièvre (signes de problèmes intestinaux).</w:t>
      </w:r>
    </w:p>
    <w:p w14:paraId="19585094"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Maux de tête sévères, faiblesse ou paralysie des membres ou de la face, difficultés pour parler, perte de conscience soudaine (signes de problèmes du système nerveux tels qu’un saignement ou un gonflement au niveau du crâne ou du cerveau).</w:t>
      </w:r>
    </w:p>
    <w:p w14:paraId="6C18089E"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Pâleur, sensation de fatigue, essoufflements, urines foncées (signes de faibles taux des cellules rouges du sang).</w:t>
      </w:r>
    </w:p>
    <w:p w14:paraId="710F80D8"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lastRenderedPageBreak/>
        <w:t>Douleur au niveau des yeux ou détérioration de la vue, saignement dans les yeux.</w:t>
      </w:r>
    </w:p>
    <w:p w14:paraId="7ACECA96"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Douleurs aux hanches, difficultés à marcher.</w:t>
      </w:r>
    </w:p>
    <w:p w14:paraId="6A3EE0E3"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Doigts des pieds et des mains froids ou engourdis (signes du syndrome de Raynaud).</w:t>
      </w:r>
    </w:p>
    <w:p w14:paraId="0946632C"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Gonflement soudain et rougeur de la peau (signes d’une infection de la peau appelée cellulite).</w:t>
      </w:r>
    </w:p>
    <w:p w14:paraId="6C574861"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Difficulté à entendre.</w:t>
      </w:r>
    </w:p>
    <w:p w14:paraId="6B809052" w14:textId="77777777" w:rsidR="00EF4CB3" w:rsidRPr="00961E0F" w:rsidRDefault="00EF4CB3" w:rsidP="00527B2A">
      <w:pPr>
        <w:keepLines/>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Faiblesse musculaire et spasmes musculaires avec un rythme cardiaque irrégulier (signes d’une variation de la quantité de potassium dans le sang).</w:t>
      </w:r>
    </w:p>
    <w:p w14:paraId="3E2D86F6"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Contusion (bleus).</w:t>
      </w:r>
    </w:p>
    <w:p w14:paraId="739F57DE"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Douleurs d’estomac, avec mal au cœur (nausée).</w:t>
      </w:r>
    </w:p>
    <w:p w14:paraId="42FACAF2"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Crampes musculaires avec fièvre, urines rouge-brun, douleur ou faiblesse de vos muscles (signes de problèmes musculaires).</w:t>
      </w:r>
    </w:p>
    <w:p w14:paraId="2A4883F3"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Douleurs pelviennes quelquefois accompagnées de nausées et de vomissements, avec des saignements vaginaux inattendus, des sensations de vertiges ou d’évanouissement en raison d’une pression artérielle basse (signes de problèmes des ovaires ou de l’utérus).</w:t>
      </w:r>
    </w:p>
    <w:p w14:paraId="3AFAD98B" w14:textId="77777777" w:rsidR="00EF4CB3" w:rsidRPr="00961E0F" w:rsidRDefault="00EF4CB3"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Nausées, essouflement, pouls irrégulier, urine trouble, fatigue et/ou douleurs articulaires associées à des anomalies des résultats des tests de laboratoire (par exemple: hyperkaliémie, hyperurémie, </w:t>
      </w:r>
      <w:r w:rsidR="00727164" w:rsidRPr="00961E0F">
        <w:rPr>
          <w:rFonts w:ascii="Times New Roman" w:hAnsi="Times New Roman"/>
          <w:color w:val="000000"/>
          <w:szCs w:val="22"/>
        </w:rPr>
        <w:t xml:space="preserve">hypercalcémie </w:t>
      </w:r>
      <w:r w:rsidRPr="00961E0F">
        <w:rPr>
          <w:rFonts w:ascii="Times New Roman" w:hAnsi="Times New Roman"/>
          <w:color w:val="000000"/>
          <w:szCs w:val="22"/>
        </w:rPr>
        <w:t xml:space="preserve">et </w:t>
      </w:r>
      <w:r w:rsidR="00727164" w:rsidRPr="00961E0F">
        <w:rPr>
          <w:rFonts w:ascii="Times New Roman" w:hAnsi="Times New Roman"/>
          <w:color w:val="000000"/>
          <w:szCs w:val="22"/>
        </w:rPr>
        <w:t>hypophosphorémie</w:t>
      </w:r>
      <w:r w:rsidRPr="00961E0F">
        <w:rPr>
          <w:rFonts w:ascii="Times New Roman" w:hAnsi="Times New Roman"/>
          <w:color w:val="000000"/>
          <w:szCs w:val="22"/>
        </w:rPr>
        <w:t>).</w:t>
      </w:r>
    </w:p>
    <w:p w14:paraId="44788249" w14:textId="77777777" w:rsidR="00114267" w:rsidRPr="00961E0F" w:rsidRDefault="00114267" w:rsidP="00EF4CB3">
      <w:pPr>
        <w:widowControl w:val="0"/>
        <w:numPr>
          <w:ilvl w:val="0"/>
          <w:numId w:val="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Caillots de sang dans les petits vaisseaux sanguins (microangiopathie thrombotique).</w:t>
      </w:r>
    </w:p>
    <w:p w14:paraId="5E2B0DB9" w14:textId="77777777" w:rsidR="00024AAF" w:rsidRPr="00961E0F" w:rsidRDefault="00024AAF" w:rsidP="00EF4CB3">
      <w:pPr>
        <w:widowControl w:val="0"/>
        <w:suppressAutoHyphens/>
        <w:rPr>
          <w:rFonts w:ascii="Times New Roman" w:hAnsi="Times New Roman"/>
          <w:color w:val="000000"/>
          <w:szCs w:val="22"/>
        </w:rPr>
      </w:pPr>
    </w:p>
    <w:p w14:paraId="34BA5EEE" w14:textId="77777777" w:rsidR="00024AAF" w:rsidRPr="00961E0F" w:rsidRDefault="00024AAF" w:rsidP="00527B2A">
      <w:pPr>
        <w:keepNext/>
        <w:widowControl w:val="0"/>
        <w:suppressAutoHyphens/>
        <w:rPr>
          <w:rFonts w:ascii="Times New Roman" w:hAnsi="Times New Roman"/>
          <w:color w:val="000000"/>
          <w:szCs w:val="22"/>
        </w:rPr>
      </w:pPr>
      <w:r w:rsidRPr="00961E0F">
        <w:rPr>
          <w:rFonts w:ascii="Times New Roman" w:hAnsi="Times New Roman"/>
          <w:b/>
          <w:color w:val="000000"/>
          <w:szCs w:val="22"/>
        </w:rPr>
        <w:t>Indéterminée </w:t>
      </w:r>
      <w:r w:rsidR="00727164" w:rsidRPr="00961E0F">
        <w:rPr>
          <w:rFonts w:ascii="Times New Roman" w:hAnsi="Times New Roman"/>
          <w:color w:val="000000"/>
          <w:szCs w:val="22"/>
        </w:rPr>
        <w:t>(la fréquence ne peut être estimée sur la base des données disponibles)</w:t>
      </w:r>
      <w:r w:rsidR="0041068A" w:rsidRPr="00961E0F">
        <w:rPr>
          <w:rFonts w:ascii="Times New Roman" w:hAnsi="Times New Roman"/>
          <w:color w:val="000000"/>
          <w:szCs w:val="22"/>
        </w:rPr>
        <w:t> </w:t>
      </w:r>
      <w:r w:rsidRPr="00961E0F">
        <w:rPr>
          <w:rFonts w:ascii="Times New Roman" w:hAnsi="Times New Roman"/>
          <w:color w:val="000000"/>
          <w:szCs w:val="22"/>
        </w:rPr>
        <w:t>:</w:t>
      </w:r>
    </w:p>
    <w:p w14:paraId="6CD89970" w14:textId="77777777" w:rsidR="00024AAF" w:rsidRPr="00961E0F" w:rsidRDefault="0093616B" w:rsidP="0000102A">
      <w:pPr>
        <w:widowControl w:val="0"/>
        <w:numPr>
          <w:ilvl w:val="0"/>
          <w:numId w:val="36"/>
        </w:numPr>
        <w:suppressAutoHyphens/>
        <w:ind w:left="567" w:hanging="567"/>
        <w:rPr>
          <w:rFonts w:ascii="Times New Roman" w:hAnsi="Times New Roman"/>
          <w:color w:val="000000"/>
          <w:szCs w:val="22"/>
        </w:rPr>
      </w:pPr>
      <w:r w:rsidRPr="00961E0F">
        <w:rPr>
          <w:rFonts w:ascii="Times New Roman" w:hAnsi="Times New Roman"/>
          <w:color w:val="000000"/>
          <w:szCs w:val="22"/>
        </w:rPr>
        <w:t>Association</w:t>
      </w:r>
      <w:r w:rsidR="00024AAF" w:rsidRPr="00961E0F">
        <w:rPr>
          <w:rFonts w:ascii="Times New Roman" w:hAnsi="Times New Roman"/>
          <w:color w:val="000000"/>
          <w:szCs w:val="22"/>
        </w:rPr>
        <w:t xml:space="preserve"> d’une éruption cutanée sévère et généralisée, de nausées, de fièvre, d’un taux élevé de certains globules blancs</w:t>
      </w:r>
      <w:r w:rsidRPr="00961E0F">
        <w:rPr>
          <w:rFonts w:ascii="Times New Roman" w:hAnsi="Times New Roman"/>
          <w:color w:val="000000"/>
          <w:szCs w:val="22"/>
        </w:rPr>
        <w:t xml:space="preserve"> dans le sang (éosinophiles)</w:t>
      </w:r>
      <w:r w:rsidR="00024AAF" w:rsidRPr="00961E0F">
        <w:rPr>
          <w:rFonts w:ascii="Times New Roman" w:hAnsi="Times New Roman"/>
          <w:color w:val="000000"/>
          <w:szCs w:val="22"/>
        </w:rPr>
        <w:t xml:space="preserve"> ou d’une coloration jaune de la peau ou des yeux (signes d’une jaunisse) avec essouflement, douleur ou gêne dans la poitrine, diminution importante du débit urinaire et sensation de soif, etc (signes d’une réaction allergique liée au traitement</w:t>
      </w:r>
      <w:r w:rsidRPr="00961E0F">
        <w:rPr>
          <w:rFonts w:ascii="Times New Roman" w:hAnsi="Times New Roman"/>
          <w:color w:val="000000"/>
          <w:szCs w:val="22"/>
        </w:rPr>
        <w:t>: syndrome DRESS</w:t>
      </w:r>
      <w:r w:rsidR="00024AAF" w:rsidRPr="00961E0F">
        <w:rPr>
          <w:rFonts w:ascii="Times New Roman" w:hAnsi="Times New Roman"/>
          <w:color w:val="000000"/>
          <w:szCs w:val="22"/>
        </w:rPr>
        <w:t>).</w:t>
      </w:r>
    </w:p>
    <w:p w14:paraId="4C835ABE" w14:textId="77777777" w:rsidR="009C051F" w:rsidRPr="00961E0F" w:rsidRDefault="009C051F" w:rsidP="0000102A">
      <w:pPr>
        <w:widowControl w:val="0"/>
        <w:numPr>
          <w:ilvl w:val="0"/>
          <w:numId w:val="36"/>
        </w:numPr>
        <w:suppressAutoHyphens/>
        <w:ind w:left="567" w:hanging="567"/>
        <w:rPr>
          <w:rFonts w:ascii="Times New Roman" w:hAnsi="Times New Roman"/>
          <w:color w:val="000000"/>
          <w:szCs w:val="22"/>
        </w:rPr>
      </w:pPr>
      <w:r w:rsidRPr="00961E0F">
        <w:rPr>
          <w:rFonts w:ascii="Times New Roman" w:hAnsi="Times New Roman"/>
          <w:color w:val="000000"/>
          <w:szCs w:val="22"/>
        </w:rPr>
        <w:t>Insuffisance rénale chronique</w:t>
      </w:r>
      <w:r w:rsidR="00B56C05" w:rsidRPr="00961E0F">
        <w:rPr>
          <w:rFonts w:ascii="Times New Roman" w:hAnsi="Times New Roman"/>
          <w:color w:val="000000"/>
          <w:szCs w:val="22"/>
        </w:rPr>
        <w:t>.</w:t>
      </w:r>
    </w:p>
    <w:p w14:paraId="663D0B01" w14:textId="77777777" w:rsidR="008914A0" w:rsidRPr="00961E0F" w:rsidRDefault="008914A0" w:rsidP="0043622D">
      <w:pPr>
        <w:numPr>
          <w:ilvl w:val="0"/>
          <w:numId w:val="36"/>
        </w:numPr>
        <w:spacing w:line="260" w:lineRule="exact"/>
        <w:ind w:left="567" w:hanging="567"/>
        <w:rPr>
          <w:rFonts w:ascii="Times New Roman" w:hAnsi="Times New Roman"/>
          <w:szCs w:val="22"/>
        </w:rPr>
      </w:pPr>
      <w:r w:rsidRPr="00961E0F">
        <w:rPr>
          <w:rFonts w:ascii="Times New Roman" w:hAnsi="Times New Roman"/>
        </w:rPr>
        <w:t>Réapparition (réactivation) de l’hépatite B si vous avez déjà eu une hépatite B dans le passé (infection hépatique).</w:t>
      </w:r>
    </w:p>
    <w:p w14:paraId="4EDC195A" w14:textId="77777777" w:rsidR="00024AAF" w:rsidRPr="00961E0F" w:rsidRDefault="00024AAF" w:rsidP="00EF4CB3">
      <w:pPr>
        <w:widowControl w:val="0"/>
        <w:suppressAutoHyphens/>
        <w:rPr>
          <w:rFonts w:ascii="Times New Roman" w:hAnsi="Times New Roman"/>
          <w:color w:val="000000"/>
          <w:szCs w:val="22"/>
        </w:rPr>
      </w:pPr>
    </w:p>
    <w:p w14:paraId="6CC5726D" w14:textId="77777777" w:rsidR="00EF4CB3" w:rsidRPr="00961E0F" w:rsidRDefault="00EF4CB3" w:rsidP="00EF4CB3">
      <w:pPr>
        <w:widowControl w:val="0"/>
        <w:suppressAutoHyphens/>
        <w:rPr>
          <w:rFonts w:ascii="Times New Roman" w:hAnsi="Times New Roman"/>
          <w:b/>
          <w:color w:val="000000"/>
          <w:szCs w:val="22"/>
        </w:rPr>
      </w:pPr>
      <w:r w:rsidRPr="00961E0F">
        <w:rPr>
          <w:rFonts w:ascii="Times New Roman" w:hAnsi="Times New Roman"/>
          <w:color w:val="000000"/>
          <w:szCs w:val="22"/>
        </w:rPr>
        <w:t xml:space="preserve">Si vous présentez l’un des effets decrits ci-dessus, </w:t>
      </w:r>
      <w:r w:rsidRPr="00961E0F">
        <w:rPr>
          <w:rFonts w:ascii="Times New Roman" w:hAnsi="Times New Roman"/>
          <w:b/>
          <w:color w:val="000000"/>
          <w:szCs w:val="22"/>
        </w:rPr>
        <w:t>parlez-en immédiatement à votre médecin.</w:t>
      </w:r>
    </w:p>
    <w:p w14:paraId="6DC3AC8A" w14:textId="77777777" w:rsidR="00EF4CB3" w:rsidRPr="00961E0F" w:rsidRDefault="00EF4CB3" w:rsidP="00EF4CB3">
      <w:pPr>
        <w:widowControl w:val="0"/>
        <w:suppressAutoHyphens/>
        <w:rPr>
          <w:rFonts w:ascii="Times New Roman" w:hAnsi="Times New Roman"/>
          <w:bCs/>
          <w:color w:val="000000"/>
          <w:szCs w:val="22"/>
        </w:rPr>
      </w:pPr>
    </w:p>
    <w:p w14:paraId="06BF2E89" w14:textId="77777777" w:rsidR="00EF4CB3" w:rsidRPr="00961E0F" w:rsidRDefault="00EF4CB3"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D’autres effets indésirables peuvent comprendre :</w:t>
      </w:r>
    </w:p>
    <w:p w14:paraId="6F68EFBE" w14:textId="77777777" w:rsidR="00EF4CB3" w:rsidRPr="00961E0F" w:rsidRDefault="00EF4CB3" w:rsidP="00527B2A">
      <w:pPr>
        <w:keepNext/>
        <w:widowControl w:val="0"/>
        <w:suppressAutoHyphens/>
        <w:rPr>
          <w:rFonts w:ascii="Times New Roman" w:hAnsi="Times New Roman"/>
          <w:bCs/>
          <w:color w:val="000000"/>
          <w:szCs w:val="22"/>
        </w:rPr>
      </w:pPr>
    </w:p>
    <w:p w14:paraId="27C25226" w14:textId="77777777" w:rsidR="00EF4CB3" w:rsidRPr="00961E0F" w:rsidRDefault="00EF4CB3" w:rsidP="00527B2A">
      <w:pPr>
        <w:keepNext/>
        <w:widowControl w:val="0"/>
        <w:suppressAutoHyphens/>
        <w:rPr>
          <w:rFonts w:ascii="Times New Roman" w:hAnsi="Times New Roman"/>
          <w:i/>
          <w:color w:val="000000"/>
          <w:szCs w:val="22"/>
        </w:rPr>
      </w:pPr>
      <w:r w:rsidRPr="00961E0F">
        <w:rPr>
          <w:rFonts w:ascii="Times New Roman" w:hAnsi="Times New Roman"/>
          <w:b/>
          <w:color w:val="000000"/>
          <w:szCs w:val="22"/>
        </w:rPr>
        <w:t>Très fréquents</w:t>
      </w:r>
      <w:r w:rsidRPr="00961E0F">
        <w:rPr>
          <w:rFonts w:ascii="Times New Roman" w:hAnsi="Times New Roman"/>
          <w:color w:val="000000"/>
          <w:szCs w:val="22"/>
        </w:rPr>
        <w:t xml:space="preserve"> (pouvant affecter plus d’1 personne sur 10) :</w:t>
      </w:r>
    </w:p>
    <w:p w14:paraId="64D634AC" w14:textId="77777777" w:rsidR="00EF4CB3" w:rsidRPr="00961E0F" w:rsidRDefault="00EF4CB3" w:rsidP="00EF4CB3">
      <w:pPr>
        <w:widowControl w:val="0"/>
        <w:numPr>
          <w:ilvl w:val="0"/>
          <w:numId w:val="26"/>
        </w:numPr>
        <w:tabs>
          <w:tab w:val="clear" w:pos="360"/>
        </w:tabs>
        <w:suppressAutoHyphens/>
        <w:ind w:left="567" w:hanging="567"/>
        <w:rPr>
          <w:rFonts w:ascii="Times New Roman" w:hAnsi="Times New Roman"/>
          <w:color w:val="000000"/>
          <w:szCs w:val="22"/>
        </w:rPr>
      </w:pPr>
      <w:r w:rsidRPr="00961E0F">
        <w:rPr>
          <w:rFonts w:ascii="Times New Roman" w:hAnsi="Times New Roman"/>
          <w:color w:val="000000"/>
          <w:szCs w:val="22"/>
        </w:rPr>
        <w:t>Maux de tête ou sensation de fatigue.</w:t>
      </w:r>
    </w:p>
    <w:p w14:paraId="08AFA585"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Mal au cœur (nausées), envie de vomir (vomissements), diarrhée ou indigestion.</w:t>
      </w:r>
    </w:p>
    <w:p w14:paraId="556D9C88"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Eruption.</w:t>
      </w:r>
    </w:p>
    <w:p w14:paraId="691AF69A"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Crampes musculaires ou articulaires, douleurs osseuses ou musculaires</w:t>
      </w:r>
      <w:r w:rsidR="002D19F2" w:rsidRPr="00961E0F">
        <w:rPr>
          <w:rFonts w:ascii="Times New Roman" w:hAnsi="Times New Roman"/>
          <w:color w:val="000000"/>
          <w:szCs w:val="22"/>
        </w:rPr>
        <w:t>,</w:t>
      </w:r>
      <w:r w:rsidR="00DC7916" w:rsidRPr="00961E0F">
        <w:rPr>
          <w:rFonts w:ascii="Times New Roman" w:hAnsi="Times New Roman"/>
          <w:color w:val="000000"/>
          <w:szCs w:val="22"/>
        </w:rPr>
        <w:t xml:space="preserve"> pendant le traitement par Glivec ou après l’arrêt du traitement.</w:t>
      </w:r>
    </w:p>
    <w:p w14:paraId="4A73730C" w14:textId="77777777" w:rsidR="00EF4CB3" w:rsidRPr="00961E0F" w:rsidRDefault="00EF4CB3" w:rsidP="00EF4CB3">
      <w:pPr>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Œdèmes tels que gonflement des chevilles ou gonflement des yeux.</w:t>
      </w:r>
    </w:p>
    <w:p w14:paraId="4A116BED" w14:textId="77777777" w:rsidR="00EF4CB3" w:rsidRPr="00961E0F" w:rsidRDefault="00EF4CB3" w:rsidP="00527B2A">
      <w:pPr>
        <w:keepNext/>
        <w:widowControl w:val="0"/>
        <w:numPr>
          <w:ilvl w:val="0"/>
          <w:numId w:val="23"/>
        </w:numPr>
        <w:tabs>
          <w:tab w:val="clear" w:pos="360"/>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Prise de poids.</w:t>
      </w:r>
    </w:p>
    <w:p w14:paraId="19663167" w14:textId="77777777" w:rsidR="00EF4CB3" w:rsidRPr="00961E0F" w:rsidRDefault="00EF4CB3" w:rsidP="00EF4CB3">
      <w:pPr>
        <w:widowControl w:val="0"/>
        <w:suppressAutoHyphens/>
        <w:rPr>
          <w:rFonts w:ascii="Times New Roman" w:hAnsi="Times New Roman"/>
          <w:color w:val="000000"/>
          <w:szCs w:val="22"/>
        </w:rPr>
      </w:pPr>
      <w:r w:rsidRPr="00961E0F">
        <w:rPr>
          <w:rFonts w:ascii="Times New Roman" w:hAnsi="Times New Roman"/>
          <w:color w:val="000000"/>
          <w:szCs w:val="22"/>
        </w:rPr>
        <w:t xml:space="preserve">Si l’un de ces effets vous affecte sévèrement, </w:t>
      </w:r>
      <w:r w:rsidRPr="00961E0F">
        <w:rPr>
          <w:rFonts w:ascii="Times New Roman" w:hAnsi="Times New Roman"/>
          <w:b/>
          <w:color w:val="000000"/>
          <w:szCs w:val="22"/>
        </w:rPr>
        <w:t>informez votre médecin</w:t>
      </w:r>
      <w:r w:rsidRPr="00961E0F">
        <w:rPr>
          <w:rFonts w:ascii="Times New Roman" w:hAnsi="Times New Roman"/>
          <w:color w:val="000000"/>
          <w:szCs w:val="22"/>
        </w:rPr>
        <w:t>.</w:t>
      </w:r>
    </w:p>
    <w:p w14:paraId="0081E8C8" w14:textId="77777777" w:rsidR="00EF4CB3" w:rsidRPr="00961E0F" w:rsidRDefault="00EF4CB3" w:rsidP="00EF4CB3">
      <w:pPr>
        <w:widowControl w:val="0"/>
        <w:suppressAutoHyphens/>
        <w:rPr>
          <w:rFonts w:ascii="Times New Roman" w:hAnsi="Times New Roman"/>
          <w:color w:val="000000"/>
          <w:szCs w:val="22"/>
        </w:rPr>
      </w:pPr>
    </w:p>
    <w:p w14:paraId="12CBE227" w14:textId="77777777" w:rsidR="00EF4CB3" w:rsidRPr="00961E0F" w:rsidRDefault="00EF4CB3" w:rsidP="00527B2A">
      <w:pPr>
        <w:keepNext/>
        <w:widowControl w:val="0"/>
        <w:suppressAutoHyphens/>
        <w:rPr>
          <w:rFonts w:ascii="Times New Roman" w:hAnsi="Times New Roman"/>
          <w:i/>
          <w:color w:val="000000"/>
          <w:szCs w:val="22"/>
        </w:rPr>
      </w:pPr>
      <w:r w:rsidRPr="00961E0F">
        <w:rPr>
          <w:rFonts w:ascii="Times New Roman" w:hAnsi="Times New Roman"/>
          <w:b/>
          <w:color w:val="000000"/>
          <w:szCs w:val="22"/>
        </w:rPr>
        <w:t>Fréquents</w:t>
      </w:r>
      <w:r w:rsidRPr="00961E0F">
        <w:rPr>
          <w:rFonts w:ascii="Times New Roman" w:hAnsi="Times New Roman"/>
          <w:color w:val="000000"/>
          <w:szCs w:val="22"/>
        </w:rPr>
        <w:t xml:space="preserve"> (pouvant affecter jusqu’à 1 personne sur 10) :</w:t>
      </w:r>
    </w:p>
    <w:p w14:paraId="32AFAD10"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Anorexie, perte de poids ou trouble du goût.</w:t>
      </w:r>
    </w:p>
    <w:p w14:paraId="188F1B50"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Sensations vertigineuses ou faiblesse.</w:t>
      </w:r>
    </w:p>
    <w:p w14:paraId="45179BC0"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Difficulté d’endormissement (insomnie).</w:t>
      </w:r>
    </w:p>
    <w:p w14:paraId="35BEE21D"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Décharge dans l’oeil avec démangeaisons, rougeur ou gonflement (conjonctivite), yeux larmoyants ou vision trouble.</w:t>
      </w:r>
    </w:p>
    <w:p w14:paraId="76F54E18"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Saignement du nez.</w:t>
      </w:r>
    </w:p>
    <w:p w14:paraId="3BC1ED93"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Douleur ou gonflement de l’abdomen, flatulence, brûlures d’estomac ou constipation.</w:t>
      </w:r>
    </w:p>
    <w:p w14:paraId="19C3E7D0"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Démangeaisons.</w:t>
      </w:r>
    </w:p>
    <w:p w14:paraId="0BA0CE03"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Perte inhabituelle ou raréfaction des cheveux.</w:t>
      </w:r>
    </w:p>
    <w:p w14:paraId="330C0C74"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Engourdissement des mains ou des pieds.</w:t>
      </w:r>
    </w:p>
    <w:p w14:paraId="70467CEE"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Aphtes.</w:t>
      </w:r>
    </w:p>
    <w:p w14:paraId="5B33988A"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lastRenderedPageBreak/>
        <w:t>Gonflement des articulations et douleurs articulaires.</w:t>
      </w:r>
    </w:p>
    <w:p w14:paraId="656FDD7E"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Bouche sèche, peau sèche ou œil sec.</w:t>
      </w:r>
    </w:p>
    <w:p w14:paraId="0F91122E" w14:textId="77777777" w:rsidR="00EF4CB3" w:rsidRPr="00961E0F" w:rsidRDefault="00EF4CB3" w:rsidP="00EF4CB3">
      <w:pPr>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Diminution ou augmentation de la sensibilité cutanée.</w:t>
      </w:r>
    </w:p>
    <w:p w14:paraId="4B73154C" w14:textId="77777777" w:rsidR="00EF4CB3" w:rsidRPr="00961E0F" w:rsidRDefault="00EF4CB3" w:rsidP="00527B2A">
      <w:pPr>
        <w:keepNext/>
        <w:widowControl w:val="0"/>
        <w:numPr>
          <w:ilvl w:val="0"/>
          <w:numId w:val="24"/>
        </w:numPr>
        <w:tabs>
          <w:tab w:val="clear" w:pos="678"/>
          <w:tab w:val="num" w:pos="567"/>
        </w:tabs>
        <w:suppressAutoHyphens/>
        <w:ind w:left="567" w:hanging="567"/>
        <w:rPr>
          <w:rFonts w:ascii="Times New Roman" w:hAnsi="Times New Roman"/>
          <w:color w:val="000000"/>
          <w:szCs w:val="22"/>
        </w:rPr>
      </w:pPr>
      <w:r w:rsidRPr="00961E0F">
        <w:rPr>
          <w:rFonts w:ascii="Times New Roman" w:hAnsi="Times New Roman"/>
          <w:color w:val="000000"/>
          <w:szCs w:val="22"/>
        </w:rPr>
        <w:t>Bouffées de chaleur, frissons ou sueurs nocturnes.</w:t>
      </w:r>
    </w:p>
    <w:p w14:paraId="1904F35B" w14:textId="77777777" w:rsidR="00EF4CB3" w:rsidRPr="00961E0F" w:rsidRDefault="00EF4CB3" w:rsidP="00EF4CB3">
      <w:pPr>
        <w:pStyle w:val="EndnoteText"/>
        <w:widowControl w:val="0"/>
        <w:tabs>
          <w:tab w:val="clear" w:pos="567"/>
        </w:tabs>
        <w:suppressAutoHyphens/>
        <w:rPr>
          <w:b/>
          <w:color w:val="000000"/>
          <w:szCs w:val="22"/>
          <w:lang w:val="fr-FR"/>
        </w:rPr>
      </w:pPr>
      <w:r w:rsidRPr="00961E0F">
        <w:rPr>
          <w:color w:val="000000"/>
          <w:szCs w:val="22"/>
          <w:lang w:val="fr-FR"/>
        </w:rPr>
        <w:t xml:space="preserve">Si l’un de ces effets vous affecte sévèrement, </w:t>
      </w:r>
      <w:r w:rsidRPr="00961E0F">
        <w:rPr>
          <w:b/>
          <w:color w:val="000000"/>
          <w:szCs w:val="22"/>
          <w:lang w:val="fr-FR"/>
        </w:rPr>
        <w:t>informez votre médecin.</w:t>
      </w:r>
    </w:p>
    <w:p w14:paraId="6DF8AF5D" w14:textId="77777777" w:rsidR="00EF4CB3" w:rsidRPr="00961E0F" w:rsidRDefault="00EF4CB3" w:rsidP="00EF4CB3">
      <w:pPr>
        <w:pStyle w:val="EndnoteText"/>
        <w:widowControl w:val="0"/>
        <w:tabs>
          <w:tab w:val="clear" w:pos="567"/>
        </w:tabs>
        <w:suppressAutoHyphens/>
        <w:rPr>
          <w:color w:val="000000"/>
          <w:szCs w:val="22"/>
          <w:lang w:val="fr-FR"/>
        </w:rPr>
      </w:pPr>
    </w:p>
    <w:p w14:paraId="786C83A9" w14:textId="77777777" w:rsidR="00EF4CB3" w:rsidRPr="00961E0F" w:rsidRDefault="00EF4CB3" w:rsidP="00527B2A">
      <w:pPr>
        <w:keepNext/>
        <w:widowControl w:val="0"/>
        <w:suppressAutoHyphens/>
        <w:rPr>
          <w:rFonts w:ascii="Times New Roman" w:hAnsi="Times New Roman"/>
          <w:color w:val="000000"/>
          <w:szCs w:val="22"/>
        </w:rPr>
      </w:pPr>
      <w:r w:rsidRPr="00961E0F">
        <w:rPr>
          <w:rFonts w:ascii="Times New Roman" w:hAnsi="Times New Roman"/>
          <w:b/>
          <w:color w:val="000000"/>
          <w:szCs w:val="22"/>
        </w:rPr>
        <w:t>Indéterminée</w:t>
      </w:r>
      <w:r w:rsidRPr="00961E0F">
        <w:rPr>
          <w:rFonts w:ascii="Times New Roman" w:hAnsi="Times New Roman"/>
          <w:color w:val="000000"/>
          <w:szCs w:val="22"/>
        </w:rPr>
        <w:t xml:space="preserve"> (la fréquence ne peut être estimée sur la base des données disponibles) :</w:t>
      </w:r>
    </w:p>
    <w:p w14:paraId="7603D46A" w14:textId="77777777" w:rsidR="00EF4CB3" w:rsidRPr="00961E0F" w:rsidRDefault="00EF4CB3" w:rsidP="00EF4CB3">
      <w:pPr>
        <w:widowControl w:val="0"/>
        <w:numPr>
          <w:ilvl w:val="0"/>
          <w:numId w:val="25"/>
        </w:numPr>
        <w:tabs>
          <w:tab w:val="clear" w:pos="678"/>
          <w:tab w:val="num" w:pos="567"/>
        </w:tabs>
        <w:suppressAutoHyphens/>
        <w:ind w:left="567" w:hanging="567"/>
        <w:rPr>
          <w:rFonts w:ascii="Times New Roman" w:hAnsi="Times New Roman"/>
          <w:i/>
          <w:color w:val="000000"/>
          <w:szCs w:val="22"/>
        </w:rPr>
      </w:pPr>
      <w:r w:rsidRPr="00961E0F">
        <w:rPr>
          <w:rFonts w:ascii="Times New Roman" w:hAnsi="Times New Roman"/>
          <w:color w:val="000000"/>
          <w:szCs w:val="22"/>
        </w:rPr>
        <w:t>Rougissement et/ou gonflement de la paume des mains et de la plante des pieds qui peuvent être accompagnés de sensations de picotements et de brûlures douloureuses.</w:t>
      </w:r>
    </w:p>
    <w:p w14:paraId="0BF8E79D" w14:textId="77777777" w:rsidR="00E07259" w:rsidRPr="00961E0F" w:rsidRDefault="00E07259" w:rsidP="00EF4CB3">
      <w:pPr>
        <w:widowControl w:val="0"/>
        <w:numPr>
          <w:ilvl w:val="0"/>
          <w:numId w:val="25"/>
        </w:numPr>
        <w:tabs>
          <w:tab w:val="clear" w:pos="678"/>
          <w:tab w:val="num" w:pos="567"/>
        </w:tabs>
        <w:suppressAutoHyphens/>
        <w:ind w:left="567" w:hanging="567"/>
        <w:rPr>
          <w:rFonts w:ascii="Times New Roman" w:hAnsi="Times New Roman"/>
          <w:i/>
          <w:color w:val="000000"/>
          <w:szCs w:val="22"/>
        </w:rPr>
      </w:pPr>
      <w:r w:rsidRPr="00961E0F">
        <w:rPr>
          <w:rFonts w:ascii="Times New Roman" w:hAnsi="Times New Roman"/>
          <w:color w:val="000000"/>
          <w:szCs w:val="22"/>
        </w:rPr>
        <w:t xml:space="preserve">Lésions </w:t>
      </w:r>
      <w:r w:rsidR="00632630" w:rsidRPr="00961E0F">
        <w:rPr>
          <w:rFonts w:ascii="Times New Roman" w:hAnsi="Times New Roman"/>
          <w:color w:val="000000"/>
          <w:szCs w:val="22"/>
        </w:rPr>
        <w:t xml:space="preserve">cutanées </w:t>
      </w:r>
      <w:r w:rsidRPr="00961E0F">
        <w:rPr>
          <w:rFonts w:ascii="Times New Roman" w:hAnsi="Times New Roman"/>
          <w:color w:val="000000"/>
          <w:szCs w:val="22"/>
        </w:rPr>
        <w:t>douloureuses et/ou bulleuses.</w:t>
      </w:r>
    </w:p>
    <w:p w14:paraId="66DA244F" w14:textId="77777777" w:rsidR="00EF4CB3" w:rsidRPr="00961E0F" w:rsidRDefault="00EF4CB3" w:rsidP="00527B2A">
      <w:pPr>
        <w:keepNext/>
        <w:widowControl w:val="0"/>
        <w:numPr>
          <w:ilvl w:val="0"/>
          <w:numId w:val="25"/>
        </w:numPr>
        <w:tabs>
          <w:tab w:val="clear" w:pos="678"/>
        </w:tabs>
        <w:suppressAutoHyphens/>
        <w:ind w:left="567" w:hanging="567"/>
        <w:rPr>
          <w:rFonts w:ascii="Times New Roman" w:hAnsi="Times New Roman"/>
          <w:i/>
          <w:color w:val="000000"/>
          <w:szCs w:val="22"/>
        </w:rPr>
      </w:pPr>
      <w:r w:rsidRPr="00961E0F">
        <w:rPr>
          <w:rFonts w:ascii="Times New Roman" w:hAnsi="Times New Roman"/>
          <w:color w:val="000000"/>
          <w:szCs w:val="22"/>
        </w:rPr>
        <w:t>Retard de croissance chez l’enfant et l’adolescent.</w:t>
      </w:r>
    </w:p>
    <w:p w14:paraId="59AFE654" w14:textId="77777777" w:rsidR="00EF4CB3" w:rsidRPr="00961E0F" w:rsidRDefault="00EF4CB3" w:rsidP="00EF4CB3">
      <w:pPr>
        <w:pStyle w:val="EndnoteText"/>
        <w:widowControl w:val="0"/>
        <w:tabs>
          <w:tab w:val="clear" w:pos="567"/>
        </w:tabs>
        <w:suppressAutoHyphens/>
        <w:rPr>
          <w:color w:val="000000"/>
          <w:szCs w:val="22"/>
          <w:lang w:val="fr-FR"/>
        </w:rPr>
      </w:pPr>
      <w:r w:rsidRPr="00961E0F">
        <w:rPr>
          <w:color w:val="000000"/>
          <w:szCs w:val="22"/>
          <w:lang w:val="fr-FR"/>
        </w:rPr>
        <w:t xml:space="preserve">Si l’un de ces effets vous affecte sévèrement, </w:t>
      </w:r>
      <w:r w:rsidRPr="00961E0F">
        <w:rPr>
          <w:b/>
          <w:color w:val="000000"/>
          <w:szCs w:val="22"/>
          <w:lang w:val="fr-FR"/>
        </w:rPr>
        <w:t>informez votre médecin.</w:t>
      </w:r>
    </w:p>
    <w:p w14:paraId="4C24197A" w14:textId="77777777" w:rsidR="00EF4CB3" w:rsidRPr="00961E0F" w:rsidRDefault="00EF4CB3" w:rsidP="00EF4CB3">
      <w:pPr>
        <w:widowControl w:val="0"/>
        <w:suppressAutoHyphens/>
        <w:rPr>
          <w:rFonts w:ascii="Times New Roman" w:hAnsi="Times New Roman"/>
          <w:i/>
          <w:color w:val="000000"/>
          <w:szCs w:val="22"/>
        </w:rPr>
      </w:pPr>
    </w:p>
    <w:p w14:paraId="1FF24BEB" w14:textId="77777777" w:rsidR="00EF4CB3" w:rsidRPr="00961E0F" w:rsidRDefault="00EF4CB3" w:rsidP="00527B2A">
      <w:pPr>
        <w:keepNext/>
        <w:widowControl w:val="0"/>
        <w:autoSpaceDE w:val="0"/>
        <w:autoSpaceDN w:val="0"/>
        <w:adjustRightInd w:val="0"/>
        <w:rPr>
          <w:rFonts w:ascii="Times New Roman" w:hAnsi="Times New Roman"/>
          <w:b/>
          <w:szCs w:val="22"/>
        </w:rPr>
      </w:pPr>
      <w:r w:rsidRPr="00961E0F">
        <w:rPr>
          <w:rFonts w:ascii="Times New Roman" w:hAnsi="Times New Roman"/>
          <w:b/>
          <w:szCs w:val="22"/>
        </w:rPr>
        <w:t>Déclaration des effets secondaires</w:t>
      </w:r>
    </w:p>
    <w:p w14:paraId="2D572DBF" w14:textId="77777777" w:rsidR="00EF4CB3" w:rsidRPr="00961E0F" w:rsidRDefault="00EF4CB3" w:rsidP="00EF4CB3">
      <w:pPr>
        <w:widowControl w:val="0"/>
        <w:suppressAutoHyphens/>
        <w:rPr>
          <w:rFonts w:ascii="Times New Roman" w:hAnsi="Times New Roman"/>
          <w:color w:val="000000"/>
          <w:szCs w:val="22"/>
          <w:lang w:val="fr-BE"/>
        </w:rPr>
      </w:pPr>
      <w:r w:rsidRPr="00961E0F">
        <w:rPr>
          <w:rFonts w:ascii="Times New Roman" w:hAnsi="Times New Roman"/>
          <w:color w:val="000000"/>
          <w:szCs w:val="22"/>
        </w:rPr>
        <w:t xml:space="preserve">Si vous ressentez un quelconque effet indésirable, parlez-en à votre médecin, votre pharmacien ou votre infirmier/ère. Cela s’applique aussi à tout effet indésirable qui ne serait pas mentionné dans cette notice. </w:t>
      </w:r>
      <w:r w:rsidRPr="00961E0F">
        <w:rPr>
          <w:rFonts w:ascii="Times New Roman" w:hAnsi="Times New Roman"/>
          <w:szCs w:val="22"/>
        </w:rPr>
        <w:t xml:space="preserve">Vous pouvez également déclarer les effets indésirables directement </w:t>
      </w:r>
      <w:r w:rsidRPr="00961E0F">
        <w:rPr>
          <w:rFonts w:ascii="Times New Roman" w:hAnsi="Times New Roman"/>
          <w:szCs w:val="22"/>
          <w:shd w:val="pct15" w:color="auto" w:fill="auto"/>
        </w:rPr>
        <w:t xml:space="preserve">via le système national de déclaration décrit en </w:t>
      </w:r>
      <w:hyperlink r:id="rId17" w:history="1">
        <w:r w:rsidRPr="00961E0F">
          <w:rPr>
            <w:rStyle w:val="Hyperlink"/>
            <w:rFonts w:ascii="Times New Roman" w:hAnsi="Times New Roman"/>
            <w:szCs w:val="22"/>
            <w:shd w:val="pct15" w:color="auto" w:fill="auto"/>
          </w:rPr>
          <w:t>Annexe V</w:t>
        </w:r>
      </w:hyperlink>
      <w:r w:rsidRPr="00961E0F">
        <w:rPr>
          <w:rFonts w:ascii="Times New Roman" w:hAnsi="Times New Roman"/>
          <w:szCs w:val="22"/>
        </w:rPr>
        <w:t>.</w:t>
      </w:r>
      <w:r w:rsidRPr="00961E0F">
        <w:rPr>
          <w:rFonts w:ascii="Times New Roman" w:hAnsi="Times New Roman"/>
          <w:szCs w:val="22"/>
          <w:lang w:val="fr-BE"/>
        </w:rPr>
        <w:t xml:space="preserve"> </w:t>
      </w:r>
      <w:r w:rsidRPr="00961E0F">
        <w:rPr>
          <w:rFonts w:ascii="Times New Roman" w:hAnsi="Times New Roman"/>
          <w:szCs w:val="22"/>
        </w:rPr>
        <w:t>En signalant les effets indésirables, vous contribuez à fournir davantage d’informations sur la sécurité du médicament.</w:t>
      </w:r>
    </w:p>
    <w:p w14:paraId="0482B4C8" w14:textId="77777777" w:rsidR="00EF4CB3" w:rsidRPr="00961E0F" w:rsidRDefault="00EF4CB3" w:rsidP="00EF4CB3">
      <w:pPr>
        <w:widowControl w:val="0"/>
        <w:suppressAutoHyphens/>
        <w:rPr>
          <w:rFonts w:ascii="Times New Roman" w:hAnsi="Times New Roman"/>
          <w:color w:val="000000"/>
          <w:szCs w:val="22"/>
        </w:rPr>
      </w:pPr>
    </w:p>
    <w:p w14:paraId="255E1F92" w14:textId="77777777" w:rsidR="00EF4CB3" w:rsidRPr="00961E0F" w:rsidRDefault="00EF4CB3" w:rsidP="00EF4CB3">
      <w:pPr>
        <w:widowControl w:val="0"/>
        <w:suppressAutoHyphens/>
        <w:rPr>
          <w:rFonts w:ascii="Times New Roman" w:hAnsi="Times New Roman"/>
          <w:color w:val="000000"/>
          <w:szCs w:val="22"/>
        </w:rPr>
      </w:pPr>
    </w:p>
    <w:p w14:paraId="26EDDF62" w14:textId="77777777" w:rsidR="007D642D" w:rsidRPr="00961E0F" w:rsidRDefault="007D642D" w:rsidP="00527B2A">
      <w:pPr>
        <w:pStyle w:val="BodyText3"/>
        <w:keepNext/>
        <w:widowControl w:val="0"/>
        <w:rPr>
          <w:color w:val="000000"/>
          <w:szCs w:val="22"/>
        </w:rPr>
      </w:pPr>
      <w:r w:rsidRPr="00961E0F">
        <w:rPr>
          <w:color w:val="000000"/>
          <w:szCs w:val="22"/>
        </w:rPr>
        <w:t>5.</w:t>
      </w:r>
      <w:r w:rsidRPr="00961E0F">
        <w:rPr>
          <w:color w:val="000000"/>
          <w:szCs w:val="22"/>
        </w:rPr>
        <w:tab/>
        <w:t>Comment conserver Glivec</w:t>
      </w:r>
    </w:p>
    <w:p w14:paraId="0E9F870D" w14:textId="77777777" w:rsidR="007D642D" w:rsidRPr="00961E0F" w:rsidRDefault="007D642D" w:rsidP="00527B2A">
      <w:pPr>
        <w:keepNext/>
        <w:widowControl w:val="0"/>
        <w:suppressAutoHyphens/>
        <w:rPr>
          <w:rFonts w:ascii="Times New Roman" w:hAnsi="Times New Roman"/>
          <w:color w:val="000000"/>
          <w:szCs w:val="22"/>
        </w:rPr>
      </w:pPr>
    </w:p>
    <w:p w14:paraId="190CA609"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Tenir ce médicament hors de la vue et de la portée des enfants.</w:t>
      </w:r>
    </w:p>
    <w:p w14:paraId="154A7679"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N‘utilisez pas ce médicament après la date de péremption indiquée sur l’emballage</w:t>
      </w:r>
      <w:r w:rsidR="00505205" w:rsidRPr="00961E0F">
        <w:rPr>
          <w:rFonts w:ascii="Times New Roman" w:hAnsi="Times New Roman"/>
          <w:color w:val="000000"/>
          <w:szCs w:val="22"/>
        </w:rPr>
        <w:t xml:space="preserve"> après EXP</w:t>
      </w:r>
      <w:r w:rsidRPr="00961E0F">
        <w:rPr>
          <w:rFonts w:ascii="Times New Roman" w:hAnsi="Times New Roman"/>
          <w:color w:val="000000"/>
          <w:szCs w:val="22"/>
        </w:rPr>
        <w:t>.</w:t>
      </w:r>
    </w:p>
    <w:p w14:paraId="64AFB335"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 xml:space="preserve">A conserver à une température ne dépassant pas </w:t>
      </w:r>
      <w:smartTag w:uri="urn:schemas-microsoft-com:office:smarttags" w:element="metricconverter">
        <w:smartTagPr>
          <w:attr w:name="ProductID" w:val="30ﾰC"/>
        </w:smartTagPr>
        <w:r w:rsidRPr="00961E0F">
          <w:rPr>
            <w:rFonts w:ascii="Times New Roman" w:hAnsi="Times New Roman"/>
            <w:color w:val="000000"/>
            <w:szCs w:val="22"/>
          </w:rPr>
          <w:t>30°C</w:t>
        </w:r>
      </w:smartTag>
      <w:r w:rsidRPr="00961E0F">
        <w:rPr>
          <w:rFonts w:ascii="Times New Roman" w:hAnsi="Times New Roman"/>
          <w:color w:val="000000"/>
          <w:szCs w:val="22"/>
        </w:rPr>
        <w:t>.</w:t>
      </w:r>
    </w:p>
    <w:p w14:paraId="437ADB62"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A conserver dans l’emballage extérieur d'origine à l’abri de l’humidité.</w:t>
      </w:r>
    </w:p>
    <w:p w14:paraId="5B3F245A" w14:textId="77777777" w:rsidR="007D642D" w:rsidRPr="00961E0F" w:rsidRDefault="007D642D">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Ne pas utiliser tout étui qui présenterait des signes de détérioration ou qui aurait déjà été ouvert.</w:t>
      </w:r>
    </w:p>
    <w:p w14:paraId="20628429" w14:textId="77777777" w:rsidR="00587E16" w:rsidRPr="00961E0F" w:rsidRDefault="00587E16" w:rsidP="00587E16">
      <w:pPr>
        <w:widowControl w:val="0"/>
        <w:numPr>
          <w:ilvl w:val="0"/>
          <w:numId w:val="14"/>
        </w:numPr>
        <w:tabs>
          <w:tab w:val="clear" w:pos="927"/>
        </w:tabs>
        <w:suppressAutoHyphens/>
        <w:ind w:left="567" w:hanging="567"/>
        <w:rPr>
          <w:rFonts w:ascii="Times New Roman" w:hAnsi="Times New Roman"/>
          <w:color w:val="000000"/>
          <w:szCs w:val="22"/>
        </w:rPr>
      </w:pPr>
      <w:r w:rsidRPr="00961E0F">
        <w:rPr>
          <w:rFonts w:ascii="Times New Roman" w:hAnsi="Times New Roman"/>
          <w:color w:val="000000"/>
          <w:szCs w:val="22"/>
        </w:rPr>
        <w:t>Ne jetez aucun médicament au tout-à-l’égout ou avec les ordures ménagères. Demandez à votre pharmacien d’éliminer les médicaments que vous n’utilisez plus. Ces mesures contribueront à protéger l’environnement.</w:t>
      </w:r>
    </w:p>
    <w:p w14:paraId="7E74EF35" w14:textId="77777777" w:rsidR="007D642D" w:rsidRPr="00961E0F" w:rsidRDefault="007D642D">
      <w:pPr>
        <w:widowControl w:val="0"/>
        <w:suppressAutoHyphens/>
        <w:rPr>
          <w:rFonts w:ascii="Times New Roman" w:hAnsi="Times New Roman"/>
          <w:color w:val="000000"/>
          <w:szCs w:val="22"/>
        </w:rPr>
      </w:pPr>
    </w:p>
    <w:p w14:paraId="6709CE0C" w14:textId="77777777" w:rsidR="007D642D" w:rsidRPr="00961E0F" w:rsidRDefault="007D642D">
      <w:pPr>
        <w:widowControl w:val="0"/>
        <w:suppressAutoHyphens/>
        <w:rPr>
          <w:rFonts w:ascii="Times New Roman" w:hAnsi="Times New Roman"/>
          <w:color w:val="000000"/>
          <w:szCs w:val="22"/>
        </w:rPr>
      </w:pPr>
    </w:p>
    <w:p w14:paraId="7E327DB2" w14:textId="77777777" w:rsidR="007D642D" w:rsidRPr="00961E0F" w:rsidRDefault="007D642D" w:rsidP="00527B2A">
      <w:pPr>
        <w:keepNext/>
        <w:widowControl w:val="0"/>
        <w:suppressAutoHyphens/>
        <w:rPr>
          <w:rFonts w:ascii="Times New Roman" w:hAnsi="Times New Roman"/>
          <w:b/>
          <w:color w:val="000000"/>
          <w:szCs w:val="22"/>
        </w:rPr>
      </w:pPr>
      <w:r w:rsidRPr="00961E0F">
        <w:rPr>
          <w:rFonts w:ascii="Times New Roman" w:hAnsi="Times New Roman"/>
          <w:b/>
          <w:color w:val="000000"/>
          <w:szCs w:val="22"/>
        </w:rPr>
        <w:t>6.</w:t>
      </w:r>
      <w:r w:rsidRPr="00961E0F">
        <w:rPr>
          <w:rFonts w:ascii="Times New Roman" w:hAnsi="Times New Roman"/>
          <w:b/>
          <w:color w:val="000000"/>
          <w:szCs w:val="22"/>
        </w:rPr>
        <w:tab/>
        <w:t>Contenu de l’emballage et autres informations</w:t>
      </w:r>
    </w:p>
    <w:p w14:paraId="720CFF9C" w14:textId="77777777" w:rsidR="007D642D" w:rsidRPr="00961E0F" w:rsidRDefault="007D642D" w:rsidP="00527B2A">
      <w:pPr>
        <w:keepNext/>
        <w:widowControl w:val="0"/>
        <w:suppressAutoHyphens/>
        <w:rPr>
          <w:rFonts w:ascii="Times New Roman" w:hAnsi="Times New Roman"/>
          <w:color w:val="000000"/>
          <w:szCs w:val="22"/>
        </w:rPr>
      </w:pPr>
    </w:p>
    <w:p w14:paraId="77B6FDE0" w14:textId="77777777" w:rsidR="007D642D" w:rsidRPr="00961E0F" w:rsidRDefault="007D642D" w:rsidP="00527B2A">
      <w:pPr>
        <w:pStyle w:val="BodyText"/>
        <w:keepNext/>
        <w:widowControl w:val="0"/>
        <w:jc w:val="left"/>
        <w:rPr>
          <w:b/>
          <w:noProof w:val="0"/>
          <w:color w:val="000000"/>
          <w:szCs w:val="22"/>
          <w:lang w:eastAsia="fr-FR"/>
        </w:rPr>
      </w:pPr>
      <w:r w:rsidRPr="00961E0F">
        <w:rPr>
          <w:b/>
          <w:noProof w:val="0"/>
          <w:color w:val="000000"/>
          <w:szCs w:val="22"/>
          <w:lang w:eastAsia="fr-FR"/>
        </w:rPr>
        <w:t>Ce que contient Glivec</w:t>
      </w:r>
    </w:p>
    <w:p w14:paraId="4D0C2EE3" w14:textId="77777777" w:rsidR="00B103DB" w:rsidRPr="00B103DB" w:rsidRDefault="007D642D">
      <w:pPr>
        <w:widowControl w:val="0"/>
        <w:numPr>
          <w:ilvl w:val="0"/>
          <w:numId w:val="1"/>
        </w:numPr>
        <w:suppressAutoHyphens/>
        <w:ind w:left="567" w:hanging="567"/>
        <w:rPr>
          <w:rFonts w:ascii="Times New Roman" w:hAnsi="Times New Roman"/>
          <w:color w:val="000000"/>
          <w:szCs w:val="22"/>
        </w:rPr>
      </w:pPr>
      <w:r w:rsidRPr="00961E0F">
        <w:rPr>
          <w:rFonts w:ascii="Times New Roman" w:hAnsi="Times New Roman"/>
          <w:color w:val="000000"/>
        </w:rPr>
        <w:t xml:space="preserve">La substance active est le mésilate d’imatinib. </w:t>
      </w:r>
    </w:p>
    <w:p w14:paraId="42368478" w14:textId="7A3EC2EE" w:rsidR="007D642D" w:rsidRPr="00B103DB" w:rsidRDefault="007D642D" w:rsidP="00B103DB">
      <w:pPr>
        <w:widowControl w:val="0"/>
        <w:numPr>
          <w:ilvl w:val="0"/>
          <w:numId w:val="1"/>
        </w:numPr>
        <w:suppressAutoHyphens/>
        <w:ind w:left="1134" w:hanging="567"/>
        <w:rPr>
          <w:rFonts w:ascii="Times New Roman" w:hAnsi="Times New Roman"/>
          <w:color w:val="000000"/>
          <w:szCs w:val="22"/>
        </w:rPr>
      </w:pPr>
      <w:r w:rsidRPr="00961E0F">
        <w:rPr>
          <w:rFonts w:ascii="Times New Roman" w:hAnsi="Times New Roman"/>
          <w:color w:val="000000"/>
        </w:rPr>
        <w:t xml:space="preserve">Chaque comprimé </w:t>
      </w:r>
      <w:r w:rsidR="00B103DB">
        <w:rPr>
          <w:rFonts w:ascii="Times New Roman" w:hAnsi="Times New Roman"/>
          <w:color w:val="000000"/>
        </w:rPr>
        <w:t xml:space="preserve">de 100 mg </w:t>
      </w:r>
      <w:r w:rsidRPr="00961E0F">
        <w:rPr>
          <w:rFonts w:ascii="Times New Roman" w:hAnsi="Times New Roman"/>
          <w:color w:val="000000"/>
        </w:rPr>
        <w:t>de Glivec contient 100 mg d’imatinib (sous forme de mésilate).</w:t>
      </w:r>
    </w:p>
    <w:p w14:paraId="54C922F0" w14:textId="3B329BC2" w:rsidR="00B103DB" w:rsidRPr="00B103DB" w:rsidRDefault="00B103DB" w:rsidP="00043CAD">
      <w:pPr>
        <w:widowControl w:val="0"/>
        <w:numPr>
          <w:ilvl w:val="0"/>
          <w:numId w:val="1"/>
        </w:numPr>
        <w:suppressAutoHyphens/>
        <w:ind w:left="1134" w:hanging="567"/>
        <w:rPr>
          <w:rFonts w:ascii="Times New Roman" w:hAnsi="Times New Roman"/>
          <w:color w:val="000000"/>
          <w:szCs w:val="22"/>
        </w:rPr>
      </w:pPr>
      <w:r w:rsidRPr="00961E0F">
        <w:rPr>
          <w:rFonts w:ascii="Times New Roman" w:hAnsi="Times New Roman"/>
          <w:color w:val="000000"/>
        </w:rPr>
        <w:t xml:space="preserve">Chaque comprimé </w:t>
      </w:r>
      <w:r>
        <w:rPr>
          <w:rFonts w:ascii="Times New Roman" w:hAnsi="Times New Roman"/>
          <w:color w:val="000000"/>
        </w:rPr>
        <w:t xml:space="preserve">de 400 mg </w:t>
      </w:r>
      <w:r w:rsidRPr="00961E0F">
        <w:rPr>
          <w:rFonts w:ascii="Times New Roman" w:hAnsi="Times New Roman"/>
          <w:color w:val="000000"/>
        </w:rPr>
        <w:t xml:space="preserve">de Glivec contient </w:t>
      </w:r>
      <w:r>
        <w:rPr>
          <w:rFonts w:ascii="Times New Roman" w:hAnsi="Times New Roman"/>
          <w:color w:val="000000"/>
        </w:rPr>
        <w:t>4</w:t>
      </w:r>
      <w:r w:rsidRPr="00961E0F">
        <w:rPr>
          <w:rFonts w:ascii="Times New Roman" w:hAnsi="Times New Roman"/>
          <w:color w:val="000000"/>
        </w:rPr>
        <w:t>00 mg d’imatinib (sous forme de mésilate).</w:t>
      </w:r>
    </w:p>
    <w:p w14:paraId="4084C071" w14:textId="77777777" w:rsidR="007D642D" w:rsidRPr="00961E0F" w:rsidRDefault="007D642D">
      <w:pPr>
        <w:widowControl w:val="0"/>
        <w:numPr>
          <w:ilvl w:val="0"/>
          <w:numId w:val="3"/>
        </w:numPr>
        <w:ind w:left="567" w:hanging="567"/>
        <w:rPr>
          <w:rFonts w:ascii="Times New Roman" w:hAnsi="Times New Roman"/>
          <w:color w:val="000000"/>
          <w:szCs w:val="22"/>
        </w:rPr>
      </w:pPr>
      <w:r w:rsidRPr="00961E0F">
        <w:rPr>
          <w:rFonts w:ascii="Times New Roman" w:hAnsi="Times New Roman"/>
          <w:color w:val="000000"/>
          <w:szCs w:val="22"/>
        </w:rPr>
        <w:t>Les autres composants sont : cellulose microcristalline, crospovidone, hypromellose, stéarate de magnésium, silice colloïdale anhydre.</w:t>
      </w:r>
    </w:p>
    <w:p w14:paraId="3FD78884" w14:textId="77777777" w:rsidR="007D642D" w:rsidRPr="00961E0F" w:rsidRDefault="007D642D">
      <w:pPr>
        <w:widowControl w:val="0"/>
        <w:numPr>
          <w:ilvl w:val="0"/>
          <w:numId w:val="3"/>
        </w:numPr>
        <w:ind w:left="567" w:hanging="567"/>
        <w:rPr>
          <w:rFonts w:ascii="Times New Roman" w:hAnsi="Times New Roman"/>
          <w:color w:val="000000"/>
          <w:szCs w:val="22"/>
        </w:rPr>
      </w:pPr>
      <w:r w:rsidRPr="00961E0F">
        <w:rPr>
          <w:rFonts w:ascii="Times New Roman" w:hAnsi="Times New Roman"/>
          <w:color w:val="000000"/>
          <w:szCs w:val="22"/>
        </w:rPr>
        <w:t>Le pelliculage du comprimé est composé de l’oxyde de fer rouge (E172), de l’oxyde de fer jaune (E172), du macrogol, du talc et de l’hypromellose.</w:t>
      </w:r>
    </w:p>
    <w:p w14:paraId="4A9D0525" w14:textId="77777777" w:rsidR="007D642D" w:rsidRPr="00961E0F" w:rsidRDefault="007D642D">
      <w:pPr>
        <w:widowControl w:val="0"/>
        <w:rPr>
          <w:rFonts w:ascii="Times New Roman" w:hAnsi="Times New Roman"/>
          <w:color w:val="000000"/>
          <w:szCs w:val="22"/>
        </w:rPr>
      </w:pPr>
    </w:p>
    <w:p w14:paraId="04DB4A71"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t>Qu’est ce que Glivec et contenu de l’emballage extérieur</w:t>
      </w:r>
    </w:p>
    <w:p w14:paraId="6BC37709" w14:textId="77777777" w:rsidR="007D642D" w:rsidRPr="00961E0F" w:rsidRDefault="007D642D">
      <w:pPr>
        <w:widowControl w:val="0"/>
        <w:rPr>
          <w:rFonts w:ascii="Times New Roman" w:hAnsi="Times New Roman"/>
          <w:color w:val="000000"/>
          <w:szCs w:val="22"/>
        </w:rPr>
      </w:pPr>
      <w:r w:rsidRPr="00961E0F">
        <w:rPr>
          <w:rFonts w:ascii="Times New Roman" w:hAnsi="Times New Roman"/>
          <w:color w:val="000000"/>
          <w:szCs w:val="22"/>
        </w:rPr>
        <w:t>Glivec 100 mg comprimés pelliculés sont des comprimés jaune très foncé à brun orangé, ronds. Ils ont l’inscription « </w:t>
      </w:r>
      <w:smartTag w:uri="urn:schemas-microsoft-com:office:smarttags" w:element="stockticker">
        <w:r w:rsidRPr="00961E0F">
          <w:rPr>
            <w:rFonts w:ascii="Times New Roman" w:hAnsi="Times New Roman"/>
            <w:color w:val="000000"/>
            <w:szCs w:val="22"/>
          </w:rPr>
          <w:t>NVR</w:t>
        </w:r>
      </w:smartTag>
      <w:r w:rsidRPr="00961E0F">
        <w:rPr>
          <w:rFonts w:ascii="Times New Roman" w:hAnsi="Times New Roman"/>
          <w:color w:val="000000"/>
          <w:szCs w:val="22"/>
        </w:rPr>
        <w:t> » sur une face et « SA » sur l’autre (face avec barrette de rupture).</w:t>
      </w:r>
    </w:p>
    <w:p w14:paraId="33884D2D" w14:textId="0D4E5677" w:rsidR="00B103DB" w:rsidRDefault="00B103DB">
      <w:pPr>
        <w:widowControl w:val="0"/>
        <w:rPr>
          <w:rFonts w:ascii="Times New Roman" w:hAnsi="Times New Roman"/>
          <w:color w:val="000000"/>
          <w:szCs w:val="22"/>
        </w:rPr>
      </w:pPr>
      <w:r>
        <w:rPr>
          <w:rFonts w:ascii="Times New Roman" w:hAnsi="Times New Roman"/>
          <w:color w:val="000000"/>
          <w:szCs w:val="22"/>
        </w:rPr>
        <w:t>Glivec 400 mg comprimés pelliculés sont des comprimés jaune très foncé à brun orangé ovales. Ils ont l’inscription « glivec » sur une face.</w:t>
      </w:r>
    </w:p>
    <w:p w14:paraId="0CCA902C" w14:textId="77777777" w:rsidR="00B103DB" w:rsidRPr="00961E0F" w:rsidRDefault="00B103DB">
      <w:pPr>
        <w:widowControl w:val="0"/>
        <w:rPr>
          <w:rFonts w:ascii="Times New Roman" w:hAnsi="Times New Roman"/>
          <w:color w:val="000000"/>
          <w:szCs w:val="22"/>
        </w:rPr>
      </w:pPr>
    </w:p>
    <w:p w14:paraId="05C69B52" w14:textId="6E8E38B7" w:rsidR="00510F33" w:rsidRDefault="00E82F66">
      <w:pPr>
        <w:widowControl w:val="0"/>
        <w:rPr>
          <w:rFonts w:ascii="Times New Roman" w:hAnsi="Times New Roman"/>
          <w:color w:val="000000"/>
          <w:szCs w:val="22"/>
        </w:rPr>
      </w:pPr>
      <w:r>
        <w:rPr>
          <w:rFonts w:ascii="Times New Roman" w:hAnsi="Times New Roman"/>
          <w:color w:val="000000"/>
          <w:szCs w:val="22"/>
        </w:rPr>
        <w:t>Glivec 100 mg</w:t>
      </w:r>
      <w:r w:rsidR="00510F33">
        <w:rPr>
          <w:rFonts w:ascii="Times New Roman" w:hAnsi="Times New Roman"/>
          <w:color w:val="000000"/>
          <w:szCs w:val="22"/>
        </w:rPr>
        <w:t xml:space="preserve"> comprimés pelliculés</w:t>
      </w:r>
      <w:r w:rsidR="007D642D" w:rsidRPr="00961E0F">
        <w:rPr>
          <w:rFonts w:ascii="Times New Roman" w:hAnsi="Times New Roman"/>
          <w:color w:val="000000"/>
          <w:szCs w:val="22"/>
        </w:rPr>
        <w:t xml:space="preserve"> sont fournis dans des boîtes contenant 20, 60, 120 ou 180 comprimés</w:t>
      </w:r>
      <w:r w:rsidR="00510F33">
        <w:rPr>
          <w:rFonts w:ascii="Times New Roman" w:hAnsi="Times New Roman"/>
          <w:color w:val="000000"/>
          <w:szCs w:val="22"/>
        </w:rPr>
        <w:t>.</w:t>
      </w:r>
    </w:p>
    <w:p w14:paraId="6AE3566B" w14:textId="77777777" w:rsidR="00BA169E" w:rsidRDefault="00510F33">
      <w:pPr>
        <w:widowControl w:val="0"/>
        <w:rPr>
          <w:rFonts w:ascii="Times New Roman" w:hAnsi="Times New Roman"/>
          <w:color w:val="000000"/>
          <w:szCs w:val="22"/>
        </w:rPr>
      </w:pPr>
      <w:r>
        <w:rPr>
          <w:rFonts w:ascii="Times New Roman" w:hAnsi="Times New Roman"/>
          <w:color w:val="000000"/>
          <w:szCs w:val="22"/>
        </w:rPr>
        <w:t>Glivec 400 mg comprimés pelliculés sont fournis dans des boîtes contenant 10, 30 ou 90 comprimés.</w:t>
      </w:r>
    </w:p>
    <w:p w14:paraId="4565D1B3" w14:textId="712B68A8" w:rsidR="007D642D" w:rsidRPr="00961E0F" w:rsidRDefault="00510F33">
      <w:pPr>
        <w:widowControl w:val="0"/>
        <w:rPr>
          <w:rFonts w:ascii="Times New Roman" w:hAnsi="Times New Roman"/>
          <w:color w:val="000000"/>
          <w:szCs w:val="22"/>
        </w:rPr>
      </w:pPr>
      <w:r>
        <w:rPr>
          <w:rFonts w:ascii="Times New Roman" w:hAnsi="Times New Roman"/>
          <w:color w:val="000000"/>
        </w:rPr>
        <w:t>T</w:t>
      </w:r>
      <w:r w:rsidR="007D642D" w:rsidRPr="00961E0F">
        <w:rPr>
          <w:rFonts w:ascii="Times New Roman" w:hAnsi="Times New Roman"/>
          <w:color w:val="000000"/>
        </w:rPr>
        <w:t>outes les tailles de boîtes peuvent ne pas être disponibles dans votre pays</w:t>
      </w:r>
      <w:r w:rsidR="007D642D" w:rsidRPr="00961E0F">
        <w:rPr>
          <w:rFonts w:ascii="Times New Roman" w:hAnsi="Times New Roman"/>
          <w:color w:val="000000"/>
          <w:szCs w:val="22"/>
        </w:rPr>
        <w:t>.</w:t>
      </w:r>
    </w:p>
    <w:p w14:paraId="6E2AA57A" w14:textId="77777777" w:rsidR="007D642D" w:rsidRPr="00961E0F" w:rsidRDefault="007D642D">
      <w:pPr>
        <w:widowControl w:val="0"/>
        <w:rPr>
          <w:rFonts w:ascii="Times New Roman" w:hAnsi="Times New Roman"/>
          <w:color w:val="000000"/>
          <w:szCs w:val="22"/>
        </w:rPr>
      </w:pPr>
    </w:p>
    <w:p w14:paraId="751B3746" w14:textId="77777777" w:rsidR="007D642D" w:rsidRPr="00961E0F" w:rsidRDefault="007D642D" w:rsidP="00527B2A">
      <w:pPr>
        <w:keepNext/>
        <w:widowControl w:val="0"/>
        <w:rPr>
          <w:rFonts w:ascii="Times New Roman" w:hAnsi="Times New Roman"/>
          <w:b/>
          <w:color w:val="000000"/>
          <w:szCs w:val="22"/>
        </w:rPr>
      </w:pPr>
      <w:r w:rsidRPr="00961E0F">
        <w:rPr>
          <w:rFonts w:ascii="Times New Roman" w:hAnsi="Times New Roman"/>
          <w:b/>
          <w:color w:val="000000"/>
          <w:szCs w:val="22"/>
        </w:rPr>
        <w:t>Titulaire de l’autorisation de mise sur le marché</w:t>
      </w:r>
    </w:p>
    <w:p w14:paraId="30245F4F" w14:textId="77777777" w:rsidR="007D642D" w:rsidRPr="00961E0F" w:rsidRDefault="007D642D" w:rsidP="00527B2A">
      <w:pPr>
        <w:keepNext/>
        <w:widowControl w:val="0"/>
        <w:rPr>
          <w:rFonts w:ascii="Times New Roman" w:hAnsi="Times New Roman"/>
          <w:color w:val="000000"/>
          <w:szCs w:val="22"/>
          <w:lang w:val="en-US"/>
        </w:rPr>
      </w:pPr>
      <w:r w:rsidRPr="00961E0F">
        <w:rPr>
          <w:rFonts w:ascii="Times New Roman" w:hAnsi="Times New Roman"/>
          <w:color w:val="000000"/>
          <w:szCs w:val="22"/>
          <w:lang w:val="en-US"/>
        </w:rPr>
        <w:t>Novartis Europharm Limited</w:t>
      </w:r>
    </w:p>
    <w:p w14:paraId="7E691C4F"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Vista Building</w:t>
      </w:r>
    </w:p>
    <w:p w14:paraId="216FEEE6" w14:textId="77777777" w:rsidR="000666D1" w:rsidRPr="00961E0F" w:rsidRDefault="000666D1" w:rsidP="000666D1">
      <w:pPr>
        <w:keepNext/>
        <w:widowControl w:val="0"/>
        <w:rPr>
          <w:rFonts w:ascii="Times New Roman" w:hAnsi="Times New Roman"/>
          <w:color w:val="000000"/>
          <w:lang w:val="en-US"/>
        </w:rPr>
      </w:pPr>
      <w:r w:rsidRPr="00961E0F">
        <w:rPr>
          <w:rFonts w:ascii="Times New Roman" w:hAnsi="Times New Roman"/>
          <w:color w:val="000000"/>
          <w:lang w:val="en-US"/>
        </w:rPr>
        <w:t>Elm Park, Merrion Road</w:t>
      </w:r>
    </w:p>
    <w:p w14:paraId="5E2CAC1E" w14:textId="77777777" w:rsidR="000666D1" w:rsidRPr="00961E0F" w:rsidRDefault="000666D1" w:rsidP="000666D1">
      <w:pPr>
        <w:keepNext/>
        <w:widowControl w:val="0"/>
        <w:rPr>
          <w:rFonts w:ascii="Times New Roman" w:hAnsi="Times New Roman"/>
          <w:color w:val="000000"/>
        </w:rPr>
      </w:pPr>
      <w:r w:rsidRPr="00961E0F">
        <w:rPr>
          <w:rFonts w:ascii="Times New Roman" w:hAnsi="Times New Roman"/>
          <w:color w:val="000000"/>
        </w:rPr>
        <w:t>Dublin 4</w:t>
      </w:r>
    </w:p>
    <w:p w14:paraId="72D3EE6F" w14:textId="77777777" w:rsidR="007D642D" w:rsidRPr="00961E0F" w:rsidRDefault="000666D1">
      <w:pPr>
        <w:widowControl w:val="0"/>
        <w:rPr>
          <w:rFonts w:ascii="Times New Roman" w:hAnsi="Times New Roman"/>
          <w:color w:val="000000"/>
          <w:szCs w:val="22"/>
        </w:rPr>
      </w:pPr>
      <w:r w:rsidRPr="00961E0F">
        <w:rPr>
          <w:rFonts w:ascii="Times New Roman" w:hAnsi="Times New Roman"/>
        </w:rPr>
        <w:t>Irlande</w:t>
      </w:r>
    </w:p>
    <w:p w14:paraId="476F1BF9" w14:textId="77777777" w:rsidR="007D642D" w:rsidRPr="00D447C7" w:rsidRDefault="007D642D">
      <w:pPr>
        <w:widowControl w:val="0"/>
        <w:rPr>
          <w:rFonts w:ascii="Times New Roman" w:hAnsi="Times New Roman"/>
          <w:color w:val="000000"/>
          <w:szCs w:val="22"/>
        </w:rPr>
      </w:pPr>
    </w:p>
    <w:p w14:paraId="0C90FED8" w14:textId="77777777" w:rsidR="007D642D" w:rsidRPr="00D447C7" w:rsidRDefault="007D642D" w:rsidP="00527B2A">
      <w:pPr>
        <w:keepNext/>
        <w:widowControl w:val="0"/>
        <w:rPr>
          <w:rFonts w:ascii="Times New Roman" w:hAnsi="Times New Roman"/>
          <w:b/>
          <w:color w:val="000000"/>
          <w:szCs w:val="22"/>
          <w:lang w:val="pt-BR"/>
        </w:rPr>
      </w:pPr>
      <w:r w:rsidRPr="00D447C7">
        <w:rPr>
          <w:rFonts w:ascii="Times New Roman" w:hAnsi="Times New Roman"/>
          <w:b/>
          <w:color w:val="000000"/>
          <w:szCs w:val="22"/>
          <w:lang w:val="pt-BR"/>
        </w:rPr>
        <w:t>Fabricant</w:t>
      </w:r>
    </w:p>
    <w:p w14:paraId="318D60B6" w14:textId="77777777" w:rsidR="00D447C7" w:rsidRPr="00143B0F" w:rsidRDefault="00D447C7" w:rsidP="00527B2A">
      <w:pPr>
        <w:keepNext/>
        <w:widowControl w:val="0"/>
        <w:tabs>
          <w:tab w:val="left" w:pos="7513"/>
        </w:tabs>
        <w:rPr>
          <w:rFonts w:ascii="Times New Roman" w:hAnsi="Times New Roman"/>
          <w:szCs w:val="22"/>
          <w:lang w:val="fr-CH"/>
        </w:rPr>
      </w:pPr>
      <w:r w:rsidRPr="00143B0F">
        <w:rPr>
          <w:rFonts w:ascii="Times New Roman" w:hAnsi="Times New Roman"/>
          <w:szCs w:val="22"/>
          <w:lang w:val="fr-CH"/>
        </w:rPr>
        <w:t>Lek d.d, PE PROIZVODNJA LENDAVA</w:t>
      </w:r>
    </w:p>
    <w:p w14:paraId="17C40175" w14:textId="77777777" w:rsidR="00D447C7" w:rsidRPr="00D447C7" w:rsidRDefault="00D447C7" w:rsidP="00527B2A">
      <w:pPr>
        <w:keepNext/>
        <w:widowControl w:val="0"/>
        <w:tabs>
          <w:tab w:val="left" w:pos="7513"/>
        </w:tabs>
        <w:rPr>
          <w:rFonts w:ascii="Times New Roman" w:hAnsi="Times New Roman"/>
          <w:szCs w:val="22"/>
          <w:lang w:val="fr-CH"/>
        </w:rPr>
      </w:pPr>
      <w:r w:rsidRPr="00D447C7">
        <w:rPr>
          <w:rFonts w:ascii="Times New Roman" w:hAnsi="Times New Roman"/>
          <w:szCs w:val="22"/>
          <w:lang w:val="fr-CH"/>
        </w:rPr>
        <w:t>Trimlini 2D</w:t>
      </w:r>
    </w:p>
    <w:p w14:paraId="5578A917" w14:textId="77777777" w:rsidR="00D447C7" w:rsidRPr="00D447C7" w:rsidRDefault="00D447C7" w:rsidP="00527B2A">
      <w:pPr>
        <w:keepNext/>
        <w:widowControl w:val="0"/>
        <w:tabs>
          <w:tab w:val="left" w:pos="7513"/>
        </w:tabs>
        <w:rPr>
          <w:rFonts w:ascii="Times New Roman" w:hAnsi="Times New Roman"/>
          <w:szCs w:val="22"/>
          <w:lang w:val="fr-CH"/>
        </w:rPr>
      </w:pPr>
      <w:r w:rsidRPr="00D447C7">
        <w:rPr>
          <w:rFonts w:ascii="Times New Roman" w:hAnsi="Times New Roman"/>
          <w:szCs w:val="22"/>
          <w:lang w:val="fr-CH"/>
        </w:rPr>
        <w:t>Lendava, 9220</w:t>
      </w:r>
    </w:p>
    <w:p w14:paraId="10FBAB0E" w14:textId="77777777" w:rsidR="00D447C7" w:rsidRPr="00143B0F" w:rsidRDefault="00D447C7" w:rsidP="00D447C7">
      <w:pPr>
        <w:widowControl w:val="0"/>
        <w:tabs>
          <w:tab w:val="left" w:pos="7513"/>
        </w:tabs>
        <w:rPr>
          <w:rFonts w:ascii="Times New Roman" w:hAnsi="Times New Roman"/>
          <w:szCs w:val="22"/>
          <w:lang w:val="fr-CH"/>
        </w:rPr>
      </w:pPr>
      <w:r w:rsidRPr="00143B0F">
        <w:rPr>
          <w:rFonts w:ascii="Times New Roman" w:hAnsi="Times New Roman"/>
          <w:szCs w:val="22"/>
          <w:lang w:val="fr-CH"/>
        </w:rPr>
        <w:t>Slovénie</w:t>
      </w:r>
    </w:p>
    <w:p w14:paraId="21DDE771" w14:textId="77777777" w:rsidR="00D447C7" w:rsidRPr="00D447C7" w:rsidRDefault="00D447C7" w:rsidP="00D447C7">
      <w:pPr>
        <w:widowControl w:val="0"/>
        <w:tabs>
          <w:tab w:val="left" w:pos="7513"/>
        </w:tabs>
        <w:rPr>
          <w:rFonts w:ascii="Times New Roman" w:hAnsi="Times New Roman"/>
          <w:szCs w:val="22"/>
          <w:lang w:val="pt-BR"/>
        </w:rPr>
      </w:pPr>
    </w:p>
    <w:p w14:paraId="5904AC19" w14:textId="77777777" w:rsidR="007D642D" w:rsidRPr="00143B0F" w:rsidRDefault="007D642D" w:rsidP="00527B2A">
      <w:pPr>
        <w:keepNext/>
        <w:widowControl w:val="0"/>
        <w:rPr>
          <w:rFonts w:ascii="Times New Roman" w:hAnsi="Times New Roman"/>
          <w:szCs w:val="22"/>
          <w:shd w:val="pct15" w:color="auto" w:fill="auto"/>
          <w:lang w:val="pt-BR"/>
        </w:rPr>
      </w:pPr>
      <w:r w:rsidRPr="00143B0F">
        <w:rPr>
          <w:rFonts w:ascii="Times New Roman" w:hAnsi="Times New Roman"/>
          <w:szCs w:val="22"/>
          <w:shd w:val="pct15" w:color="auto" w:fill="auto"/>
          <w:lang w:val="pt-BR"/>
        </w:rPr>
        <w:t>Novartis Pharma GmbH</w:t>
      </w:r>
    </w:p>
    <w:p w14:paraId="234B10F4" w14:textId="77777777" w:rsidR="007D642D" w:rsidRPr="00143B0F" w:rsidRDefault="007D642D" w:rsidP="00527B2A">
      <w:pPr>
        <w:pStyle w:val="BodyText"/>
        <w:keepNext/>
        <w:rPr>
          <w:szCs w:val="22"/>
          <w:shd w:val="pct15" w:color="auto" w:fill="auto"/>
        </w:rPr>
      </w:pPr>
      <w:r w:rsidRPr="00143B0F">
        <w:rPr>
          <w:szCs w:val="22"/>
          <w:shd w:val="pct15" w:color="auto" w:fill="auto"/>
        </w:rPr>
        <w:t>Roonstrasse 25</w:t>
      </w:r>
    </w:p>
    <w:p w14:paraId="11D61A43" w14:textId="77777777" w:rsidR="007D642D" w:rsidRPr="00143B0F" w:rsidRDefault="007D642D" w:rsidP="00527B2A">
      <w:pPr>
        <w:keepNext/>
        <w:widowControl w:val="0"/>
        <w:rPr>
          <w:rFonts w:ascii="Times New Roman" w:hAnsi="Times New Roman"/>
          <w:szCs w:val="22"/>
          <w:shd w:val="pct15" w:color="auto" w:fill="auto"/>
        </w:rPr>
      </w:pPr>
      <w:r w:rsidRPr="00143B0F">
        <w:rPr>
          <w:rFonts w:ascii="Times New Roman" w:hAnsi="Times New Roman"/>
          <w:szCs w:val="22"/>
          <w:shd w:val="pct15" w:color="auto" w:fill="auto"/>
          <w:lang w:val="pt-BR"/>
        </w:rPr>
        <w:t>D-</w:t>
      </w:r>
      <w:r w:rsidRPr="00143B0F">
        <w:rPr>
          <w:rFonts w:ascii="Times New Roman" w:hAnsi="Times New Roman"/>
          <w:szCs w:val="22"/>
          <w:shd w:val="pct15" w:color="auto" w:fill="auto"/>
        </w:rPr>
        <w:t>90429 Nuremberg</w:t>
      </w:r>
    </w:p>
    <w:p w14:paraId="5DBA49F7" w14:textId="77777777" w:rsidR="007D642D" w:rsidRPr="00143B0F" w:rsidRDefault="007D642D">
      <w:pPr>
        <w:widowControl w:val="0"/>
        <w:rPr>
          <w:rFonts w:ascii="Times New Roman" w:hAnsi="Times New Roman"/>
          <w:szCs w:val="22"/>
          <w:shd w:val="pct15" w:color="auto" w:fill="auto"/>
        </w:rPr>
      </w:pPr>
      <w:r w:rsidRPr="00143B0F">
        <w:rPr>
          <w:rFonts w:ascii="Times New Roman" w:hAnsi="Times New Roman"/>
          <w:szCs w:val="22"/>
          <w:shd w:val="pct15" w:color="auto" w:fill="auto"/>
        </w:rPr>
        <w:t>Allemagne</w:t>
      </w:r>
    </w:p>
    <w:p w14:paraId="4EB46976" w14:textId="77777777" w:rsidR="007D642D" w:rsidRPr="00D447C7" w:rsidRDefault="007D642D">
      <w:pPr>
        <w:pStyle w:val="BodyText"/>
        <w:widowControl w:val="0"/>
        <w:jc w:val="left"/>
        <w:rPr>
          <w:noProof w:val="0"/>
          <w:szCs w:val="22"/>
          <w:lang w:eastAsia="fr-FR"/>
        </w:rPr>
      </w:pPr>
    </w:p>
    <w:p w14:paraId="7A3EC0CF" w14:textId="77777777" w:rsidR="007D642D" w:rsidRPr="00961E0F" w:rsidRDefault="007D642D" w:rsidP="00143B0F">
      <w:pPr>
        <w:pStyle w:val="BodyText"/>
        <w:keepNext/>
        <w:widowControl w:val="0"/>
        <w:jc w:val="left"/>
        <w:rPr>
          <w:noProof w:val="0"/>
          <w:color w:val="000000"/>
          <w:szCs w:val="22"/>
          <w:lang w:eastAsia="fr-FR"/>
        </w:rPr>
      </w:pPr>
      <w:r w:rsidRPr="00961E0F">
        <w:rPr>
          <w:noProof w:val="0"/>
          <w:color w:val="000000"/>
          <w:szCs w:val="22"/>
          <w:lang w:eastAsia="fr-FR"/>
        </w:rPr>
        <w:t>Pour toute information complémentaire concernant ce médicament, veuillez prendre contact avec le représentant local du titulaire de l’autorisation de mise sur le marché.</w:t>
      </w:r>
    </w:p>
    <w:p w14:paraId="5477C972" w14:textId="77777777" w:rsidR="005057D2" w:rsidRPr="00961E0F" w:rsidRDefault="005057D2" w:rsidP="00143B0F">
      <w:pPr>
        <w:keepNext/>
        <w:widowControl w:val="0"/>
        <w:ind w:right="-449"/>
        <w:rPr>
          <w:rFonts w:ascii="Times New Roman" w:hAnsi="Times New Roman"/>
          <w:color w:val="000000"/>
          <w:szCs w:val="22"/>
        </w:rPr>
      </w:pPr>
    </w:p>
    <w:tbl>
      <w:tblPr>
        <w:tblW w:w="9300" w:type="dxa"/>
        <w:tblLayout w:type="fixed"/>
        <w:tblLook w:val="0000" w:firstRow="0" w:lastRow="0" w:firstColumn="0" w:lastColumn="0" w:noHBand="0" w:noVBand="0"/>
      </w:tblPr>
      <w:tblGrid>
        <w:gridCol w:w="4650"/>
        <w:gridCol w:w="4650"/>
      </w:tblGrid>
      <w:tr w:rsidR="005057D2" w:rsidRPr="00961E0F" w14:paraId="2A35E771" w14:textId="77777777" w:rsidTr="000666D1">
        <w:trPr>
          <w:cantSplit/>
        </w:trPr>
        <w:tc>
          <w:tcPr>
            <w:tcW w:w="4650" w:type="dxa"/>
          </w:tcPr>
          <w:p w14:paraId="12780B2F"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België/Belgique/Belgien</w:t>
            </w:r>
          </w:p>
          <w:p w14:paraId="2251CBB7"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N.V.</w:t>
            </w:r>
          </w:p>
          <w:p w14:paraId="3700E374"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Tél/Tel: +32 2 246 16 11</w:t>
            </w:r>
          </w:p>
          <w:p w14:paraId="3822A6EB" w14:textId="77777777" w:rsidR="005057D2" w:rsidRPr="00961E0F" w:rsidRDefault="005057D2" w:rsidP="00BE2571">
            <w:pPr>
              <w:rPr>
                <w:rFonts w:ascii="Times New Roman" w:hAnsi="Times New Roman"/>
                <w:b/>
                <w:color w:val="000000"/>
                <w:szCs w:val="22"/>
              </w:rPr>
            </w:pPr>
          </w:p>
        </w:tc>
        <w:tc>
          <w:tcPr>
            <w:tcW w:w="4650" w:type="dxa"/>
          </w:tcPr>
          <w:p w14:paraId="246A4DAE" w14:textId="77777777" w:rsidR="005057D2" w:rsidRPr="00961E0F" w:rsidRDefault="005057D2" w:rsidP="00BE2571">
            <w:pPr>
              <w:rPr>
                <w:rFonts w:ascii="Times New Roman" w:hAnsi="Times New Roman"/>
                <w:b/>
                <w:color w:val="000000"/>
                <w:szCs w:val="22"/>
                <w:lang w:val="es-ES"/>
              </w:rPr>
            </w:pPr>
            <w:r w:rsidRPr="00961E0F">
              <w:rPr>
                <w:rFonts w:ascii="Times New Roman" w:hAnsi="Times New Roman"/>
                <w:b/>
                <w:color w:val="000000"/>
                <w:szCs w:val="22"/>
                <w:lang w:val="es-ES"/>
              </w:rPr>
              <w:t>Lietuva</w:t>
            </w:r>
          </w:p>
          <w:p w14:paraId="1D32CA8E" w14:textId="225386FA" w:rsidR="005057D2" w:rsidRPr="00961E0F" w:rsidRDefault="00226601" w:rsidP="00BE2571">
            <w:pPr>
              <w:rPr>
                <w:rFonts w:ascii="Times New Roman" w:hAnsi="Times New Roman"/>
                <w:color w:val="000000"/>
                <w:szCs w:val="22"/>
                <w:lang w:val="es-ES"/>
              </w:rPr>
            </w:pPr>
            <w:r w:rsidRPr="00961E0F">
              <w:rPr>
                <w:rFonts w:ascii="Times New Roman" w:hAnsi="Times New Roman"/>
                <w:color w:val="000000"/>
                <w:szCs w:val="22"/>
                <w:lang w:val="es-ES"/>
              </w:rPr>
              <w:t>SIA Novartis Baltics Lietuvos filialas</w:t>
            </w:r>
          </w:p>
          <w:p w14:paraId="409161DB" w14:textId="77777777" w:rsidR="005057D2" w:rsidRPr="00961E0F" w:rsidRDefault="005057D2" w:rsidP="00BE2571">
            <w:pPr>
              <w:rPr>
                <w:rFonts w:ascii="Times New Roman" w:hAnsi="Times New Roman"/>
                <w:color w:val="000000"/>
                <w:szCs w:val="22"/>
                <w:lang w:val="es-ES"/>
              </w:rPr>
            </w:pPr>
            <w:r w:rsidRPr="00961E0F">
              <w:rPr>
                <w:rFonts w:ascii="Times New Roman" w:hAnsi="Times New Roman"/>
                <w:color w:val="000000"/>
                <w:szCs w:val="22"/>
                <w:lang w:val="es-ES"/>
              </w:rPr>
              <w:t>Tel: +370 5 269 16 50</w:t>
            </w:r>
          </w:p>
          <w:p w14:paraId="2463F836" w14:textId="77777777" w:rsidR="005057D2" w:rsidRPr="00961E0F" w:rsidRDefault="005057D2" w:rsidP="00BE2571">
            <w:pPr>
              <w:rPr>
                <w:rFonts w:ascii="Times New Roman" w:hAnsi="Times New Roman"/>
                <w:color w:val="000000"/>
                <w:szCs w:val="22"/>
                <w:lang w:val="es-ES"/>
              </w:rPr>
            </w:pPr>
          </w:p>
        </w:tc>
      </w:tr>
      <w:tr w:rsidR="005057D2" w:rsidRPr="00961E0F" w14:paraId="5379DB53" w14:textId="77777777" w:rsidTr="000666D1">
        <w:trPr>
          <w:cantSplit/>
        </w:trPr>
        <w:tc>
          <w:tcPr>
            <w:tcW w:w="4650" w:type="dxa"/>
          </w:tcPr>
          <w:p w14:paraId="70FC99E3" w14:textId="77777777" w:rsidR="005057D2" w:rsidRPr="009311B9" w:rsidRDefault="005057D2" w:rsidP="00BE2571">
            <w:pPr>
              <w:rPr>
                <w:rFonts w:ascii="Times New Roman" w:hAnsi="Times New Roman"/>
                <w:b/>
                <w:noProof/>
                <w:color w:val="000000"/>
                <w:szCs w:val="22"/>
                <w:lang w:val="es-ES"/>
              </w:rPr>
            </w:pPr>
            <w:r w:rsidRPr="00961E0F">
              <w:rPr>
                <w:rFonts w:ascii="Times New Roman" w:hAnsi="Times New Roman"/>
                <w:b/>
                <w:noProof/>
                <w:color w:val="000000"/>
                <w:szCs w:val="22"/>
              </w:rPr>
              <w:t>България</w:t>
            </w:r>
          </w:p>
          <w:p w14:paraId="25A89061" w14:textId="77777777" w:rsidR="005057D2" w:rsidRPr="00961E0F" w:rsidRDefault="005057D2" w:rsidP="00BE2571">
            <w:pPr>
              <w:rPr>
                <w:rFonts w:ascii="Times New Roman" w:hAnsi="Times New Roman"/>
                <w:noProof/>
                <w:color w:val="000000"/>
                <w:szCs w:val="22"/>
                <w:lang w:val="es-ES"/>
              </w:rPr>
            </w:pPr>
            <w:r w:rsidRPr="00961E0F">
              <w:rPr>
                <w:rFonts w:ascii="Times New Roman" w:hAnsi="Times New Roman"/>
                <w:noProof/>
                <w:color w:val="000000"/>
                <w:szCs w:val="22"/>
                <w:lang w:val="es-ES"/>
              </w:rPr>
              <w:t xml:space="preserve">Novartis </w:t>
            </w:r>
            <w:r w:rsidR="00E07259" w:rsidRPr="00961E0F">
              <w:rPr>
                <w:rFonts w:ascii="Times New Roman" w:hAnsi="Times New Roman"/>
                <w:noProof/>
                <w:color w:val="000000"/>
                <w:szCs w:val="22"/>
                <w:lang w:val="es-ES"/>
              </w:rPr>
              <w:t>Bulgaria EOOD</w:t>
            </w:r>
          </w:p>
          <w:p w14:paraId="4EB796E7" w14:textId="77777777" w:rsidR="005057D2" w:rsidRPr="009311B9" w:rsidRDefault="005057D2" w:rsidP="00BE2571">
            <w:pPr>
              <w:rPr>
                <w:rFonts w:ascii="Times New Roman" w:hAnsi="Times New Roman"/>
                <w:noProof/>
                <w:color w:val="000000"/>
                <w:szCs w:val="22"/>
                <w:lang w:val="es-ES"/>
              </w:rPr>
            </w:pPr>
            <w:r w:rsidRPr="00961E0F">
              <w:rPr>
                <w:rFonts w:ascii="Times New Roman" w:hAnsi="Times New Roman"/>
                <w:noProof/>
                <w:color w:val="000000"/>
                <w:szCs w:val="22"/>
              </w:rPr>
              <w:t>Тел</w:t>
            </w:r>
            <w:r w:rsidRPr="009311B9">
              <w:rPr>
                <w:rFonts w:ascii="Times New Roman" w:hAnsi="Times New Roman"/>
                <w:noProof/>
                <w:color w:val="000000"/>
                <w:szCs w:val="22"/>
                <w:lang w:val="es-ES"/>
              </w:rPr>
              <w:t>.: +359 2 489 98 28</w:t>
            </w:r>
          </w:p>
          <w:p w14:paraId="74250890" w14:textId="77777777" w:rsidR="005057D2" w:rsidRPr="00961E0F" w:rsidRDefault="005057D2" w:rsidP="00BE2571">
            <w:pPr>
              <w:rPr>
                <w:rFonts w:ascii="Times New Roman" w:hAnsi="Times New Roman"/>
                <w:b/>
                <w:color w:val="000000"/>
                <w:szCs w:val="22"/>
                <w:lang w:val="pt-BR"/>
              </w:rPr>
            </w:pPr>
          </w:p>
        </w:tc>
        <w:tc>
          <w:tcPr>
            <w:tcW w:w="4650" w:type="dxa"/>
          </w:tcPr>
          <w:p w14:paraId="4BC664B0"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Luxembourg/Luxemburg</w:t>
            </w:r>
          </w:p>
          <w:p w14:paraId="15118ED4"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N.V.</w:t>
            </w:r>
          </w:p>
          <w:p w14:paraId="5DA11B27"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Tél/Tel: +32 2 246 16 11</w:t>
            </w:r>
          </w:p>
          <w:p w14:paraId="089B9398" w14:textId="77777777" w:rsidR="005057D2" w:rsidRPr="00961E0F" w:rsidRDefault="005057D2" w:rsidP="00BE2571">
            <w:pPr>
              <w:rPr>
                <w:rFonts w:ascii="Times New Roman" w:hAnsi="Times New Roman"/>
                <w:color w:val="000000"/>
                <w:szCs w:val="22"/>
                <w:lang w:val="de-CH"/>
              </w:rPr>
            </w:pPr>
          </w:p>
        </w:tc>
      </w:tr>
      <w:tr w:rsidR="005057D2" w:rsidRPr="006B246A" w14:paraId="38C238F6" w14:textId="77777777" w:rsidTr="000666D1">
        <w:trPr>
          <w:cantSplit/>
        </w:trPr>
        <w:tc>
          <w:tcPr>
            <w:tcW w:w="4650" w:type="dxa"/>
          </w:tcPr>
          <w:p w14:paraId="04DFE655"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Česká republika</w:t>
            </w:r>
          </w:p>
          <w:p w14:paraId="1C9402EE"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s.r.o.</w:t>
            </w:r>
          </w:p>
          <w:p w14:paraId="754112D7" w14:textId="77777777" w:rsidR="005057D2" w:rsidRPr="009311B9" w:rsidRDefault="005057D2" w:rsidP="00BE2571">
            <w:pPr>
              <w:rPr>
                <w:rFonts w:ascii="Times New Roman" w:hAnsi="Times New Roman"/>
                <w:color w:val="000000"/>
                <w:szCs w:val="22"/>
                <w:lang w:val="en-US"/>
              </w:rPr>
            </w:pPr>
            <w:r w:rsidRPr="009311B9">
              <w:rPr>
                <w:rFonts w:ascii="Times New Roman" w:hAnsi="Times New Roman"/>
                <w:color w:val="000000"/>
                <w:szCs w:val="22"/>
                <w:lang w:val="en-US"/>
              </w:rPr>
              <w:t>Tel: +420 225 775 111</w:t>
            </w:r>
          </w:p>
          <w:p w14:paraId="5C7CACA7" w14:textId="77777777" w:rsidR="005057D2" w:rsidRPr="009311B9" w:rsidRDefault="005057D2" w:rsidP="00BE2571">
            <w:pPr>
              <w:rPr>
                <w:rFonts w:ascii="Times New Roman" w:hAnsi="Times New Roman"/>
                <w:b/>
                <w:color w:val="000000"/>
                <w:szCs w:val="22"/>
                <w:lang w:val="en-US"/>
              </w:rPr>
            </w:pPr>
          </w:p>
        </w:tc>
        <w:tc>
          <w:tcPr>
            <w:tcW w:w="4650" w:type="dxa"/>
          </w:tcPr>
          <w:p w14:paraId="35F867E6"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Magyarország</w:t>
            </w:r>
          </w:p>
          <w:p w14:paraId="15B6A53E"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Hungária Kft.</w:t>
            </w:r>
          </w:p>
          <w:p w14:paraId="1AEE0854"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Tel.: +36 1 457 65 00</w:t>
            </w:r>
          </w:p>
        </w:tc>
      </w:tr>
      <w:tr w:rsidR="005057D2" w:rsidRPr="00961E0F" w14:paraId="7768005D" w14:textId="77777777" w:rsidTr="000666D1">
        <w:trPr>
          <w:cantSplit/>
        </w:trPr>
        <w:tc>
          <w:tcPr>
            <w:tcW w:w="4650" w:type="dxa"/>
          </w:tcPr>
          <w:p w14:paraId="0E1002EC" w14:textId="77777777" w:rsidR="005057D2" w:rsidRPr="00961E0F" w:rsidRDefault="005057D2" w:rsidP="00BE2571">
            <w:pPr>
              <w:rPr>
                <w:rFonts w:ascii="Times New Roman" w:hAnsi="Times New Roman"/>
                <w:b/>
                <w:color w:val="000000"/>
                <w:szCs w:val="22"/>
                <w:lang w:val="en-US"/>
              </w:rPr>
            </w:pPr>
            <w:r w:rsidRPr="00961E0F">
              <w:rPr>
                <w:rFonts w:ascii="Times New Roman" w:hAnsi="Times New Roman"/>
                <w:b/>
                <w:color w:val="000000"/>
                <w:szCs w:val="22"/>
                <w:lang w:val="en-US"/>
              </w:rPr>
              <w:t>Danmark</w:t>
            </w:r>
          </w:p>
          <w:p w14:paraId="174CCB23"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Healthcare A/S</w:t>
            </w:r>
          </w:p>
          <w:p w14:paraId="7819C86A"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Tlf: +45 39 16 84 00</w:t>
            </w:r>
          </w:p>
          <w:p w14:paraId="102A8E63" w14:textId="77777777" w:rsidR="005057D2" w:rsidRPr="00961E0F" w:rsidRDefault="005057D2" w:rsidP="00BE2571">
            <w:pPr>
              <w:rPr>
                <w:rFonts w:ascii="Times New Roman" w:hAnsi="Times New Roman"/>
                <w:b/>
                <w:color w:val="000000"/>
                <w:szCs w:val="22"/>
                <w:lang w:val="en-US"/>
              </w:rPr>
            </w:pPr>
          </w:p>
        </w:tc>
        <w:tc>
          <w:tcPr>
            <w:tcW w:w="4650" w:type="dxa"/>
          </w:tcPr>
          <w:p w14:paraId="4BA51374"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Malta</w:t>
            </w:r>
          </w:p>
          <w:p w14:paraId="16E8186B"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Pharma Services Inc.</w:t>
            </w:r>
          </w:p>
          <w:p w14:paraId="60FD7B17"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+356 2122 2872</w:t>
            </w:r>
          </w:p>
        </w:tc>
      </w:tr>
      <w:tr w:rsidR="005057D2" w:rsidRPr="00961E0F" w14:paraId="7FE9B959" w14:textId="77777777" w:rsidTr="000666D1">
        <w:trPr>
          <w:cantSplit/>
        </w:trPr>
        <w:tc>
          <w:tcPr>
            <w:tcW w:w="4650" w:type="dxa"/>
          </w:tcPr>
          <w:p w14:paraId="6BE2D5E9"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Deutschland</w:t>
            </w:r>
          </w:p>
          <w:p w14:paraId="78353BA9"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GmbH</w:t>
            </w:r>
          </w:p>
          <w:p w14:paraId="2D3EB184"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+49 911 273 0</w:t>
            </w:r>
          </w:p>
          <w:p w14:paraId="592CD6D0" w14:textId="77777777" w:rsidR="005057D2" w:rsidRPr="00961E0F" w:rsidRDefault="005057D2" w:rsidP="00BE2571">
            <w:pPr>
              <w:rPr>
                <w:rFonts w:ascii="Times New Roman" w:hAnsi="Times New Roman"/>
                <w:b/>
                <w:color w:val="000000"/>
                <w:szCs w:val="22"/>
                <w:lang w:val="de-CH"/>
              </w:rPr>
            </w:pPr>
          </w:p>
        </w:tc>
        <w:tc>
          <w:tcPr>
            <w:tcW w:w="4650" w:type="dxa"/>
          </w:tcPr>
          <w:p w14:paraId="2839DCCE"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Nederland</w:t>
            </w:r>
          </w:p>
          <w:p w14:paraId="4ED88C3F"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B.V.</w:t>
            </w:r>
          </w:p>
          <w:p w14:paraId="64893CAE" w14:textId="796DE0C3" w:rsidR="005057D2" w:rsidRPr="00961E0F" w:rsidRDefault="005057D2" w:rsidP="00B83C4B">
            <w:pPr>
              <w:rPr>
                <w:rFonts w:ascii="Times New Roman" w:hAnsi="Times New Roman"/>
                <w:color w:val="000000"/>
                <w:szCs w:val="22"/>
              </w:rPr>
            </w:pPr>
            <w:r w:rsidRPr="00961E0F">
              <w:rPr>
                <w:rFonts w:ascii="Times New Roman" w:hAnsi="Times New Roman"/>
                <w:color w:val="000000"/>
                <w:szCs w:val="22"/>
              </w:rPr>
              <w:t xml:space="preserve">Tel: +31 </w:t>
            </w:r>
            <w:r w:rsidR="00BC75EA">
              <w:rPr>
                <w:rFonts w:ascii="Times New Roman" w:hAnsi="Times New Roman"/>
                <w:color w:val="000000"/>
                <w:szCs w:val="22"/>
              </w:rPr>
              <w:t>88 04 52</w:t>
            </w:r>
            <w:r w:rsidRPr="00961E0F">
              <w:rPr>
                <w:rFonts w:ascii="Times New Roman" w:hAnsi="Times New Roman"/>
                <w:color w:val="000000"/>
                <w:szCs w:val="22"/>
              </w:rPr>
              <w:t xml:space="preserve"> </w:t>
            </w:r>
            <w:r w:rsidR="00B83C4B" w:rsidRPr="00961E0F">
              <w:rPr>
                <w:rFonts w:ascii="Times New Roman" w:hAnsi="Times New Roman"/>
                <w:color w:val="000000"/>
                <w:szCs w:val="22"/>
              </w:rPr>
              <w:t>555</w:t>
            </w:r>
          </w:p>
        </w:tc>
      </w:tr>
      <w:tr w:rsidR="005057D2" w:rsidRPr="006B246A" w14:paraId="544D3519" w14:textId="77777777" w:rsidTr="000666D1">
        <w:trPr>
          <w:cantSplit/>
        </w:trPr>
        <w:tc>
          <w:tcPr>
            <w:tcW w:w="4650" w:type="dxa"/>
          </w:tcPr>
          <w:p w14:paraId="447878E1" w14:textId="77777777" w:rsidR="005057D2" w:rsidRPr="00961E0F" w:rsidRDefault="005057D2" w:rsidP="00BE2571">
            <w:pPr>
              <w:rPr>
                <w:rFonts w:ascii="Times New Roman" w:hAnsi="Times New Roman"/>
                <w:b/>
                <w:color w:val="000000"/>
                <w:szCs w:val="22"/>
                <w:lang w:val="it-IT"/>
              </w:rPr>
            </w:pPr>
            <w:r w:rsidRPr="00961E0F">
              <w:rPr>
                <w:rFonts w:ascii="Times New Roman" w:hAnsi="Times New Roman"/>
                <w:b/>
                <w:color w:val="000000"/>
                <w:szCs w:val="22"/>
                <w:lang w:val="it-IT"/>
              </w:rPr>
              <w:t>Eesti</w:t>
            </w:r>
          </w:p>
          <w:p w14:paraId="5CC218CB" w14:textId="77777777" w:rsidR="005057D2" w:rsidRPr="00961E0F" w:rsidRDefault="00226601" w:rsidP="00BE2571">
            <w:pPr>
              <w:rPr>
                <w:rFonts w:ascii="Times New Roman" w:hAnsi="Times New Roman"/>
                <w:color w:val="000000"/>
                <w:szCs w:val="22"/>
                <w:lang w:val="it-IT"/>
              </w:rPr>
            </w:pPr>
            <w:r w:rsidRPr="00961E0F">
              <w:rPr>
                <w:rFonts w:ascii="Times New Roman" w:hAnsi="Times New Roman"/>
                <w:color w:val="000000"/>
                <w:szCs w:val="22"/>
                <w:lang w:val="it-IT"/>
              </w:rPr>
              <w:t>SIA Novartis Baltics Eesti filiaal</w:t>
            </w:r>
          </w:p>
          <w:p w14:paraId="1D3E0169" w14:textId="77777777" w:rsidR="005057D2" w:rsidRPr="00961E0F" w:rsidRDefault="005057D2" w:rsidP="00BE2571">
            <w:pPr>
              <w:rPr>
                <w:rFonts w:ascii="Times New Roman" w:hAnsi="Times New Roman"/>
                <w:color w:val="000000"/>
                <w:szCs w:val="22"/>
                <w:lang w:val="it-IT"/>
              </w:rPr>
            </w:pPr>
            <w:r w:rsidRPr="00961E0F">
              <w:rPr>
                <w:rFonts w:ascii="Times New Roman" w:hAnsi="Times New Roman"/>
                <w:color w:val="000000"/>
                <w:szCs w:val="22"/>
                <w:lang w:val="it-IT"/>
              </w:rPr>
              <w:t>Tel: +372 66 30 810</w:t>
            </w:r>
          </w:p>
          <w:p w14:paraId="6EC8CE91" w14:textId="77777777" w:rsidR="005057D2" w:rsidRPr="00961E0F" w:rsidRDefault="005057D2" w:rsidP="00BE2571">
            <w:pPr>
              <w:rPr>
                <w:rFonts w:ascii="Times New Roman" w:hAnsi="Times New Roman"/>
                <w:b/>
                <w:color w:val="000000"/>
                <w:szCs w:val="22"/>
                <w:lang w:val="it-IT"/>
              </w:rPr>
            </w:pPr>
          </w:p>
        </w:tc>
        <w:tc>
          <w:tcPr>
            <w:tcW w:w="4650" w:type="dxa"/>
          </w:tcPr>
          <w:p w14:paraId="28A97E13"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Norge</w:t>
            </w:r>
          </w:p>
          <w:p w14:paraId="095659E0"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Norge AS</w:t>
            </w:r>
          </w:p>
          <w:p w14:paraId="50C297FA"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Tlf: +47 23 05 20 00</w:t>
            </w:r>
          </w:p>
        </w:tc>
      </w:tr>
      <w:tr w:rsidR="005057D2" w:rsidRPr="006E2114" w14:paraId="31E3EC3D" w14:textId="77777777" w:rsidTr="000666D1">
        <w:trPr>
          <w:cantSplit/>
        </w:trPr>
        <w:tc>
          <w:tcPr>
            <w:tcW w:w="4650" w:type="dxa"/>
          </w:tcPr>
          <w:p w14:paraId="30FAF3C6"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rPr>
              <w:t>Ελλάδα</w:t>
            </w:r>
          </w:p>
          <w:p w14:paraId="2666B7CA"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(Hellas) A.E.B.E.</w:t>
            </w:r>
          </w:p>
          <w:p w14:paraId="4DA59773"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rPr>
              <w:t>Τηλ</w:t>
            </w:r>
            <w:r w:rsidRPr="00961E0F">
              <w:rPr>
                <w:rFonts w:ascii="Times New Roman" w:hAnsi="Times New Roman"/>
                <w:color w:val="000000"/>
                <w:szCs w:val="22"/>
                <w:lang w:val="pt-BR"/>
              </w:rPr>
              <w:t>: +30 210 281 17 12</w:t>
            </w:r>
          </w:p>
          <w:p w14:paraId="64AFF329" w14:textId="77777777" w:rsidR="005057D2" w:rsidRPr="00961E0F" w:rsidRDefault="005057D2" w:rsidP="00BE2571">
            <w:pPr>
              <w:rPr>
                <w:rFonts w:ascii="Times New Roman" w:hAnsi="Times New Roman"/>
                <w:b/>
                <w:color w:val="000000"/>
                <w:szCs w:val="22"/>
                <w:lang w:val="pt-BR"/>
              </w:rPr>
            </w:pPr>
          </w:p>
        </w:tc>
        <w:tc>
          <w:tcPr>
            <w:tcW w:w="4650" w:type="dxa"/>
          </w:tcPr>
          <w:p w14:paraId="4D106AAC"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Österreich</w:t>
            </w:r>
          </w:p>
          <w:p w14:paraId="09D92F37"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Pharma GmbH</w:t>
            </w:r>
          </w:p>
          <w:p w14:paraId="6BF50594"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+43 1 86 6570</w:t>
            </w:r>
          </w:p>
        </w:tc>
      </w:tr>
      <w:tr w:rsidR="005057D2" w:rsidRPr="00961E0F" w14:paraId="60B74256" w14:textId="77777777" w:rsidTr="000666D1">
        <w:trPr>
          <w:cantSplit/>
        </w:trPr>
        <w:tc>
          <w:tcPr>
            <w:tcW w:w="4650" w:type="dxa"/>
          </w:tcPr>
          <w:p w14:paraId="0FEAA22D"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España</w:t>
            </w:r>
          </w:p>
          <w:p w14:paraId="375C4CCC"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Farmacéutica, S.A.</w:t>
            </w:r>
          </w:p>
          <w:p w14:paraId="6AFB0DA4"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+34 93 306 42 00</w:t>
            </w:r>
          </w:p>
          <w:p w14:paraId="3C473D1F" w14:textId="77777777" w:rsidR="005057D2" w:rsidRPr="00961E0F" w:rsidRDefault="005057D2" w:rsidP="00BE2571">
            <w:pPr>
              <w:rPr>
                <w:rFonts w:ascii="Times New Roman" w:hAnsi="Times New Roman"/>
                <w:b/>
                <w:color w:val="000000"/>
                <w:szCs w:val="22"/>
              </w:rPr>
            </w:pPr>
          </w:p>
        </w:tc>
        <w:tc>
          <w:tcPr>
            <w:tcW w:w="4650" w:type="dxa"/>
          </w:tcPr>
          <w:p w14:paraId="1400A183"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Polska</w:t>
            </w:r>
          </w:p>
          <w:p w14:paraId="7740CA7F"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Poland Sp. z o.o.</w:t>
            </w:r>
          </w:p>
          <w:p w14:paraId="0BA554EA"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 xml:space="preserve">Tel.: +48 22 </w:t>
            </w:r>
            <w:r w:rsidRPr="00961E0F">
              <w:rPr>
                <w:rFonts w:ascii="Times New Roman" w:hAnsi="Times New Roman"/>
                <w:szCs w:val="22"/>
              </w:rPr>
              <w:t>375 4888</w:t>
            </w:r>
          </w:p>
        </w:tc>
      </w:tr>
      <w:tr w:rsidR="005057D2" w:rsidRPr="00961E0F" w14:paraId="1838A1E5" w14:textId="77777777" w:rsidTr="000666D1">
        <w:trPr>
          <w:cantSplit/>
        </w:trPr>
        <w:tc>
          <w:tcPr>
            <w:tcW w:w="4650" w:type="dxa"/>
          </w:tcPr>
          <w:p w14:paraId="7178D952"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lastRenderedPageBreak/>
              <w:t>France</w:t>
            </w:r>
          </w:p>
          <w:p w14:paraId="44361733"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S.A.S.</w:t>
            </w:r>
          </w:p>
          <w:p w14:paraId="6A24D578"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Tél: +33 1 55 47 66 00</w:t>
            </w:r>
          </w:p>
          <w:p w14:paraId="221E438C" w14:textId="77777777" w:rsidR="005057D2" w:rsidRPr="00961E0F" w:rsidRDefault="005057D2" w:rsidP="00BE2571">
            <w:pPr>
              <w:rPr>
                <w:rFonts w:ascii="Times New Roman" w:hAnsi="Times New Roman"/>
                <w:b/>
                <w:color w:val="000000"/>
                <w:szCs w:val="22"/>
              </w:rPr>
            </w:pPr>
          </w:p>
        </w:tc>
        <w:tc>
          <w:tcPr>
            <w:tcW w:w="4650" w:type="dxa"/>
          </w:tcPr>
          <w:p w14:paraId="7E121B5C"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Portugal</w:t>
            </w:r>
          </w:p>
          <w:p w14:paraId="17B09FE5"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 - Produtos Farmacêuticos, S.A.</w:t>
            </w:r>
          </w:p>
          <w:p w14:paraId="6DF2D740"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+351 21 000 8600</w:t>
            </w:r>
          </w:p>
        </w:tc>
      </w:tr>
      <w:tr w:rsidR="005057D2" w:rsidRPr="00961E0F" w14:paraId="2B26AF6D" w14:textId="77777777" w:rsidTr="000666D1">
        <w:trPr>
          <w:cantSplit/>
        </w:trPr>
        <w:tc>
          <w:tcPr>
            <w:tcW w:w="4650" w:type="dxa"/>
          </w:tcPr>
          <w:p w14:paraId="4FA79A8B" w14:textId="77777777" w:rsidR="005057D2" w:rsidRPr="00961E0F" w:rsidRDefault="005057D2" w:rsidP="00BE2571">
            <w:pPr>
              <w:rPr>
                <w:rFonts w:ascii="Times New Roman" w:eastAsia="PMingLiU" w:hAnsi="Times New Roman"/>
                <w:b/>
                <w:szCs w:val="22"/>
              </w:rPr>
            </w:pPr>
            <w:r w:rsidRPr="00961E0F">
              <w:rPr>
                <w:rFonts w:ascii="Times New Roman" w:eastAsia="PMingLiU" w:hAnsi="Times New Roman"/>
                <w:b/>
                <w:szCs w:val="22"/>
              </w:rPr>
              <w:t>Hrvatska</w:t>
            </w:r>
          </w:p>
          <w:p w14:paraId="6BE0A3DB" w14:textId="77777777" w:rsidR="005057D2" w:rsidRPr="00961E0F" w:rsidRDefault="005057D2" w:rsidP="00BE2571">
            <w:pPr>
              <w:rPr>
                <w:rFonts w:ascii="Times New Roman" w:hAnsi="Times New Roman"/>
                <w:szCs w:val="22"/>
              </w:rPr>
            </w:pPr>
            <w:r w:rsidRPr="00961E0F">
              <w:rPr>
                <w:rFonts w:ascii="Times New Roman" w:hAnsi="Times New Roman"/>
                <w:szCs w:val="22"/>
              </w:rPr>
              <w:t>Novartis Hrvatska d.o.o.</w:t>
            </w:r>
          </w:p>
          <w:p w14:paraId="23FAEED6" w14:textId="77777777" w:rsidR="005057D2" w:rsidRPr="00961E0F" w:rsidRDefault="005057D2" w:rsidP="00BE2571">
            <w:pPr>
              <w:rPr>
                <w:rFonts w:ascii="Times New Roman" w:hAnsi="Times New Roman"/>
                <w:szCs w:val="22"/>
              </w:rPr>
            </w:pPr>
            <w:r w:rsidRPr="00961E0F">
              <w:rPr>
                <w:rFonts w:ascii="Times New Roman" w:hAnsi="Times New Roman"/>
                <w:szCs w:val="22"/>
              </w:rPr>
              <w:t>Tel. +385 1 6274 220</w:t>
            </w:r>
          </w:p>
          <w:p w14:paraId="6CA95F55" w14:textId="77777777" w:rsidR="005057D2" w:rsidRPr="00961E0F" w:rsidRDefault="005057D2" w:rsidP="00BE2571">
            <w:pPr>
              <w:rPr>
                <w:rFonts w:ascii="Times New Roman" w:hAnsi="Times New Roman"/>
                <w:b/>
                <w:color w:val="000000"/>
                <w:szCs w:val="22"/>
              </w:rPr>
            </w:pPr>
          </w:p>
        </w:tc>
        <w:tc>
          <w:tcPr>
            <w:tcW w:w="4650" w:type="dxa"/>
          </w:tcPr>
          <w:p w14:paraId="38BB26AE" w14:textId="77777777" w:rsidR="005057D2" w:rsidRPr="00961E0F" w:rsidRDefault="005057D2" w:rsidP="00BE2571">
            <w:pPr>
              <w:rPr>
                <w:rFonts w:ascii="Times New Roman" w:hAnsi="Times New Roman"/>
                <w:b/>
                <w:noProof/>
                <w:color w:val="000000"/>
                <w:szCs w:val="22"/>
                <w:lang w:val="it-IT"/>
              </w:rPr>
            </w:pPr>
            <w:r w:rsidRPr="00961E0F">
              <w:rPr>
                <w:rFonts w:ascii="Times New Roman" w:hAnsi="Times New Roman"/>
                <w:b/>
                <w:noProof/>
                <w:color w:val="000000"/>
                <w:szCs w:val="22"/>
                <w:lang w:val="it-IT"/>
              </w:rPr>
              <w:t>România</w:t>
            </w:r>
          </w:p>
          <w:p w14:paraId="7EC7C324" w14:textId="77777777" w:rsidR="005057D2" w:rsidRPr="00961E0F" w:rsidRDefault="005057D2" w:rsidP="00BE2571">
            <w:pPr>
              <w:rPr>
                <w:rFonts w:ascii="Times New Roman" w:hAnsi="Times New Roman"/>
                <w:noProof/>
                <w:color w:val="000000"/>
                <w:szCs w:val="22"/>
                <w:lang w:val="it-IT"/>
              </w:rPr>
            </w:pPr>
            <w:r w:rsidRPr="00961E0F">
              <w:rPr>
                <w:rFonts w:ascii="Times New Roman" w:hAnsi="Times New Roman"/>
                <w:noProof/>
                <w:color w:val="000000"/>
                <w:szCs w:val="22"/>
                <w:lang w:val="it-IT"/>
              </w:rPr>
              <w:t xml:space="preserve">Novartis Pharma Services </w:t>
            </w:r>
            <w:r w:rsidRPr="00961E0F">
              <w:rPr>
                <w:rFonts w:ascii="Times New Roman" w:hAnsi="Times New Roman"/>
                <w:color w:val="2F2F2F"/>
                <w:szCs w:val="22"/>
              </w:rPr>
              <w:t>Romania SRL</w:t>
            </w:r>
          </w:p>
          <w:p w14:paraId="5096256D" w14:textId="77777777" w:rsidR="005057D2" w:rsidRPr="00961E0F" w:rsidRDefault="005057D2" w:rsidP="00BE2571">
            <w:pPr>
              <w:rPr>
                <w:rFonts w:ascii="Times New Roman" w:hAnsi="Times New Roman"/>
                <w:color w:val="000000"/>
                <w:szCs w:val="22"/>
              </w:rPr>
            </w:pPr>
            <w:r w:rsidRPr="00961E0F">
              <w:rPr>
                <w:rFonts w:ascii="Times New Roman" w:hAnsi="Times New Roman"/>
                <w:noProof/>
                <w:color w:val="000000"/>
                <w:szCs w:val="22"/>
                <w:lang w:val="it-IT"/>
              </w:rPr>
              <w:t>Tel: +40 21 31299 01</w:t>
            </w:r>
          </w:p>
        </w:tc>
      </w:tr>
      <w:tr w:rsidR="005057D2" w:rsidRPr="00961E0F" w14:paraId="0B8402A2" w14:textId="77777777" w:rsidTr="000666D1">
        <w:trPr>
          <w:cantSplit/>
        </w:trPr>
        <w:tc>
          <w:tcPr>
            <w:tcW w:w="4650" w:type="dxa"/>
          </w:tcPr>
          <w:p w14:paraId="0624A07F" w14:textId="77777777" w:rsidR="005057D2" w:rsidRPr="00961E0F" w:rsidRDefault="005057D2" w:rsidP="00BE2571">
            <w:pPr>
              <w:rPr>
                <w:rFonts w:ascii="Times New Roman" w:hAnsi="Times New Roman"/>
                <w:b/>
                <w:color w:val="000000"/>
                <w:szCs w:val="22"/>
                <w:lang w:val="en-US"/>
              </w:rPr>
            </w:pPr>
            <w:smartTag w:uri="urn:schemas-microsoft-com:office:smarttags" w:element="place">
              <w:smartTag w:uri="urn:schemas-microsoft-com:office:smarttags" w:element="country-region">
                <w:r w:rsidRPr="00961E0F">
                  <w:rPr>
                    <w:rFonts w:ascii="Times New Roman" w:hAnsi="Times New Roman"/>
                    <w:b/>
                    <w:color w:val="000000"/>
                    <w:szCs w:val="22"/>
                    <w:lang w:val="en-US"/>
                  </w:rPr>
                  <w:t>Ireland</w:t>
                </w:r>
              </w:smartTag>
            </w:smartTag>
          </w:p>
          <w:p w14:paraId="462DEEF2"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Ireland Limited</w:t>
            </w:r>
          </w:p>
          <w:p w14:paraId="6B348657"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Tel: +353 1 260 12 55</w:t>
            </w:r>
          </w:p>
          <w:p w14:paraId="59129BEF" w14:textId="77777777" w:rsidR="005057D2" w:rsidRPr="00961E0F" w:rsidRDefault="005057D2" w:rsidP="00BE2571">
            <w:pPr>
              <w:rPr>
                <w:rFonts w:ascii="Times New Roman" w:hAnsi="Times New Roman"/>
                <w:b/>
                <w:color w:val="000000"/>
                <w:szCs w:val="22"/>
                <w:lang w:val="en-US"/>
              </w:rPr>
            </w:pPr>
          </w:p>
        </w:tc>
        <w:tc>
          <w:tcPr>
            <w:tcW w:w="4650" w:type="dxa"/>
          </w:tcPr>
          <w:p w14:paraId="39F5020E"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Slovenija</w:t>
            </w:r>
          </w:p>
          <w:p w14:paraId="075CB1F3"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Pharma Services Inc.</w:t>
            </w:r>
          </w:p>
          <w:p w14:paraId="0A23691C"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+386 1 300 75 50</w:t>
            </w:r>
          </w:p>
        </w:tc>
      </w:tr>
      <w:tr w:rsidR="005057D2" w:rsidRPr="00961E0F" w14:paraId="6713E3C4" w14:textId="77777777" w:rsidTr="000666D1">
        <w:trPr>
          <w:cantSplit/>
        </w:trPr>
        <w:tc>
          <w:tcPr>
            <w:tcW w:w="4650" w:type="dxa"/>
          </w:tcPr>
          <w:p w14:paraId="6265C1D0"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Ísland</w:t>
            </w:r>
          </w:p>
          <w:p w14:paraId="74C934E8"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Vistor hf.</w:t>
            </w:r>
          </w:p>
          <w:p w14:paraId="65FF9B25" w14:textId="77777777" w:rsidR="005057D2" w:rsidRPr="00961E0F" w:rsidRDefault="005057D2" w:rsidP="00BE2571">
            <w:pPr>
              <w:rPr>
                <w:rFonts w:ascii="Times New Roman" w:hAnsi="Times New Roman"/>
                <w:color w:val="000000"/>
                <w:szCs w:val="22"/>
              </w:rPr>
            </w:pPr>
            <w:r w:rsidRPr="00961E0F">
              <w:rPr>
                <w:rFonts w:ascii="Times New Roman" w:hAnsi="Times New Roman"/>
                <w:noProof/>
                <w:color w:val="000000"/>
                <w:szCs w:val="22"/>
                <w:lang w:val="it-IT"/>
              </w:rPr>
              <w:t>S</w:t>
            </w:r>
            <w:r w:rsidRPr="00961E0F">
              <w:rPr>
                <w:rFonts w:ascii="Times New Roman" w:hAnsi="Times New Roman"/>
                <w:noProof/>
                <w:color w:val="000000"/>
                <w:szCs w:val="22"/>
                <w:lang w:val="cs-CZ"/>
              </w:rPr>
              <w:t>í</w:t>
            </w:r>
            <w:r w:rsidRPr="00961E0F">
              <w:rPr>
                <w:rFonts w:ascii="Times New Roman" w:hAnsi="Times New Roman"/>
                <w:noProof/>
                <w:color w:val="000000"/>
                <w:szCs w:val="22"/>
                <w:lang w:val="it-IT"/>
              </w:rPr>
              <w:t>mi</w:t>
            </w:r>
            <w:r w:rsidRPr="00961E0F">
              <w:rPr>
                <w:rFonts w:ascii="Times New Roman" w:hAnsi="Times New Roman"/>
                <w:color w:val="000000"/>
                <w:szCs w:val="22"/>
              </w:rPr>
              <w:t>: +354 535 7000</w:t>
            </w:r>
          </w:p>
          <w:p w14:paraId="19EFC5D1" w14:textId="77777777" w:rsidR="005057D2" w:rsidRPr="00961E0F" w:rsidRDefault="005057D2" w:rsidP="00BE2571">
            <w:pPr>
              <w:rPr>
                <w:rFonts w:ascii="Times New Roman" w:hAnsi="Times New Roman"/>
                <w:b/>
                <w:color w:val="000000"/>
                <w:szCs w:val="22"/>
              </w:rPr>
            </w:pPr>
          </w:p>
        </w:tc>
        <w:tc>
          <w:tcPr>
            <w:tcW w:w="4650" w:type="dxa"/>
          </w:tcPr>
          <w:p w14:paraId="1E84A191"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Slovenská republika</w:t>
            </w:r>
          </w:p>
          <w:p w14:paraId="61370BD2"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Slovakia s.r.o.</w:t>
            </w:r>
          </w:p>
          <w:p w14:paraId="17CD5075"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+421 2 5542 5439</w:t>
            </w:r>
          </w:p>
          <w:p w14:paraId="3A9451D3" w14:textId="77777777" w:rsidR="005057D2" w:rsidRPr="00961E0F" w:rsidRDefault="005057D2" w:rsidP="00BE2571">
            <w:pPr>
              <w:rPr>
                <w:rFonts w:ascii="Times New Roman" w:hAnsi="Times New Roman"/>
                <w:color w:val="000000"/>
                <w:szCs w:val="22"/>
              </w:rPr>
            </w:pPr>
          </w:p>
        </w:tc>
      </w:tr>
      <w:tr w:rsidR="005057D2" w:rsidRPr="00961E0F" w14:paraId="5BC67AC5" w14:textId="77777777" w:rsidTr="000666D1">
        <w:trPr>
          <w:cantSplit/>
        </w:trPr>
        <w:tc>
          <w:tcPr>
            <w:tcW w:w="4650" w:type="dxa"/>
          </w:tcPr>
          <w:p w14:paraId="0115C76D" w14:textId="77777777" w:rsidR="005057D2" w:rsidRPr="00961E0F" w:rsidRDefault="005057D2" w:rsidP="00BE2571">
            <w:pPr>
              <w:rPr>
                <w:rFonts w:ascii="Times New Roman" w:hAnsi="Times New Roman"/>
                <w:b/>
                <w:color w:val="000000"/>
                <w:szCs w:val="22"/>
                <w:lang w:val="pt-BR"/>
              </w:rPr>
            </w:pPr>
            <w:r w:rsidRPr="00961E0F">
              <w:rPr>
                <w:rFonts w:ascii="Times New Roman" w:hAnsi="Times New Roman"/>
                <w:b/>
                <w:color w:val="000000"/>
                <w:szCs w:val="22"/>
                <w:lang w:val="pt-BR"/>
              </w:rPr>
              <w:t>Italia</w:t>
            </w:r>
          </w:p>
          <w:p w14:paraId="3B903F52" w14:textId="77777777" w:rsidR="005057D2" w:rsidRPr="00961E0F" w:rsidRDefault="005057D2" w:rsidP="00BE2571">
            <w:pPr>
              <w:rPr>
                <w:rFonts w:ascii="Times New Roman" w:hAnsi="Times New Roman"/>
                <w:color w:val="000000"/>
                <w:szCs w:val="22"/>
                <w:lang w:val="pt-BR"/>
              </w:rPr>
            </w:pPr>
            <w:r w:rsidRPr="00961E0F">
              <w:rPr>
                <w:rFonts w:ascii="Times New Roman" w:hAnsi="Times New Roman"/>
                <w:color w:val="000000"/>
                <w:szCs w:val="22"/>
                <w:lang w:val="pt-BR"/>
              </w:rPr>
              <w:t>Novartis Farma S.p.A.</w:t>
            </w:r>
          </w:p>
          <w:p w14:paraId="27D9F267" w14:textId="77777777" w:rsidR="005057D2" w:rsidRPr="00961E0F" w:rsidRDefault="005057D2" w:rsidP="00BE2571">
            <w:pPr>
              <w:rPr>
                <w:rFonts w:ascii="Times New Roman" w:hAnsi="Times New Roman"/>
                <w:b/>
                <w:color w:val="000000"/>
                <w:szCs w:val="22"/>
              </w:rPr>
            </w:pPr>
            <w:r w:rsidRPr="00961E0F">
              <w:rPr>
                <w:rFonts w:ascii="Times New Roman" w:hAnsi="Times New Roman"/>
                <w:color w:val="000000"/>
                <w:szCs w:val="22"/>
              </w:rPr>
              <w:t>Tel: +39 02 96 54 1</w:t>
            </w:r>
          </w:p>
        </w:tc>
        <w:tc>
          <w:tcPr>
            <w:tcW w:w="4650" w:type="dxa"/>
          </w:tcPr>
          <w:p w14:paraId="6F350E8A"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Suomi/Finland</w:t>
            </w:r>
          </w:p>
          <w:p w14:paraId="617BBC04"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Novartis Finland Oy</w:t>
            </w:r>
          </w:p>
          <w:p w14:paraId="62E8D744"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 xml:space="preserve">Puh/Tel: </w:t>
            </w:r>
            <w:r w:rsidRPr="00961E0F">
              <w:rPr>
                <w:rFonts w:ascii="Times New Roman" w:hAnsi="Times New Roman"/>
                <w:color w:val="000000"/>
                <w:szCs w:val="22"/>
                <w:lang w:val="de-CH" w:bidi="he-IL"/>
              </w:rPr>
              <w:t>+358 (0)10 6133 200</w:t>
            </w:r>
          </w:p>
          <w:p w14:paraId="19974889" w14:textId="77777777" w:rsidR="005057D2" w:rsidRPr="00961E0F" w:rsidRDefault="005057D2" w:rsidP="00BE2571">
            <w:pPr>
              <w:rPr>
                <w:rFonts w:ascii="Times New Roman" w:hAnsi="Times New Roman"/>
                <w:color w:val="000000"/>
                <w:szCs w:val="22"/>
              </w:rPr>
            </w:pPr>
          </w:p>
        </w:tc>
      </w:tr>
      <w:tr w:rsidR="005057D2" w:rsidRPr="006E2114" w14:paraId="0865274B" w14:textId="77777777" w:rsidTr="000666D1">
        <w:trPr>
          <w:cantSplit/>
        </w:trPr>
        <w:tc>
          <w:tcPr>
            <w:tcW w:w="4650" w:type="dxa"/>
          </w:tcPr>
          <w:p w14:paraId="6860D0F3" w14:textId="77777777" w:rsidR="005057D2" w:rsidRPr="00961E0F" w:rsidRDefault="005057D2" w:rsidP="00BE2571">
            <w:pPr>
              <w:rPr>
                <w:rFonts w:ascii="Times New Roman" w:hAnsi="Times New Roman"/>
                <w:b/>
                <w:color w:val="000000"/>
                <w:szCs w:val="22"/>
              </w:rPr>
            </w:pPr>
            <w:r w:rsidRPr="00961E0F">
              <w:rPr>
                <w:rFonts w:ascii="Times New Roman" w:hAnsi="Times New Roman"/>
                <w:b/>
                <w:color w:val="000000"/>
                <w:szCs w:val="22"/>
              </w:rPr>
              <w:t>Κύπρος</w:t>
            </w:r>
          </w:p>
          <w:p w14:paraId="653CDE01"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lang w:bidi="he-IL"/>
              </w:rPr>
              <w:t>Novartis Pharma Services Inc.</w:t>
            </w:r>
          </w:p>
          <w:p w14:paraId="6B1DC37F"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Τηλ: +357 22 690 690</w:t>
            </w:r>
          </w:p>
          <w:p w14:paraId="6FE1D7FE" w14:textId="77777777" w:rsidR="005057D2" w:rsidRPr="00961E0F" w:rsidRDefault="005057D2" w:rsidP="00BE2571">
            <w:pPr>
              <w:rPr>
                <w:rFonts w:ascii="Times New Roman" w:hAnsi="Times New Roman"/>
                <w:b/>
                <w:color w:val="000000"/>
                <w:szCs w:val="22"/>
              </w:rPr>
            </w:pPr>
          </w:p>
        </w:tc>
        <w:tc>
          <w:tcPr>
            <w:tcW w:w="4650" w:type="dxa"/>
          </w:tcPr>
          <w:p w14:paraId="46282B07" w14:textId="77777777" w:rsidR="005057D2" w:rsidRPr="00961E0F" w:rsidRDefault="005057D2" w:rsidP="00BE2571">
            <w:pPr>
              <w:rPr>
                <w:rFonts w:ascii="Times New Roman" w:hAnsi="Times New Roman"/>
                <w:b/>
                <w:color w:val="000000"/>
                <w:szCs w:val="22"/>
                <w:lang w:val="de-CH"/>
              </w:rPr>
            </w:pPr>
            <w:r w:rsidRPr="00961E0F">
              <w:rPr>
                <w:rFonts w:ascii="Times New Roman" w:hAnsi="Times New Roman"/>
                <w:b/>
                <w:color w:val="000000"/>
                <w:szCs w:val="22"/>
                <w:lang w:val="de-CH"/>
              </w:rPr>
              <w:t>Sverige</w:t>
            </w:r>
          </w:p>
          <w:p w14:paraId="0E0779D9"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Novartis Sverige AB</w:t>
            </w:r>
          </w:p>
          <w:p w14:paraId="4FDA2630" w14:textId="77777777" w:rsidR="005057D2" w:rsidRPr="00961E0F" w:rsidRDefault="005057D2" w:rsidP="00BE2571">
            <w:pPr>
              <w:rPr>
                <w:rFonts w:ascii="Times New Roman" w:hAnsi="Times New Roman"/>
                <w:color w:val="000000"/>
                <w:szCs w:val="22"/>
                <w:lang w:val="de-CH"/>
              </w:rPr>
            </w:pPr>
            <w:r w:rsidRPr="00961E0F">
              <w:rPr>
                <w:rFonts w:ascii="Times New Roman" w:hAnsi="Times New Roman"/>
                <w:color w:val="000000"/>
                <w:szCs w:val="22"/>
                <w:lang w:val="de-CH"/>
              </w:rPr>
              <w:t>Tel: +46 8 732 32 00</w:t>
            </w:r>
          </w:p>
          <w:p w14:paraId="7EF7EDA7" w14:textId="77777777" w:rsidR="005057D2" w:rsidRPr="00961E0F" w:rsidRDefault="005057D2" w:rsidP="00BE2571">
            <w:pPr>
              <w:rPr>
                <w:rFonts w:ascii="Times New Roman" w:hAnsi="Times New Roman"/>
                <w:color w:val="000000"/>
                <w:szCs w:val="22"/>
                <w:lang w:val="de-CH"/>
              </w:rPr>
            </w:pPr>
          </w:p>
        </w:tc>
      </w:tr>
      <w:tr w:rsidR="005057D2" w:rsidRPr="00961E0F" w14:paraId="4DFA2B39" w14:textId="77777777" w:rsidTr="000666D1">
        <w:trPr>
          <w:cantSplit/>
        </w:trPr>
        <w:tc>
          <w:tcPr>
            <w:tcW w:w="4650" w:type="dxa"/>
          </w:tcPr>
          <w:p w14:paraId="2BA11308" w14:textId="77777777" w:rsidR="005057D2" w:rsidRPr="00961E0F" w:rsidRDefault="005057D2" w:rsidP="00BE2571">
            <w:pPr>
              <w:rPr>
                <w:rFonts w:ascii="Times New Roman" w:hAnsi="Times New Roman"/>
                <w:b/>
                <w:color w:val="000000"/>
                <w:szCs w:val="22"/>
                <w:lang w:val="it-IT"/>
              </w:rPr>
            </w:pPr>
            <w:r w:rsidRPr="00961E0F">
              <w:rPr>
                <w:rFonts w:ascii="Times New Roman" w:hAnsi="Times New Roman"/>
                <w:b/>
                <w:color w:val="000000"/>
                <w:szCs w:val="22"/>
                <w:lang w:val="it-IT"/>
              </w:rPr>
              <w:t>Latvija</w:t>
            </w:r>
          </w:p>
          <w:p w14:paraId="5D63E8E1" w14:textId="4F8C3A44" w:rsidR="005057D2" w:rsidRPr="00961E0F" w:rsidRDefault="00E07259" w:rsidP="00BE2571">
            <w:pPr>
              <w:rPr>
                <w:rFonts w:ascii="Times New Roman" w:hAnsi="Times New Roman"/>
                <w:color w:val="000000"/>
                <w:szCs w:val="22"/>
                <w:lang w:val="it-IT"/>
              </w:rPr>
            </w:pPr>
            <w:r w:rsidRPr="00961E0F">
              <w:rPr>
                <w:rFonts w:ascii="Times New Roman" w:hAnsi="Times New Roman"/>
                <w:color w:val="000000"/>
                <w:szCs w:val="22"/>
                <w:lang w:val="it-IT"/>
              </w:rPr>
              <w:t xml:space="preserve">SIA </w:t>
            </w:r>
            <w:r w:rsidR="00505205" w:rsidRPr="00961E0F">
              <w:rPr>
                <w:rFonts w:ascii="Times New Roman" w:hAnsi="Times New Roman"/>
                <w:color w:val="000000"/>
                <w:szCs w:val="22"/>
                <w:lang w:val="it-IT"/>
              </w:rPr>
              <w:t>Novartis Baltics</w:t>
            </w:r>
          </w:p>
          <w:p w14:paraId="5CE9EACF" w14:textId="77777777" w:rsidR="005057D2" w:rsidRPr="00961E0F" w:rsidRDefault="005057D2" w:rsidP="00BE2571">
            <w:pPr>
              <w:rPr>
                <w:rFonts w:ascii="Times New Roman" w:hAnsi="Times New Roman"/>
                <w:color w:val="000000"/>
                <w:szCs w:val="22"/>
                <w:lang w:val="it-IT"/>
              </w:rPr>
            </w:pPr>
            <w:r w:rsidRPr="00961E0F">
              <w:rPr>
                <w:rFonts w:ascii="Times New Roman" w:hAnsi="Times New Roman"/>
                <w:color w:val="000000"/>
                <w:szCs w:val="22"/>
                <w:lang w:val="it-IT"/>
              </w:rPr>
              <w:t>Tel: +371 67 887 070</w:t>
            </w:r>
          </w:p>
          <w:p w14:paraId="14E1F6B2" w14:textId="77777777" w:rsidR="005057D2" w:rsidRPr="00961E0F" w:rsidRDefault="005057D2" w:rsidP="00BE2571">
            <w:pPr>
              <w:rPr>
                <w:rFonts w:ascii="Times New Roman" w:hAnsi="Times New Roman"/>
                <w:b/>
                <w:color w:val="000000"/>
                <w:szCs w:val="22"/>
                <w:lang w:val="it-IT"/>
              </w:rPr>
            </w:pPr>
          </w:p>
        </w:tc>
        <w:tc>
          <w:tcPr>
            <w:tcW w:w="4650" w:type="dxa"/>
          </w:tcPr>
          <w:p w14:paraId="3BC1C8EE" w14:textId="77777777" w:rsidR="005057D2" w:rsidRPr="00961E0F" w:rsidRDefault="005057D2" w:rsidP="00BE2571">
            <w:pPr>
              <w:rPr>
                <w:rFonts w:ascii="Times New Roman" w:hAnsi="Times New Roman"/>
                <w:b/>
                <w:color w:val="000000"/>
                <w:szCs w:val="22"/>
                <w:lang w:val="en-US"/>
              </w:rPr>
            </w:pPr>
            <w:smartTag w:uri="urn:schemas-microsoft-com:office:smarttags" w:element="place">
              <w:smartTag w:uri="urn:schemas-microsoft-com:office:smarttags" w:element="country-region">
                <w:r w:rsidRPr="00961E0F">
                  <w:rPr>
                    <w:rFonts w:ascii="Times New Roman" w:hAnsi="Times New Roman"/>
                    <w:b/>
                    <w:color w:val="000000"/>
                    <w:szCs w:val="22"/>
                    <w:lang w:val="en-US"/>
                  </w:rPr>
                  <w:t>United Kingdom</w:t>
                </w:r>
              </w:smartTag>
            </w:smartTag>
          </w:p>
          <w:p w14:paraId="14462A21" w14:textId="77777777" w:rsidR="005057D2" w:rsidRPr="00961E0F" w:rsidRDefault="005057D2" w:rsidP="00BE2571">
            <w:pPr>
              <w:rPr>
                <w:rFonts w:ascii="Times New Roman" w:hAnsi="Times New Roman"/>
                <w:color w:val="000000"/>
                <w:szCs w:val="22"/>
                <w:lang w:val="en-US"/>
              </w:rPr>
            </w:pPr>
            <w:r w:rsidRPr="00961E0F">
              <w:rPr>
                <w:rFonts w:ascii="Times New Roman" w:hAnsi="Times New Roman"/>
                <w:color w:val="000000"/>
                <w:szCs w:val="22"/>
                <w:lang w:val="en-US"/>
              </w:rPr>
              <w:t>Novartis Pharmaceuticals UK Ltd.</w:t>
            </w:r>
          </w:p>
          <w:p w14:paraId="62CAFB65" w14:textId="77777777" w:rsidR="005057D2" w:rsidRPr="00961E0F" w:rsidRDefault="005057D2" w:rsidP="00BE2571">
            <w:pPr>
              <w:rPr>
                <w:rFonts w:ascii="Times New Roman" w:hAnsi="Times New Roman"/>
                <w:color w:val="000000"/>
                <w:szCs w:val="22"/>
              </w:rPr>
            </w:pPr>
            <w:r w:rsidRPr="00961E0F">
              <w:rPr>
                <w:rFonts w:ascii="Times New Roman" w:hAnsi="Times New Roman"/>
                <w:color w:val="000000"/>
                <w:szCs w:val="22"/>
              </w:rPr>
              <w:t>Tel: +44 1276 698370</w:t>
            </w:r>
          </w:p>
          <w:p w14:paraId="201B2F81" w14:textId="77777777" w:rsidR="005057D2" w:rsidRPr="00961E0F" w:rsidRDefault="005057D2" w:rsidP="00BE2571">
            <w:pPr>
              <w:rPr>
                <w:rFonts w:ascii="Times New Roman" w:hAnsi="Times New Roman"/>
                <w:color w:val="000000"/>
                <w:szCs w:val="22"/>
              </w:rPr>
            </w:pPr>
          </w:p>
        </w:tc>
      </w:tr>
    </w:tbl>
    <w:p w14:paraId="11590EDD" w14:textId="77777777" w:rsidR="005057D2" w:rsidRPr="00961E0F" w:rsidRDefault="005057D2" w:rsidP="005057D2">
      <w:pPr>
        <w:widowControl w:val="0"/>
        <w:ind w:right="-449"/>
        <w:rPr>
          <w:rFonts w:ascii="Times New Roman" w:hAnsi="Times New Roman"/>
          <w:color w:val="000000"/>
          <w:szCs w:val="22"/>
        </w:rPr>
      </w:pPr>
    </w:p>
    <w:p w14:paraId="209BF001" w14:textId="77777777" w:rsidR="007D642D" w:rsidRPr="00961E0F" w:rsidRDefault="007D642D">
      <w:pPr>
        <w:widowControl w:val="0"/>
        <w:numPr>
          <w:ilvl w:val="12"/>
          <w:numId w:val="0"/>
        </w:numPr>
        <w:ind w:right="-2"/>
        <w:rPr>
          <w:rFonts w:ascii="Times New Roman" w:hAnsi="Times New Roman"/>
          <w:b/>
          <w:color w:val="000000"/>
          <w:szCs w:val="22"/>
        </w:rPr>
      </w:pPr>
      <w:r w:rsidRPr="00961E0F">
        <w:rPr>
          <w:rFonts w:ascii="Times New Roman" w:hAnsi="Times New Roman"/>
          <w:b/>
          <w:color w:val="000000"/>
          <w:szCs w:val="22"/>
        </w:rPr>
        <w:t>La dernière date à laquelle cette notice a été révisée est</w:t>
      </w:r>
    </w:p>
    <w:p w14:paraId="1953274A" w14:textId="77777777" w:rsidR="007D642D" w:rsidRPr="00961E0F" w:rsidRDefault="007D642D">
      <w:pPr>
        <w:widowControl w:val="0"/>
        <w:numPr>
          <w:ilvl w:val="12"/>
          <w:numId w:val="0"/>
        </w:numPr>
        <w:ind w:right="-2"/>
        <w:rPr>
          <w:rFonts w:ascii="Times New Roman" w:hAnsi="Times New Roman"/>
          <w:bCs/>
          <w:color w:val="000000"/>
          <w:szCs w:val="22"/>
        </w:rPr>
      </w:pPr>
    </w:p>
    <w:p w14:paraId="2616FBF4" w14:textId="77777777" w:rsidR="007D642D" w:rsidRPr="00961E0F" w:rsidRDefault="007D642D" w:rsidP="001B1245">
      <w:pPr>
        <w:keepNext/>
        <w:widowControl w:val="0"/>
        <w:numPr>
          <w:ilvl w:val="12"/>
          <w:numId w:val="0"/>
        </w:numPr>
        <w:rPr>
          <w:rFonts w:ascii="Times New Roman" w:hAnsi="Times New Roman"/>
          <w:b/>
          <w:bCs/>
          <w:color w:val="000000"/>
          <w:szCs w:val="22"/>
        </w:rPr>
      </w:pPr>
      <w:r w:rsidRPr="00961E0F">
        <w:rPr>
          <w:rFonts w:ascii="Times New Roman" w:hAnsi="Times New Roman"/>
          <w:b/>
          <w:bCs/>
          <w:color w:val="000000"/>
          <w:szCs w:val="22"/>
        </w:rPr>
        <w:t>Autres sources d’informations</w:t>
      </w:r>
    </w:p>
    <w:p w14:paraId="5ACC90B6" w14:textId="77777777" w:rsidR="007D642D" w:rsidRPr="00961E0F" w:rsidRDefault="007D642D">
      <w:pPr>
        <w:rPr>
          <w:rFonts w:ascii="Times New Roman" w:hAnsi="Times New Roman"/>
          <w:color w:val="000000"/>
          <w:szCs w:val="22"/>
        </w:rPr>
      </w:pPr>
      <w:r w:rsidRPr="00961E0F">
        <w:rPr>
          <w:rFonts w:ascii="Times New Roman" w:hAnsi="Times New Roman"/>
          <w:color w:val="000000"/>
          <w:szCs w:val="22"/>
        </w:rPr>
        <w:t>Des informations détaillées sur ce médicament sont disponibles sur le site internet de l’Agence européenne des médicaments http://www.ema.europa.eu</w:t>
      </w:r>
    </w:p>
    <w:p w14:paraId="413F53A3" w14:textId="50300A4F" w:rsidR="007D642D" w:rsidRPr="00961E0F" w:rsidRDefault="007D642D" w:rsidP="00D81F3B">
      <w:pPr>
        <w:widowControl w:val="0"/>
        <w:suppressAutoHyphens/>
        <w:ind w:left="-142" w:firstLine="142"/>
        <w:jc w:val="center"/>
        <w:rPr>
          <w:rFonts w:ascii="Times New Roman" w:hAnsi="Times New Roman"/>
          <w:color w:val="000000"/>
          <w:szCs w:val="22"/>
        </w:rPr>
      </w:pPr>
    </w:p>
    <w:p w14:paraId="3578593A" w14:textId="576B46B2" w:rsidR="00F65F59" w:rsidRPr="006C4C18" w:rsidRDefault="00F65F59" w:rsidP="006C4C18">
      <w:pPr>
        <w:pStyle w:val="EndnoteText"/>
        <w:widowControl w:val="0"/>
        <w:tabs>
          <w:tab w:val="clear" w:pos="567"/>
        </w:tabs>
        <w:suppressAutoHyphens/>
        <w:rPr>
          <w:color w:val="000000"/>
          <w:szCs w:val="22"/>
          <w:lang w:val="fr-FR"/>
        </w:rPr>
      </w:pPr>
    </w:p>
    <w:sectPr w:rsidR="00F65F59" w:rsidRPr="006C4C18">
      <w:headerReference w:type="even" r:id="rId18"/>
      <w:headerReference w:type="default" r:id="rId19"/>
      <w:footerReference w:type="even" r:id="rId20"/>
      <w:footerReference w:type="default" r:id="rId21"/>
      <w:headerReference w:type="first" r:id="rId22"/>
      <w:footerReference w:type="first" r:id="rId23"/>
      <w:pgSz w:w="11906" w:h="16838"/>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9D071" w14:textId="77777777" w:rsidR="002D746F" w:rsidRDefault="002D746F">
      <w:r>
        <w:separator/>
      </w:r>
    </w:p>
  </w:endnote>
  <w:endnote w:type="continuationSeparator" w:id="0">
    <w:p w14:paraId="2BB98FFA" w14:textId="77777777" w:rsidR="002D746F" w:rsidRDefault="002D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UI"/>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0F26" w14:textId="77777777" w:rsidR="002D746F" w:rsidRDefault="002D74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C0EC1" w14:textId="77777777" w:rsidR="002D746F" w:rsidRDefault="002D7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BA9" w14:textId="75C509C0" w:rsidR="002D746F" w:rsidRDefault="002D746F">
    <w:pPr>
      <w:pStyle w:val="Footer"/>
      <w:framePr w:wrap="around" w:vAnchor="text" w:hAnchor="margin" w:xAlign="center" w:y="1"/>
      <w:rPr>
        <w:rStyle w:val="PageNumber"/>
        <w:rFonts w:ascii="Arial" w:hAnsi="Arial" w:cs="Arial"/>
        <w:sz w:val="16"/>
        <w:szCs w:val="16"/>
      </w:rPr>
    </w:pPr>
    <w:r>
      <w:rPr>
        <w:rStyle w:val="PageNumber"/>
        <w:rFonts w:ascii="Arial" w:hAnsi="Arial" w:cs="Arial"/>
        <w:sz w:val="16"/>
        <w:szCs w:val="16"/>
      </w:rPr>
      <w:fldChar w:fldCharType="begin"/>
    </w:r>
    <w:r>
      <w:rPr>
        <w:rStyle w:val="PageNumber"/>
        <w:rFonts w:ascii="Arial" w:hAnsi="Arial" w:cs="Arial"/>
        <w:sz w:val="16"/>
        <w:szCs w:val="16"/>
      </w:rPr>
      <w:instrText xml:space="preserve">PAGE  </w:instrText>
    </w:r>
    <w:r>
      <w:rPr>
        <w:rStyle w:val="PageNumber"/>
        <w:rFonts w:ascii="Arial" w:hAnsi="Arial" w:cs="Arial"/>
        <w:sz w:val="16"/>
        <w:szCs w:val="16"/>
      </w:rPr>
      <w:fldChar w:fldCharType="separate"/>
    </w:r>
    <w:r w:rsidR="00764E13">
      <w:rPr>
        <w:rStyle w:val="PageNumber"/>
        <w:rFonts w:ascii="Arial" w:hAnsi="Arial" w:cs="Arial"/>
        <w:noProof/>
        <w:sz w:val="16"/>
        <w:szCs w:val="16"/>
      </w:rPr>
      <w:t>110</w:t>
    </w:r>
    <w:r>
      <w:rPr>
        <w:rStyle w:val="PageNumber"/>
        <w:rFonts w:ascii="Arial" w:hAnsi="Arial" w:cs="Arial"/>
        <w:sz w:val="16"/>
        <w:szCs w:val="16"/>
      </w:rPr>
      <w:fldChar w:fldCharType="end"/>
    </w:r>
  </w:p>
  <w:p w14:paraId="351D4C33" w14:textId="77777777" w:rsidR="002D746F" w:rsidRDefault="002D746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CB4F2" w14:textId="77777777" w:rsidR="002D746F" w:rsidRDefault="002D7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E312" w14:textId="77777777" w:rsidR="002D746F" w:rsidRDefault="002D746F">
      <w:r>
        <w:separator/>
      </w:r>
    </w:p>
  </w:footnote>
  <w:footnote w:type="continuationSeparator" w:id="0">
    <w:p w14:paraId="0210F480" w14:textId="77777777" w:rsidR="002D746F" w:rsidRDefault="002D7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0DCAD" w14:textId="77777777" w:rsidR="002D746F" w:rsidRDefault="002D7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C7944" w14:textId="77777777" w:rsidR="002D746F" w:rsidRDefault="002D7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F110" w14:textId="77777777" w:rsidR="002D746F" w:rsidRDefault="002D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singleLevel"/>
    <w:tmpl w:val="000104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E2D82"/>
    <w:multiLevelType w:val="hybridMultilevel"/>
    <w:tmpl w:val="2C900406"/>
    <w:lvl w:ilvl="0" w:tplc="5CC6A978">
      <w:start w:val="2"/>
      <w:numFmt w:val="bullet"/>
      <w:lvlText w:val="-"/>
      <w:lvlJc w:val="left"/>
      <w:pPr>
        <w:tabs>
          <w:tab w:val="num" w:pos="927"/>
        </w:tabs>
        <w:ind w:left="927" w:hanging="360"/>
      </w:pPr>
      <w:rPr>
        <w:strike w:val="0"/>
        <w:dstrike w:val="0"/>
        <w:u w:val="none" w:color="000000"/>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6A584D"/>
    <w:multiLevelType w:val="hybridMultilevel"/>
    <w:tmpl w:val="A08ED044"/>
    <w:lvl w:ilvl="0" w:tplc="355EA900">
      <w:start w:val="1"/>
      <w:numFmt w:val="bullet"/>
      <w:lvlText w:val=""/>
      <w:lvlPicBulletId w:val="0"/>
      <w:lvlJc w:val="left"/>
      <w:pPr>
        <w:tabs>
          <w:tab w:val="num" w:pos="720"/>
        </w:tabs>
        <w:ind w:left="720" w:hanging="360"/>
      </w:pPr>
      <w:rPr>
        <w:rFonts w:ascii="Symbol" w:hAnsi="Symbol" w:hint="default"/>
      </w:rPr>
    </w:lvl>
    <w:lvl w:ilvl="1" w:tplc="EEF488C6" w:tentative="1">
      <w:start w:val="1"/>
      <w:numFmt w:val="bullet"/>
      <w:lvlText w:val=""/>
      <w:lvlJc w:val="left"/>
      <w:pPr>
        <w:tabs>
          <w:tab w:val="num" w:pos="1440"/>
        </w:tabs>
        <w:ind w:left="1440" w:hanging="360"/>
      </w:pPr>
      <w:rPr>
        <w:rFonts w:ascii="Symbol" w:hAnsi="Symbol" w:hint="default"/>
      </w:rPr>
    </w:lvl>
    <w:lvl w:ilvl="2" w:tplc="B6F0C06A" w:tentative="1">
      <w:start w:val="1"/>
      <w:numFmt w:val="bullet"/>
      <w:lvlText w:val=""/>
      <w:lvlJc w:val="left"/>
      <w:pPr>
        <w:tabs>
          <w:tab w:val="num" w:pos="2160"/>
        </w:tabs>
        <w:ind w:left="2160" w:hanging="360"/>
      </w:pPr>
      <w:rPr>
        <w:rFonts w:ascii="Symbol" w:hAnsi="Symbol" w:hint="default"/>
      </w:rPr>
    </w:lvl>
    <w:lvl w:ilvl="3" w:tplc="1A129F2E" w:tentative="1">
      <w:start w:val="1"/>
      <w:numFmt w:val="bullet"/>
      <w:lvlText w:val=""/>
      <w:lvlJc w:val="left"/>
      <w:pPr>
        <w:tabs>
          <w:tab w:val="num" w:pos="2880"/>
        </w:tabs>
        <w:ind w:left="2880" w:hanging="360"/>
      </w:pPr>
      <w:rPr>
        <w:rFonts w:ascii="Symbol" w:hAnsi="Symbol" w:hint="default"/>
      </w:rPr>
    </w:lvl>
    <w:lvl w:ilvl="4" w:tplc="272C1A20" w:tentative="1">
      <w:start w:val="1"/>
      <w:numFmt w:val="bullet"/>
      <w:lvlText w:val=""/>
      <w:lvlJc w:val="left"/>
      <w:pPr>
        <w:tabs>
          <w:tab w:val="num" w:pos="3600"/>
        </w:tabs>
        <w:ind w:left="3600" w:hanging="360"/>
      </w:pPr>
      <w:rPr>
        <w:rFonts w:ascii="Symbol" w:hAnsi="Symbol" w:hint="default"/>
      </w:rPr>
    </w:lvl>
    <w:lvl w:ilvl="5" w:tplc="9BE4F124" w:tentative="1">
      <w:start w:val="1"/>
      <w:numFmt w:val="bullet"/>
      <w:lvlText w:val=""/>
      <w:lvlJc w:val="left"/>
      <w:pPr>
        <w:tabs>
          <w:tab w:val="num" w:pos="4320"/>
        </w:tabs>
        <w:ind w:left="4320" w:hanging="360"/>
      </w:pPr>
      <w:rPr>
        <w:rFonts w:ascii="Symbol" w:hAnsi="Symbol" w:hint="default"/>
      </w:rPr>
    </w:lvl>
    <w:lvl w:ilvl="6" w:tplc="8C36581A" w:tentative="1">
      <w:start w:val="1"/>
      <w:numFmt w:val="bullet"/>
      <w:lvlText w:val=""/>
      <w:lvlJc w:val="left"/>
      <w:pPr>
        <w:tabs>
          <w:tab w:val="num" w:pos="5040"/>
        </w:tabs>
        <w:ind w:left="5040" w:hanging="360"/>
      </w:pPr>
      <w:rPr>
        <w:rFonts w:ascii="Symbol" w:hAnsi="Symbol" w:hint="default"/>
      </w:rPr>
    </w:lvl>
    <w:lvl w:ilvl="7" w:tplc="6DBC4FC4" w:tentative="1">
      <w:start w:val="1"/>
      <w:numFmt w:val="bullet"/>
      <w:lvlText w:val=""/>
      <w:lvlJc w:val="left"/>
      <w:pPr>
        <w:tabs>
          <w:tab w:val="num" w:pos="5760"/>
        </w:tabs>
        <w:ind w:left="5760" w:hanging="360"/>
      </w:pPr>
      <w:rPr>
        <w:rFonts w:ascii="Symbol" w:hAnsi="Symbol" w:hint="default"/>
      </w:rPr>
    </w:lvl>
    <w:lvl w:ilvl="8" w:tplc="A45CE1A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F1301C4"/>
    <w:multiLevelType w:val="singleLevel"/>
    <w:tmpl w:val="FFFFFFFF"/>
    <w:lvl w:ilvl="0">
      <w:start w:val="1"/>
      <w:numFmt w:val="bullet"/>
      <w:lvlText w:val="-"/>
      <w:legacy w:legacy="1" w:legacySpace="0" w:legacyIndent="360"/>
      <w:lvlJc w:val="left"/>
      <w:pPr>
        <w:ind w:left="360" w:hanging="360"/>
      </w:pPr>
    </w:lvl>
  </w:abstractNum>
  <w:abstractNum w:abstractNumId="7" w15:restartNumberingAfterBreak="0">
    <w:nsid w:val="15BB5A89"/>
    <w:multiLevelType w:val="hybridMultilevel"/>
    <w:tmpl w:val="FF2E2228"/>
    <w:lvl w:ilvl="0" w:tplc="6F48B114">
      <w:numFmt w:val="bullet"/>
      <w:lvlText w:val="-"/>
      <w:lvlJc w:val="left"/>
      <w:pPr>
        <w:tabs>
          <w:tab w:val="num" w:pos="720"/>
        </w:tabs>
        <w:ind w:left="720" w:hanging="360"/>
      </w:pPr>
      <w:rPr>
        <w:rFonts w:ascii="Sabon" w:eastAsia="Times New Roman" w:hAnsi="Sab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6727DF"/>
    <w:multiLevelType w:val="hybridMultilevel"/>
    <w:tmpl w:val="B5D2C4D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5352D"/>
    <w:multiLevelType w:val="hybridMultilevel"/>
    <w:tmpl w:val="862AA19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1EBD761E"/>
    <w:multiLevelType w:val="hybridMultilevel"/>
    <w:tmpl w:val="59D22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B0AF0"/>
    <w:multiLevelType w:val="hybridMultilevel"/>
    <w:tmpl w:val="8744AD8C"/>
    <w:lvl w:ilvl="0" w:tplc="3102767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1F0058"/>
    <w:multiLevelType w:val="hybridMultilevel"/>
    <w:tmpl w:val="0D4ED63A"/>
    <w:lvl w:ilvl="0" w:tplc="C206EBF6">
      <w:start w:val="2"/>
      <w:numFmt w:val="bullet"/>
      <w:lvlText w:val="-"/>
      <w:lvlJc w:val="left"/>
      <w:pPr>
        <w:tabs>
          <w:tab w:val="num" w:pos="-113"/>
        </w:tabs>
        <w:ind w:left="392" w:hanging="392"/>
      </w:pPr>
      <w:rPr>
        <w:rFonts w:hint="default"/>
        <w:u w:val="none" w:color="000000"/>
      </w:rPr>
    </w:lvl>
    <w:lvl w:ilvl="1" w:tplc="04090003" w:tentative="1">
      <w:start w:val="1"/>
      <w:numFmt w:val="bullet"/>
      <w:lvlText w:val="o"/>
      <w:lvlJc w:val="left"/>
      <w:pPr>
        <w:tabs>
          <w:tab w:val="num" w:pos="1327"/>
        </w:tabs>
        <w:ind w:left="1327" w:hanging="360"/>
      </w:pPr>
      <w:rPr>
        <w:rFonts w:ascii="Courier New" w:hAnsi="Courier New" w:cs="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cs="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cs="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3" w15:restartNumberingAfterBreak="0">
    <w:nsid w:val="2DDC14B7"/>
    <w:multiLevelType w:val="hybridMultilevel"/>
    <w:tmpl w:val="D6063598"/>
    <w:lvl w:ilvl="0" w:tplc="E1B46736">
      <w:start w:val="2"/>
      <w:numFmt w:val="bullet"/>
      <w:lvlText w:val=""/>
      <w:lvlJc w:val="left"/>
      <w:pPr>
        <w:tabs>
          <w:tab w:val="num" w:pos="927"/>
        </w:tabs>
        <w:ind w:left="927" w:hanging="360"/>
      </w:pPr>
      <w:rPr>
        <w:rFonts w:ascii="Symbol" w:hAnsi="Symbol" w:hint="default"/>
        <w:color w:val="000000"/>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1D2577"/>
    <w:multiLevelType w:val="hybridMultilevel"/>
    <w:tmpl w:val="3D3CBA1A"/>
    <w:lvl w:ilvl="0" w:tplc="6F48B114">
      <w:numFmt w:val="bullet"/>
      <w:lvlText w:val="-"/>
      <w:lvlJc w:val="left"/>
      <w:pPr>
        <w:tabs>
          <w:tab w:val="num" w:pos="720"/>
        </w:tabs>
        <w:ind w:left="720" w:hanging="360"/>
      </w:pPr>
      <w:rPr>
        <w:rFonts w:ascii="Sabon" w:eastAsia="Times New Roman" w:hAnsi="Sab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74438"/>
    <w:multiLevelType w:val="hybridMultilevel"/>
    <w:tmpl w:val="CFDCAC20"/>
    <w:lvl w:ilvl="0" w:tplc="31027674">
      <w:start w:val="1"/>
      <w:numFmt w:val="bullet"/>
      <w:lvlText w:val=""/>
      <w:lvlJc w:val="left"/>
      <w:pPr>
        <w:tabs>
          <w:tab w:val="num" w:pos="678"/>
        </w:tabs>
        <w:ind w:left="67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0F2957"/>
    <w:multiLevelType w:val="hybridMultilevel"/>
    <w:tmpl w:val="40960E8A"/>
    <w:lvl w:ilvl="0" w:tplc="3102767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024D0D"/>
    <w:multiLevelType w:val="hybridMultilevel"/>
    <w:tmpl w:val="6F022688"/>
    <w:lvl w:ilvl="0" w:tplc="C206EBF6">
      <w:start w:val="2"/>
      <w:numFmt w:val="bullet"/>
      <w:lvlText w:val="-"/>
      <w:lvlJc w:val="left"/>
      <w:pPr>
        <w:tabs>
          <w:tab w:val="num" w:pos="0"/>
        </w:tabs>
        <w:ind w:left="505" w:hanging="392"/>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F33E88"/>
    <w:multiLevelType w:val="hybridMultilevel"/>
    <w:tmpl w:val="EC8402F6"/>
    <w:lvl w:ilvl="0" w:tplc="1E1A4402">
      <w:start w:val="2"/>
      <w:numFmt w:val="bullet"/>
      <w:lvlText w:val="-"/>
      <w:lvlJc w:val="left"/>
      <w:pPr>
        <w:tabs>
          <w:tab w:val="num" w:pos="360"/>
        </w:tabs>
        <w:ind w:left="360" w:hanging="360"/>
      </w:pPr>
      <w:rPr>
        <w:strike w:val="0"/>
        <w:dstrike w:val="0"/>
        <w:u w:val="none" w:color="000000"/>
        <w:effect w:val="none"/>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52414F5F"/>
    <w:multiLevelType w:val="hybridMultilevel"/>
    <w:tmpl w:val="808608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762966"/>
    <w:multiLevelType w:val="hybridMultilevel"/>
    <w:tmpl w:val="252EB9A8"/>
    <w:lvl w:ilvl="0" w:tplc="3102767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22"/>
        </w:tabs>
        <w:ind w:left="1122" w:hanging="360"/>
      </w:pPr>
      <w:rPr>
        <w:rFonts w:ascii="Courier New" w:hAnsi="Courier New" w:cs="Courier New" w:hint="default"/>
      </w:rPr>
    </w:lvl>
    <w:lvl w:ilvl="2" w:tplc="04090005" w:tentative="1">
      <w:start w:val="1"/>
      <w:numFmt w:val="bullet"/>
      <w:lvlText w:val=""/>
      <w:lvlJc w:val="left"/>
      <w:pPr>
        <w:tabs>
          <w:tab w:val="num" w:pos="1842"/>
        </w:tabs>
        <w:ind w:left="1842" w:hanging="360"/>
      </w:pPr>
      <w:rPr>
        <w:rFonts w:ascii="Wingdings" w:hAnsi="Wingdings" w:hint="default"/>
      </w:rPr>
    </w:lvl>
    <w:lvl w:ilvl="3" w:tplc="04090001" w:tentative="1">
      <w:start w:val="1"/>
      <w:numFmt w:val="bullet"/>
      <w:lvlText w:val=""/>
      <w:lvlJc w:val="left"/>
      <w:pPr>
        <w:tabs>
          <w:tab w:val="num" w:pos="2562"/>
        </w:tabs>
        <w:ind w:left="2562" w:hanging="360"/>
      </w:pPr>
      <w:rPr>
        <w:rFonts w:ascii="Symbol" w:hAnsi="Symbol" w:hint="default"/>
      </w:rPr>
    </w:lvl>
    <w:lvl w:ilvl="4" w:tplc="04090003" w:tentative="1">
      <w:start w:val="1"/>
      <w:numFmt w:val="bullet"/>
      <w:lvlText w:val="o"/>
      <w:lvlJc w:val="left"/>
      <w:pPr>
        <w:tabs>
          <w:tab w:val="num" w:pos="3282"/>
        </w:tabs>
        <w:ind w:left="3282" w:hanging="360"/>
      </w:pPr>
      <w:rPr>
        <w:rFonts w:ascii="Courier New" w:hAnsi="Courier New" w:cs="Courier New" w:hint="default"/>
      </w:rPr>
    </w:lvl>
    <w:lvl w:ilvl="5" w:tplc="04090005" w:tentative="1">
      <w:start w:val="1"/>
      <w:numFmt w:val="bullet"/>
      <w:lvlText w:val=""/>
      <w:lvlJc w:val="left"/>
      <w:pPr>
        <w:tabs>
          <w:tab w:val="num" w:pos="4002"/>
        </w:tabs>
        <w:ind w:left="4002" w:hanging="360"/>
      </w:pPr>
      <w:rPr>
        <w:rFonts w:ascii="Wingdings" w:hAnsi="Wingdings" w:hint="default"/>
      </w:rPr>
    </w:lvl>
    <w:lvl w:ilvl="6" w:tplc="04090001" w:tentative="1">
      <w:start w:val="1"/>
      <w:numFmt w:val="bullet"/>
      <w:lvlText w:val=""/>
      <w:lvlJc w:val="left"/>
      <w:pPr>
        <w:tabs>
          <w:tab w:val="num" w:pos="4722"/>
        </w:tabs>
        <w:ind w:left="4722" w:hanging="360"/>
      </w:pPr>
      <w:rPr>
        <w:rFonts w:ascii="Symbol" w:hAnsi="Symbol" w:hint="default"/>
      </w:rPr>
    </w:lvl>
    <w:lvl w:ilvl="7" w:tplc="04090003" w:tentative="1">
      <w:start w:val="1"/>
      <w:numFmt w:val="bullet"/>
      <w:lvlText w:val="o"/>
      <w:lvlJc w:val="left"/>
      <w:pPr>
        <w:tabs>
          <w:tab w:val="num" w:pos="5442"/>
        </w:tabs>
        <w:ind w:left="5442" w:hanging="360"/>
      </w:pPr>
      <w:rPr>
        <w:rFonts w:ascii="Courier New" w:hAnsi="Courier New" w:cs="Courier New" w:hint="default"/>
      </w:rPr>
    </w:lvl>
    <w:lvl w:ilvl="8" w:tplc="04090005" w:tentative="1">
      <w:start w:val="1"/>
      <w:numFmt w:val="bullet"/>
      <w:lvlText w:val=""/>
      <w:lvlJc w:val="left"/>
      <w:pPr>
        <w:tabs>
          <w:tab w:val="num" w:pos="6162"/>
        </w:tabs>
        <w:ind w:left="6162" w:hanging="360"/>
      </w:pPr>
      <w:rPr>
        <w:rFonts w:ascii="Wingdings" w:hAnsi="Wingdings" w:hint="default"/>
      </w:rPr>
    </w:lvl>
  </w:abstractNum>
  <w:abstractNum w:abstractNumId="21" w15:restartNumberingAfterBreak="0">
    <w:nsid w:val="571C0C6E"/>
    <w:multiLevelType w:val="hybridMultilevel"/>
    <w:tmpl w:val="29308442"/>
    <w:lvl w:ilvl="0" w:tplc="B8066C44">
      <w:start w:val="1"/>
      <w:numFmt w:val="bullet"/>
      <w:lvlText w:val="-"/>
      <w:lvlJc w:val="left"/>
      <w:pPr>
        <w:tabs>
          <w:tab w:val="num" w:pos="360"/>
        </w:tabs>
        <w:ind w:left="360" w:hanging="360"/>
      </w:pPr>
      <w:rPr>
        <w:rFonts w:ascii="Courier New" w:hAnsi="Courier New" w:hint="default"/>
        <w:b w:val="0"/>
        <w:i w:val="0"/>
      </w:rPr>
    </w:lvl>
    <w:lvl w:ilvl="1" w:tplc="B8066C44">
      <w:start w:val="1"/>
      <w:numFmt w:val="bullet"/>
      <w:lvlText w:val="-"/>
      <w:lvlJc w:val="left"/>
      <w:pPr>
        <w:tabs>
          <w:tab w:val="num" w:pos="1434"/>
        </w:tabs>
        <w:ind w:left="1434" w:hanging="360"/>
      </w:pPr>
      <w:rPr>
        <w:rFonts w:ascii="Courier New" w:hAnsi="Courier New" w:hint="default"/>
        <w:b w:val="0"/>
        <w:i w:val="0"/>
      </w:rPr>
    </w:lvl>
    <w:lvl w:ilvl="2" w:tplc="04090005" w:tentative="1">
      <w:start w:val="1"/>
      <w:numFmt w:val="bullet"/>
      <w:lvlText w:val=""/>
      <w:lvlJc w:val="left"/>
      <w:pPr>
        <w:tabs>
          <w:tab w:val="num" w:pos="2154"/>
        </w:tabs>
        <w:ind w:left="2154" w:hanging="360"/>
      </w:pPr>
      <w:rPr>
        <w:rFonts w:ascii="Wingdings" w:hAnsi="Wingdings" w:hint="default"/>
      </w:rPr>
    </w:lvl>
    <w:lvl w:ilvl="3" w:tplc="04090001" w:tentative="1">
      <w:start w:val="1"/>
      <w:numFmt w:val="bullet"/>
      <w:lvlText w:val=""/>
      <w:lvlJc w:val="left"/>
      <w:pPr>
        <w:tabs>
          <w:tab w:val="num" w:pos="2874"/>
        </w:tabs>
        <w:ind w:left="2874" w:hanging="360"/>
      </w:pPr>
      <w:rPr>
        <w:rFonts w:ascii="Symbol" w:hAnsi="Symbol" w:hint="default"/>
      </w:rPr>
    </w:lvl>
    <w:lvl w:ilvl="4" w:tplc="04090003" w:tentative="1">
      <w:start w:val="1"/>
      <w:numFmt w:val="bullet"/>
      <w:lvlText w:val="o"/>
      <w:lvlJc w:val="left"/>
      <w:pPr>
        <w:tabs>
          <w:tab w:val="num" w:pos="3594"/>
        </w:tabs>
        <w:ind w:left="3594" w:hanging="360"/>
      </w:pPr>
      <w:rPr>
        <w:rFonts w:ascii="Courier New" w:hAnsi="Courier New" w:cs="Courier New" w:hint="default"/>
      </w:rPr>
    </w:lvl>
    <w:lvl w:ilvl="5" w:tplc="04090005" w:tentative="1">
      <w:start w:val="1"/>
      <w:numFmt w:val="bullet"/>
      <w:lvlText w:val=""/>
      <w:lvlJc w:val="left"/>
      <w:pPr>
        <w:tabs>
          <w:tab w:val="num" w:pos="4314"/>
        </w:tabs>
        <w:ind w:left="4314" w:hanging="360"/>
      </w:pPr>
      <w:rPr>
        <w:rFonts w:ascii="Wingdings" w:hAnsi="Wingdings" w:hint="default"/>
      </w:rPr>
    </w:lvl>
    <w:lvl w:ilvl="6" w:tplc="04090001" w:tentative="1">
      <w:start w:val="1"/>
      <w:numFmt w:val="bullet"/>
      <w:lvlText w:val=""/>
      <w:lvlJc w:val="left"/>
      <w:pPr>
        <w:tabs>
          <w:tab w:val="num" w:pos="5034"/>
        </w:tabs>
        <w:ind w:left="5034" w:hanging="360"/>
      </w:pPr>
      <w:rPr>
        <w:rFonts w:ascii="Symbol" w:hAnsi="Symbol" w:hint="default"/>
      </w:rPr>
    </w:lvl>
    <w:lvl w:ilvl="7" w:tplc="04090003" w:tentative="1">
      <w:start w:val="1"/>
      <w:numFmt w:val="bullet"/>
      <w:lvlText w:val="o"/>
      <w:lvlJc w:val="left"/>
      <w:pPr>
        <w:tabs>
          <w:tab w:val="num" w:pos="5754"/>
        </w:tabs>
        <w:ind w:left="5754" w:hanging="360"/>
      </w:pPr>
      <w:rPr>
        <w:rFonts w:ascii="Courier New" w:hAnsi="Courier New" w:cs="Courier New" w:hint="default"/>
      </w:rPr>
    </w:lvl>
    <w:lvl w:ilvl="8" w:tplc="04090005" w:tentative="1">
      <w:start w:val="1"/>
      <w:numFmt w:val="bullet"/>
      <w:lvlText w:val=""/>
      <w:lvlJc w:val="left"/>
      <w:pPr>
        <w:tabs>
          <w:tab w:val="num" w:pos="6474"/>
        </w:tabs>
        <w:ind w:left="6474" w:hanging="360"/>
      </w:pPr>
      <w:rPr>
        <w:rFonts w:ascii="Wingdings" w:hAnsi="Wingdings" w:hint="default"/>
      </w:rPr>
    </w:lvl>
  </w:abstractNum>
  <w:abstractNum w:abstractNumId="22" w15:restartNumberingAfterBreak="0">
    <w:nsid w:val="583E7D77"/>
    <w:multiLevelType w:val="hybridMultilevel"/>
    <w:tmpl w:val="1BD08492"/>
    <w:lvl w:ilvl="0" w:tplc="6F48B114">
      <w:numFmt w:val="bullet"/>
      <w:lvlText w:val="-"/>
      <w:lvlJc w:val="left"/>
      <w:pPr>
        <w:tabs>
          <w:tab w:val="num" w:pos="678"/>
        </w:tabs>
        <w:ind w:left="678" w:hanging="360"/>
      </w:pPr>
      <w:rPr>
        <w:rFonts w:ascii="Sabon" w:eastAsia="Times New Roman" w:hAnsi="Sabo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221A33"/>
    <w:multiLevelType w:val="singleLevel"/>
    <w:tmpl w:val="FFFFFFFF"/>
    <w:lvl w:ilvl="0">
      <w:start w:val="1"/>
      <w:numFmt w:val="bullet"/>
      <w:lvlText w:val="-"/>
      <w:legacy w:legacy="1" w:legacySpace="0" w:legacyIndent="360"/>
      <w:lvlJc w:val="left"/>
      <w:pPr>
        <w:ind w:left="360" w:hanging="360"/>
      </w:pPr>
    </w:lvl>
  </w:abstractNum>
  <w:abstractNum w:abstractNumId="24" w15:restartNumberingAfterBreak="0">
    <w:nsid w:val="63FF70A8"/>
    <w:multiLevelType w:val="singleLevel"/>
    <w:tmpl w:val="1C58E154"/>
    <w:lvl w:ilvl="0">
      <w:start w:val="1"/>
      <w:numFmt w:val="bullet"/>
      <w:lvlText w:val="-"/>
      <w:lvlJc w:val="left"/>
      <w:pPr>
        <w:tabs>
          <w:tab w:val="num" w:pos="644"/>
        </w:tabs>
        <w:ind w:left="567" w:hanging="283"/>
      </w:pPr>
    </w:lvl>
  </w:abstractNum>
  <w:abstractNum w:abstractNumId="25" w15:restartNumberingAfterBreak="0">
    <w:nsid w:val="642244E0"/>
    <w:multiLevelType w:val="hybridMultilevel"/>
    <w:tmpl w:val="117E5CB2"/>
    <w:lvl w:ilvl="0" w:tplc="6F48B114">
      <w:numFmt w:val="bullet"/>
      <w:lvlText w:val="-"/>
      <w:lvlJc w:val="left"/>
      <w:pPr>
        <w:tabs>
          <w:tab w:val="num" w:pos="360"/>
        </w:tabs>
        <w:ind w:left="360" w:hanging="360"/>
      </w:pPr>
      <w:rPr>
        <w:rFonts w:ascii="Sabon" w:eastAsia="Times New Roman" w:hAnsi="Sabon" w:cs="Times New Roman" w:hint="default"/>
        <w:b w:val="0"/>
        <w:i w:val="0"/>
      </w:rPr>
    </w:lvl>
    <w:lvl w:ilvl="1" w:tplc="6F48B114">
      <w:numFmt w:val="bullet"/>
      <w:lvlText w:val="-"/>
      <w:lvlJc w:val="left"/>
      <w:pPr>
        <w:tabs>
          <w:tab w:val="num" w:pos="1434"/>
        </w:tabs>
        <w:ind w:left="1434" w:hanging="360"/>
      </w:pPr>
      <w:rPr>
        <w:rFonts w:ascii="Sabon" w:eastAsia="Times New Roman" w:hAnsi="Sabon" w:cs="Times New Roman" w:hint="default"/>
        <w:b w:val="0"/>
        <w:i w:val="0"/>
      </w:rPr>
    </w:lvl>
    <w:lvl w:ilvl="2" w:tplc="04090005" w:tentative="1">
      <w:start w:val="1"/>
      <w:numFmt w:val="bullet"/>
      <w:lvlText w:val=""/>
      <w:lvlJc w:val="left"/>
      <w:pPr>
        <w:tabs>
          <w:tab w:val="num" w:pos="2154"/>
        </w:tabs>
        <w:ind w:left="2154" w:hanging="360"/>
      </w:pPr>
      <w:rPr>
        <w:rFonts w:ascii="Wingdings" w:hAnsi="Wingdings" w:hint="default"/>
      </w:rPr>
    </w:lvl>
    <w:lvl w:ilvl="3" w:tplc="04090001" w:tentative="1">
      <w:start w:val="1"/>
      <w:numFmt w:val="bullet"/>
      <w:lvlText w:val=""/>
      <w:lvlJc w:val="left"/>
      <w:pPr>
        <w:tabs>
          <w:tab w:val="num" w:pos="2874"/>
        </w:tabs>
        <w:ind w:left="2874" w:hanging="360"/>
      </w:pPr>
      <w:rPr>
        <w:rFonts w:ascii="Symbol" w:hAnsi="Symbol" w:hint="default"/>
      </w:rPr>
    </w:lvl>
    <w:lvl w:ilvl="4" w:tplc="04090003" w:tentative="1">
      <w:start w:val="1"/>
      <w:numFmt w:val="bullet"/>
      <w:lvlText w:val="o"/>
      <w:lvlJc w:val="left"/>
      <w:pPr>
        <w:tabs>
          <w:tab w:val="num" w:pos="3594"/>
        </w:tabs>
        <w:ind w:left="3594" w:hanging="360"/>
      </w:pPr>
      <w:rPr>
        <w:rFonts w:ascii="Courier New" w:hAnsi="Courier New" w:cs="Courier New" w:hint="default"/>
      </w:rPr>
    </w:lvl>
    <w:lvl w:ilvl="5" w:tplc="04090005" w:tentative="1">
      <w:start w:val="1"/>
      <w:numFmt w:val="bullet"/>
      <w:lvlText w:val=""/>
      <w:lvlJc w:val="left"/>
      <w:pPr>
        <w:tabs>
          <w:tab w:val="num" w:pos="4314"/>
        </w:tabs>
        <w:ind w:left="4314" w:hanging="360"/>
      </w:pPr>
      <w:rPr>
        <w:rFonts w:ascii="Wingdings" w:hAnsi="Wingdings" w:hint="default"/>
      </w:rPr>
    </w:lvl>
    <w:lvl w:ilvl="6" w:tplc="04090001" w:tentative="1">
      <w:start w:val="1"/>
      <w:numFmt w:val="bullet"/>
      <w:lvlText w:val=""/>
      <w:lvlJc w:val="left"/>
      <w:pPr>
        <w:tabs>
          <w:tab w:val="num" w:pos="5034"/>
        </w:tabs>
        <w:ind w:left="5034" w:hanging="360"/>
      </w:pPr>
      <w:rPr>
        <w:rFonts w:ascii="Symbol" w:hAnsi="Symbol" w:hint="default"/>
      </w:rPr>
    </w:lvl>
    <w:lvl w:ilvl="7" w:tplc="04090003" w:tentative="1">
      <w:start w:val="1"/>
      <w:numFmt w:val="bullet"/>
      <w:lvlText w:val="o"/>
      <w:lvlJc w:val="left"/>
      <w:pPr>
        <w:tabs>
          <w:tab w:val="num" w:pos="5754"/>
        </w:tabs>
        <w:ind w:left="5754" w:hanging="360"/>
      </w:pPr>
      <w:rPr>
        <w:rFonts w:ascii="Courier New" w:hAnsi="Courier New" w:cs="Courier New" w:hint="default"/>
      </w:rPr>
    </w:lvl>
    <w:lvl w:ilvl="8" w:tplc="04090005" w:tentative="1">
      <w:start w:val="1"/>
      <w:numFmt w:val="bullet"/>
      <w:lvlText w:val=""/>
      <w:lvlJc w:val="left"/>
      <w:pPr>
        <w:tabs>
          <w:tab w:val="num" w:pos="6474"/>
        </w:tabs>
        <w:ind w:left="6474" w:hanging="360"/>
      </w:pPr>
      <w:rPr>
        <w:rFonts w:ascii="Wingdings" w:hAnsi="Wingdings" w:hint="default"/>
      </w:rPr>
    </w:lvl>
  </w:abstractNum>
  <w:abstractNum w:abstractNumId="26" w15:restartNumberingAfterBreak="0">
    <w:nsid w:val="668A0E77"/>
    <w:multiLevelType w:val="hybridMultilevel"/>
    <w:tmpl w:val="5EB813B0"/>
    <w:lvl w:ilvl="0" w:tplc="D8F6FC46">
      <w:start w:val="1"/>
      <w:numFmt w:val="bullet"/>
      <w:lvlText w:val=""/>
      <w:lvlJc w:val="left"/>
      <w:pPr>
        <w:tabs>
          <w:tab w:val="num" w:pos="360"/>
        </w:tabs>
        <w:ind w:left="360" w:hanging="360"/>
      </w:pPr>
      <w:rPr>
        <w:rFonts w:ascii="Symbol" w:hAnsi="Symbol" w:hint="default"/>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E04667"/>
    <w:multiLevelType w:val="hybridMultilevel"/>
    <w:tmpl w:val="DC542592"/>
    <w:lvl w:ilvl="0" w:tplc="E3608AC0">
      <w:start w:val="2"/>
      <w:numFmt w:val="bullet"/>
      <w:lvlText w:val="-"/>
      <w:lvlJc w:val="left"/>
      <w:pPr>
        <w:tabs>
          <w:tab w:val="num" w:pos="968"/>
        </w:tabs>
        <w:ind w:left="968" w:hanging="570"/>
      </w:pPr>
      <w:rPr>
        <w:rFonts w:hint="default"/>
        <w:b w:val="0"/>
        <w:i w:val="0"/>
      </w:rPr>
    </w:lvl>
    <w:lvl w:ilvl="1" w:tplc="B8066C44">
      <w:start w:val="1"/>
      <w:numFmt w:val="bullet"/>
      <w:lvlText w:val="-"/>
      <w:lvlJc w:val="left"/>
      <w:pPr>
        <w:tabs>
          <w:tab w:val="num" w:pos="1832"/>
        </w:tabs>
        <w:ind w:left="1832" w:hanging="360"/>
      </w:pPr>
      <w:rPr>
        <w:rFonts w:ascii="Courier New" w:hAnsi="Courier New" w:hint="default"/>
        <w:b w:val="0"/>
        <w:i w:val="0"/>
      </w:rPr>
    </w:lvl>
    <w:lvl w:ilvl="2" w:tplc="04090005" w:tentative="1">
      <w:start w:val="1"/>
      <w:numFmt w:val="bullet"/>
      <w:lvlText w:val=""/>
      <w:lvlJc w:val="left"/>
      <w:pPr>
        <w:tabs>
          <w:tab w:val="num" w:pos="2552"/>
        </w:tabs>
        <w:ind w:left="2552" w:hanging="360"/>
      </w:pPr>
      <w:rPr>
        <w:rFonts w:ascii="Wingdings" w:hAnsi="Wingdings" w:hint="default"/>
      </w:rPr>
    </w:lvl>
    <w:lvl w:ilvl="3" w:tplc="04090001" w:tentative="1">
      <w:start w:val="1"/>
      <w:numFmt w:val="bullet"/>
      <w:lvlText w:val=""/>
      <w:lvlJc w:val="left"/>
      <w:pPr>
        <w:tabs>
          <w:tab w:val="num" w:pos="3272"/>
        </w:tabs>
        <w:ind w:left="3272" w:hanging="360"/>
      </w:pPr>
      <w:rPr>
        <w:rFonts w:ascii="Symbol" w:hAnsi="Symbol" w:hint="default"/>
      </w:rPr>
    </w:lvl>
    <w:lvl w:ilvl="4" w:tplc="04090003" w:tentative="1">
      <w:start w:val="1"/>
      <w:numFmt w:val="bullet"/>
      <w:lvlText w:val="o"/>
      <w:lvlJc w:val="left"/>
      <w:pPr>
        <w:tabs>
          <w:tab w:val="num" w:pos="3992"/>
        </w:tabs>
        <w:ind w:left="3992" w:hanging="360"/>
      </w:pPr>
      <w:rPr>
        <w:rFonts w:ascii="Courier New" w:hAnsi="Courier New" w:cs="Courier New" w:hint="default"/>
      </w:rPr>
    </w:lvl>
    <w:lvl w:ilvl="5" w:tplc="04090005" w:tentative="1">
      <w:start w:val="1"/>
      <w:numFmt w:val="bullet"/>
      <w:lvlText w:val=""/>
      <w:lvlJc w:val="left"/>
      <w:pPr>
        <w:tabs>
          <w:tab w:val="num" w:pos="4712"/>
        </w:tabs>
        <w:ind w:left="4712" w:hanging="360"/>
      </w:pPr>
      <w:rPr>
        <w:rFonts w:ascii="Wingdings" w:hAnsi="Wingdings" w:hint="default"/>
      </w:rPr>
    </w:lvl>
    <w:lvl w:ilvl="6" w:tplc="04090001" w:tentative="1">
      <w:start w:val="1"/>
      <w:numFmt w:val="bullet"/>
      <w:lvlText w:val=""/>
      <w:lvlJc w:val="left"/>
      <w:pPr>
        <w:tabs>
          <w:tab w:val="num" w:pos="5432"/>
        </w:tabs>
        <w:ind w:left="5432" w:hanging="360"/>
      </w:pPr>
      <w:rPr>
        <w:rFonts w:ascii="Symbol" w:hAnsi="Symbol" w:hint="default"/>
      </w:rPr>
    </w:lvl>
    <w:lvl w:ilvl="7" w:tplc="04090003" w:tentative="1">
      <w:start w:val="1"/>
      <w:numFmt w:val="bullet"/>
      <w:lvlText w:val="o"/>
      <w:lvlJc w:val="left"/>
      <w:pPr>
        <w:tabs>
          <w:tab w:val="num" w:pos="6152"/>
        </w:tabs>
        <w:ind w:left="6152" w:hanging="360"/>
      </w:pPr>
      <w:rPr>
        <w:rFonts w:ascii="Courier New" w:hAnsi="Courier New" w:cs="Courier New" w:hint="default"/>
      </w:rPr>
    </w:lvl>
    <w:lvl w:ilvl="8" w:tplc="04090005" w:tentative="1">
      <w:start w:val="1"/>
      <w:numFmt w:val="bullet"/>
      <w:lvlText w:val=""/>
      <w:lvlJc w:val="left"/>
      <w:pPr>
        <w:tabs>
          <w:tab w:val="num" w:pos="6872"/>
        </w:tabs>
        <w:ind w:left="6872" w:hanging="360"/>
      </w:pPr>
      <w:rPr>
        <w:rFonts w:ascii="Wingdings" w:hAnsi="Wingdings" w:hint="default"/>
      </w:rPr>
    </w:lvl>
  </w:abstractNum>
  <w:abstractNum w:abstractNumId="28" w15:restartNumberingAfterBreak="0">
    <w:nsid w:val="70A07283"/>
    <w:multiLevelType w:val="hybridMultilevel"/>
    <w:tmpl w:val="087A992C"/>
    <w:lvl w:ilvl="0" w:tplc="6F48B114">
      <w:numFmt w:val="bullet"/>
      <w:lvlText w:val="-"/>
      <w:lvlJc w:val="left"/>
      <w:pPr>
        <w:tabs>
          <w:tab w:val="num" w:pos="678"/>
        </w:tabs>
        <w:ind w:left="678" w:hanging="360"/>
      </w:pPr>
      <w:rPr>
        <w:rFonts w:ascii="Sabon" w:eastAsia="Times New Roman" w:hAnsi="Sabo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300588"/>
    <w:multiLevelType w:val="singleLevel"/>
    <w:tmpl w:val="CC3A4BE6"/>
    <w:lvl w:ilvl="0">
      <w:start w:val="1"/>
      <w:numFmt w:val="upperLetter"/>
      <w:pStyle w:val="Heading5"/>
      <w:lvlText w:val="%1."/>
      <w:lvlJc w:val="left"/>
      <w:pPr>
        <w:tabs>
          <w:tab w:val="num" w:pos="360"/>
        </w:tabs>
        <w:ind w:left="360" w:hanging="360"/>
      </w:pPr>
      <w:rPr>
        <w:rFonts w:hint="default"/>
      </w:rPr>
    </w:lvl>
  </w:abstractNum>
  <w:abstractNum w:abstractNumId="30" w15:restartNumberingAfterBreak="0">
    <w:nsid w:val="71DA0217"/>
    <w:multiLevelType w:val="hybridMultilevel"/>
    <w:tmpl w:val="B1BAE474"/>
    <w:lvl w:ilvl="0" w:tplc="31027674">
      <w:start w:val="1"/>
      <w:numFmt w:val="bullet"/>
      <w:lvlText w:val=""/>
      <w:lvlJc w:val="left"/>
      <w:pPr>
        <w:tabs>
          <w:tab w:val="num" w:pos="678"/>
        </w:tabs>
        <w:ind w:left="67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6B2D4F"/>
    <w:multiLevelType w:val="hybridMultilevel"/>
    <w:tmpl w:val="EA74FE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7812CB"/>
    <w:multiLevelType w:val="hybridMultilevel"/>
    <w:tmpl w:val="BCC66798"/>
    <w:lvl w:ilvl="0" w:tplc="6F48B114">
      <w:numFmt w:val="bullet"/>
      <w:lvlText w:val="-"/>
      <w:lvlJc w:val="left"/>
      <w:pPr>
        <w:tabs>
          <w:tab w:val="num" w:pos="720"/>
        </w:tabs>
        <w:ind w:left="720" w:hanging="360"/>
      </w:pPr>
      <w:rPr>
        <w:rFonts w:ascii="Sabon" w:eastAsia="Times New Roman" w:hAnsi="Sab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7F0FB9"/>
    <w:multiLevelType w:val="hybridMultilevel"/>
    <w:tmpl w:val="A854093C"/>
    <w:lvl w:ilvl="0" w:tplc="B8066C44">
      <w:start w:val="1"/>
      <w:numFmt w:val="bullet"/>
      <w:lvlText w:val="-"/>
      <w:lvlJc w:val="left"/>
      <w:pPr>
        <w:tabs>
          <w:tab w:val="num" w:pos="366"/>
        </w:tabs>
        <w:ind w:left="366" w:hanging="360"/>
      </w:pPr>
      <w:rPr>
        <w:rFonts w:ascii="Courier New" w:hAnsi="Courier New" w:hint="default"/>
        <w:u w:val="none" w:color="000000"/>
      </w:rPr>
    </w:lvl>
    <w:lvl w:ilvl="1" w:tplc="04090003" w:tentative="1">
      <w:start w:val="1"/>
      <w:numFmt w:val="bullet"/>
      <w:lvlText w:val="o"/>
      <w:lvlJc w:val="left"/>
      <w:pPr>
        <w:tabs>
          <w:tab w:val="num" w:pos="1333"/>
        </w:tabs>
        <w:ind w:left="1333" w:hanging="360"/>
      </w:pPr>
      <w:rPr>
        <w:rFonts w:ascii="Courier New" w:hAnsi="Courier New" w:cs="Courier New" w:hint="default"/>
      </w:rPr>
    </w:lvl>
    <w:lvl w:ilvl="2" w:tplc="04090005" w:tentative="1">
      <w:start w:val="1"/>
      <w:numFmt w:val="bullet"/>
      <w:lvlText w:val=""/>
      <w:lvlJc w:val="left"/>
      <w:pPr>
        <w:tabs>
          <w:tab w:val="num" w:pos="2053"/>
        </w:tabs>
        <w:ind w:left="2053" w:hanging="360"/>
      </w:pPr>
      <w:rPr>
        <w:rFonts w:ascii="Wingdings" w:hAnsi="Wingdings" w:hint="default"/>
      </w:rPr>
    </w:lvl>
    <w:lvl w:ilvl="3" w:tplc="04090001" w:tentative="1">
      <w:start w:val="1"/>
      <w:numFmt w:val="bullet"/>
      <w:lvlText w:val=""/>
      <w:lvlJc w:val="left"/>
      <w:pPr>
        <w:tabs>
          <w:tab w:val="num" w:pos="2773"/>
        </w:tabs>
        <w:ind w:left="2773" w:hanging="360"/>
      </w:pPr>
      <w:rPr>
        <w:rFonts w:ascii="Symbol" w:hAnsi="Symbol" w:hint="default"/>
      </w:rPr>
    </w:lvl>
    <w:lvl w:ilvl="4" w:tplc="04090003" w:tentative="1">
      <w:start w:val="1"/>
      <w:numFmt w:val="bullet"/>
      <w:lvlText w:val="o"/>
      <w:lvlJc w:val="left"/>
      <w:pPr>
        <w:tabs>
          <w:tab w:val="num" w:pos="3493"/>
        </w:tabs>
        <w:ind w:left="3493" w:hanging="360"/>
      </w:pPr>
      <w:rPr>
        <w:rFonts w:ascii="Courier New" w:hAnsi="Courier New" w:cs="Courier New" w:hint="default"/>
      </w:rPr>
    </w:lvl>
    <w:lvl w:ilvl="5" w:tplc="04090005" w:tentative="1">
      <w:start w:val="1"/>
      <w:numFmt w:val="bullet"/>
      <w:lvlText w:val=""/>
      <w:lvlJc w:val="left"/>
      <w:pPr>
        <w:tabs>
          <w:tab w:val="num" w:pos="4213"/>
        </w:tabs>
        <w:ind w:left="4213" w:hanging="360"/>
      </w:pPr>
      <w:rPr>
        <w:rFonts w:ascii="Wingdings" w:hAnsi="Wingdings" w:hint="default"/>
      </w:rPr>
    </w:lvl>
    <w:lvl w:ilvl="6" w:tplc="04090001" w:tentative="1">
      <w:start w:val="1"/>
      <w:numFmt w:val="bullet"/>
      <w:lvlText w:val=""/>
      <w:lvlJc w:val="left"/>
      <w:pPr>
        <w:tabs>
          <w:tab w:val="num" w:pos="4933"/>
        </w:tabs>
        <w:ind w:left="4933" w:hanging="360"/>
      </w:pPr>
      <w:rPr>
        <w:rFonts w:ascii="Symbol" w:hAnsi="Symbol" w:hint="default"/>
      </w:rPr>
    </w:lvl>
    <w:lvl w:ilvl="7" w:tplc="04090003" w:tentative="1">
      <w:start w:val="1"/>
      <w:numFmt w:val="bullet"/>
      <w:lvlText w:val="o"/>
      <w:lvlJc w:val="left"/>
      <w:pPr>
        <w:tabs>
          <w:tab w:val="num" w:pos="5653"/>
        </w:tabs>
        <w:ind w:left="5653" w:hanging="360"/>
      </w:pPr>
      <w:rPr>
        <w:rFonts w:ascii="Courier New" w:hAnsi="Courier New" w:cs="Courier New" w:hint="default"/>
      </w:rPr>
    </w:lvl>
    <w:lvl w:ilvl="8" w:tplc="04090005" w:tentative="1">
      <w:start w:val="1"/>
      <w:numFmt w:val="bullet"/>
      <w:lvlText w:val=""/>
      <w:lvlJc w:val="left"/>
      <w:pPr>
        <w:tabs>
          <w:tab w:val="num" w:pos="6373"/>
        </w:tabs>
        <w:ind w:left="6373" w:hanging="360"/>
      </w:pPr>
      <w:rPr>
        <w:rFonts w:ascii="Wingdings" w:hAnsi="Wingdings" w:hint="default"/>
      </w:rPr>
    </w:lvl>
  </w:abstractNum>
  <w:abstractNum w:abstractNumId="34" w15:restartNumberingAfterBreak="0">
    <w:nsid w:val="79660F9C"/>
    <w:multiLevelType w:val="hybridMultilevel"/>
    <w:tmpl w:val="9B6C20E0"/>
    <w:lvl w:ilvl="0" w:tplc="3102767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B7B70C2"/>
    <w:multiLevelType w:val="hybridMultilevel"/>
    <w:tmpl w:val="C9FA13B2"/>
    <w:lvl w:ilvl="0" w:tplc="B8066C44">
      <w:start w:val="1"/>
      <w:numFmt w:val="bullet"/>
      <w:lvlText w:val="-"/>
      <w:lvlJc w:val="left"/>
      <w:pPr>
        <w:tabs>
          <w:tab w:val="num" w:pos="360"/>
        </w:tabs>
        <w:ind w:left="360" w:hanging="360"/>
      </w:pPr>
      <w:rPr>
        <w:rFonts w:ascii="Courier New" w:hAnsi="Courier New" w:hint="default"/>
        <w:b w:val="0"/>
        <w:i w:val="0"/>
      </w:rPr>
    </w:lvl>
    <w:lvl w:ilvl="1" w:tplc="6F48B114">
      <w:numFmt w:val="bullet"/>
      <w:lvlText w:val="-"/>
      <w:lvlJc w:val="left"/>
      <w:pPr>
        <w:tabs>
          <w:tab w:val="num" w:pos="1434"/>
        </w:tabs>
        <w:ind w:left="1434" w:hanging="360"/>
      </w:pPr>
      <w:rPr>
        <w:rFonts w:ascii="Sabon" w:eastAsia="Times New Roman" w:hAnsi="Sabon" w:cs="Times New Roman" w:hint="default"/>
        <w:b w:val="0"/>
        <w:i w:val="0"/>
      </w:rPr>
    </w:lvl>
    <w:lvl w:ilvl="2" w:tplc="04090005" w:tentative="1">
      <w:start w:val="1"/>
      <w:numFmt w:val="bullet"/>
      <w:lvlText w:val=""/>
      <w:lvlJc w:val="left"/>
      <w:pPr>
        <w:tabs>
          <w:tab w:val="num" w:pos="2154"/>
        </w:tabs>
        <w:ind w:left="2154" w:hanging="360"/>
      </w:pPr>
      <w:rPr>
        <w:rFonts w:ascii="Wingdings" w:hAnsi="Wingdings" w:hint="default"/>
      </w:rPr>
    </w:lvl>
    <w:lvl w:ilvl="3" w:tplc="04090001" w:tentative="1">
      <w:start w:val="1"/>
      <w:numFmt w:val="bullet"/>
      <w:lvlText w:val=""/>
      <w:lvlJc w:val="left"/>
      <w:pPr>
        <w:tabs>
          <w:tab w:val="num" w:pos="2874"/>
        </w:tabs>
        <w:ind w:left="2874" w:hanging="360"/>
      </w:pPr>
      <w:rPr>
        <w:rFonts w:ascii="Symbol" w:hAnsi="Symbol" w:hint="default"/>
      </w:rPr>
    </w:lvl>
    <w:lvl w:ilvl="4" w:tplc="04090003" w:tentative="1">
      <w:start w:val="1"/>
      <w:numFmt w:val="bullet"/>
      <w:lvlText w:val="o"/>
      <w:lvlJc w:val="left"/>
      <w:pPr>
        <w:tabs>
          <w:tab w:val="num" w:pos="3594"/>
        </w:tabs>
        <w:ind w:left="3594" w:hanging="360"/>
      </w:pPr>
      <w:rPr>
        <w:rFonts w:ascii="Courier New" w:hAnsi="Courier New" w:cs="Courier New" w:hint="default"/>
      </w:rPr>
    </w:lvl>
    <w:lvl w:ilvl="5" w:tplc="04090005" w:tentative="1">
      <w:start w:val="1"/>
      <w:numFmt w:val="bullet"/>
      <w:lvlText w:val=""/>
      <w:lvlJc w:val="left"/>
      <w:pPr>
        <w:tabs>
          <w:tab w:val="num" w:pos="4314"/>
        </w:tabs>
        <w:ind w:left="4314" w:hanging="360"/>
      </w:pPr>
      <w:rPr>
        <w:rFonts w:ascii="Wingdings" w:hAnsi="Wingdings" w:hint="default"/>
      </w:rPr>
    </w:lvl>
    <w:lvl w:ilvl="6" w:tplc="04090001" w:tentative="1">
      <w:start w:val="1"/>
      <w:numFmt w:val="bullet"/>
      <w:lvlText w:val=""/>
      <w:lvlJc w:val="left"/>
      <w:pPr>
        <w:tabs>
          <w:tab w:val="num" w:pos="5034"/>
        </w:tabs>
        <w:ind w:left="5034" w:hanging="360"/>
      </w:pPr>
      <w:rPr>
        <w:rFonts w:ascii="Symbol" w:hAnsi="Symbol" w:hint="default"/>
      </w:rPr>
    </w:lvl>
    <w:lvl w:ilvl="7" w:tplc="04090003" w:tentative="1">
      <w:start w:val="1"/>
      <w:numFmt w:val="bullet"/>
      <w:lvlText w:val="o"/>
      <w:lvlJc w:val="left"/>
      <w:pPr>
        <w:tabs>
          <w:tab w:val="num" w:pos="5754"/>
        </w:tabs>
        <w:ind w:left="5754" w:hanging="360"/>
      </w:pPr>
      <w:rPr>
        <w:rFonts w:ascii="Courier New" w:hAnsi="Courier New" w:cs="Courier New" w:hint="default"/>
      </w:rPr>
    </w:lvl>
    <w:lvl w:ilvl="8" w:tplc="04090005" w:tentative="1">
      <w:start w:val="1"/>
      <w:numFmt w:val="bullet"/>
      <w:lvlText w:val=""/>
      <w:lvlJc w:val="left"/>
      <w:pPr>
        <w:tabs>
          <w:tab w:val="num" w:pos="6474"/>
        </w:tabs>
        <w:ind w:left="6474" w:hanging="360"/>
      </w:pPr>
      <w:rPr>
        <w:rFonts w:ascii="Wingdings" w:hAnsi="Wingdings" w:hint="default"/>
      </w:rPr>
    </w:lvl>
  </w:abstractNum>
  <w:abstractNum w:abstractNumId="36"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7E252745"/>
    <w:multiLevelType w:val="hybridMultilevel"/>
    <w:tmpl w:val="55A86640"/>
    <w:lvl w:ilvl="0" w:tplc="04090001">
      <w:start w:val="1"/>
      <w:numFmt w:val="bullet"/>
      <w:lvlText w:val=""/>
      <w:lvlJc w:val="left"/>
      <w:pPr>
        <w:tabs>
          <w:tab w:val="num" w:pos="366"/>
        </w:tabs>
        <w:ind w:left="366"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29"/>
  </w:num>
  <w:num w:numId="3">
    <w:abstractNumId w:val="6"/>
  </w:num>
  <w:num w:numId="4">
    <w:abstractNumId w:val="23"/>
  </w:num>
  <w:num w:numId="5">
    <w:abstractNumId w:val="24"/>
  </w:num>
  <w:num w:numId="6">
    <w:abstractNumId w:val="1"/>
  </w:num>
  <w:num w:numId="7">
    <w:abstractNumId w:val="2"/>
  </w:num>
  <w:num w:numId="8">
    <w:abstractNumId w:val="19"/>
  </w:num>
  <w:num w:numId="9">
    <w:abstractNumId w:val="31"/>
  </w:num>
  <w:num w:numId="10">
    <w:abstractNumId w:val="20"/>
  </w:num>
  <w:num w:numId="11">
    <w:abstractNumId w:val="37"/>
  </w:num>
  <w:num w:numId="12">
    <w:abstractNumId w:val="10"/>
  </w:num>
  <w:num w:numId="13">
    <w:abstractNumId w:val="27"/>
  </w:num>
  <w:num w:numId="14">
    <w:abstractNumId w:val="13"/>
  </w:num>
  <w:num w:numId="15">
    <w:abstractNumId w:val="3"/>
  </w:num>
  <w:num w:numId="16">
    <w:abstractNumId w:val="12"/>
  </w:num>
  <w:num w:numId="17">
    <w:abstractNumId w:val="17"/>
  </w:num>
  <w:num w:numId="18">
    <w:abstractNumId w:val="33"/>
  </w:num>
  <w:num w:numId="19">
    <w:abstractNumId w:val="21"/>
  </w:num>
  <w:num w:numId="20">
    <w:abstractNumId w:val="35"/>
  </w:num>
  <w:num w:numId="21">
    <w:abstractNumId w:val="25"/>
  </w:num>
  <w:num w:numId="22">
    <w:abstractNumId w:val="7"/>
  </w:num>
  <w:num w:numId="23">
    <w:abstractNumId w:val="34"/>
  </w:num>
  <w:num w:numId="24">
    <w:abstractNumId w:val="30"/>
  </w:num>
  <w:num w:numId="25">
    <w:abstractNumId w:val="15"/>
  </w:num>
  <w:num w:numId="26">
    <w:abstractNumId w:val="16"/>
  </w:num>
  <w:num w:numId="27">
    <w:abstractNumId w:val="22"/>
  </w:num>
  <w:num w:numId="28">
    <w:abstractNumId w:val="28"/>
  </w:num>
  <w:num w:numId="29">
    <w:abstractNumId w:val="32"/>
  </w:num>
  <w:num w:numId="30">
    <w:abstractNumId w:val="14"/>
  </w:num>
  <w:num w:numId="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8"/>
  </w:num>
  <w:num w:numId="33">
    <w:abstractNumId w:val="36"/>
  </w:num>
  <w:num w:numId="34">
    <w:abstractNumId w:val="26"/>
  </w:num>
  <w:num w:numId="35">
    <w:abstractNumId w:val="9"/>
  </w:num>
  <w:num w:numId="36">
    <w:abstractNumId w:val="11"/>
  </w:num>
  <w:num w:numId="37">
    <w:abstractNumId w:val="5"/>
  </w:num>
  <w:num w:numId="38">
    <w:abstractNumId w:val="4"/>
  </w:num>
  <w:num w:numId="39">
    <w:abstractNumId w:val="1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fr-FR" w:vendorID="64" w:dllVersion="6" w:nlCheck="1" w:checkStyle="0"/>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pt-BR" w:vendorID="64" w:dllVersion="6" w:nlCheck="1" w:checkStyle="0"/>
  <w:activeWritingStyle w:appName="MSWord" w:lang="de-DE" w:vendorID="64" w:dllVersion="6" w:nlCheck="1" w:checkStyle="0"/>
  <w:activeWritingStyle w:appName="MSWord" w:lang="de-CH" w:vendorID="64" w:dllVersion="6" w:nlCheck="1" w:checkStyle="0"/>
  <w:activeWritingStyle w:appName="MSWord" w:lang="es-ES" w:vendorID="64" w:dllVersion="6" w:nlCheck="1" w:checkStyle="0"/>
  <w:activeWritingStyle w:appName="MSWord" w:lang="pt-PT" w:vendorID="64" w:dllVersion="6" w:nlCheck="1" w:checkStyle="0"/>
  <w:activeWritingStyle w:appName="MSWord" w:lang="en-US" w:vendorID="64" w:dllVersion="0" w:nlCheck="1" w:checkStyle="0"/>
  <w:activeWritingStyle w:appName="MSWord" w:lang="fr-BE" w:vendorID="64" w:dllVersion="0" w:nlCheck="1" w:checkStyle="0"/>
  <w:activeWritingStyle w:appName="MSWord" w:lang="fr-CH"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77"/>
    <w:rsid w:val="0000102A"/>
    <w:rsid w:val="000038BE"/>
    <w:rsid w:val="0001320F"/>
    <w:rsid w:val="000144C8"/>
    <w:rsid w:val="000155E3"/>
    <w:rsid w:val="00016447"/>
    <w:rsid w:val="000165A0"/>
    <w:rsid w:val="00020B74"/>
    <w:rsid w:val="0002357E"/>
    <w:rsid w:val="00024AAF"/>
    <w:rsid w:val="00032E53"/>
    <w:rsid w:val="00034653"/>
    <w:rsid w:val="000414F8"/>
    <w:rsid w:val="00041D7A"/>
    <w:rsid w:val="00043CAD"/>
    <w:rsid w:val="00051661"/>
    <w:rsid w:val="00060355"/>
    <w:rsid w:val="000643D1"/>
    <w:rsid w:val="00065C3C"/>
    <w:rsid w:val="000665CF"/>
    <w:rsid w:val="000666D1"/>
    <w:rsid w:val="000704A0"/>
    <w:rsid w:val="00070F5F"/>
    <w:rsid w:val="0007373F"/>
    <w:rsid w:val="00082DB3"/>
    <w:rsid w:val="00091992"/>
    <w:rsid w:val="000962F4"/>
    <w:rsid w:val="000A507E"/>
    <w:rsid w:val="000A7F49"/>
    <w:rsid w:val="000B3D77"/>
    <w:rsid w:val="000C2276"/>
    <w:rsid w:val="000C7649"/>
    <w:rsid w:val="000C7E47"/>
    <w:rsid w:val="000D3063"/>
    <w:rsid w:val="000D3371"/>
    <w:rsid w:val="000D4062"/>
    <w:rsid w:val="000D6A91"/>
    <w:rsid w:val="000E0F96"/>
    <w:rsid w:val="000E2036"/>
    <w:rsid w:val="000E2615"/>
    <w:rsid w:val="000E3A1E"/>
    <w:rsid w:val="000E6B1C"/>
    <w:rsid w:val="000E6D93"/>
    <w:rsid w:val="000F175D"/>
    <w:rsid w:val="000F3616"/>
    <w:rsid w:val="000F5B02"/>
    <w:rsid w:val="000F799F"/>
    <w:rsid w:val="001023D2"/>
    <w:rsid w:val="00104F34"/>
    <w:rsid w:val="00110025"/>
    <w:rsid w:val="0011139F"/>
    <w:rsid w:val="00114267"/>
    <w:rsid w:val="00116B07"/>
    <w:rsid w:val="00120C5F"/>
    <w:rsid w:val="00121B2A"/>
    <w:rsid w:val="001240E6"/>
    <w:rsid w:val="0013094E"/>
    <w:rsid w:val="00143B0F"/>
    <w:rsid w:val="00146E07"/>
    <w:rsid w:val="00157F83"/>
    <w:rsid w:val="00162162"/>
    <w:rsid w:val="00165CEB"/>
    <w:rsid w:val="00172317"/>
    <w:rsid w:val="001739F5"/>
    <w:rsid w:val="001755C1"/>
    <w:rsid w:val="00177A56"/>
    <w:rsid w:val="0018361E"/>
    <w:rsid w:val="00183EC2"/>
    <w:rsid w:val="00185003"/>
    <w:rsid w:val="00185D70"/>
    <w:rsid w:val="00187E51"/>
    <w:rsid w:val="001949A8"/>
    <w:rsid w:val="001A4470"/>
    <w:rsid w:val="001A5311"/>
    <w:rsid w:val="001A6E7D"/>
    <w:rsid w:val="001A7807"/>
    <w:rsid w:val="001B1245"/>
    <w:rsid w:val="001B28B4"/>
    <w:rsid w:val="001B31F3"/>
    <w:rsid w:val="001B3A49"/>
    <w:rsid w:val="001B5817"/>
    <w:rsid w:val="001C3B15"/>
    <w:rsid w:val="001C3D4F"/>
    <w:rsid w:val="001C7370"/>
    <w:rsid w:val="001E2829"/>
    <w:rsid w:val="001E45D7"/>
    <w:rsid w:val="001E6472"/>
    <w:rsid w:val="001E7A69"/>
    <w:rsid w:val="001E7C6B"/>
    <w:rsid w:val="001F374A"/>
    <w:rsid w:val="001F5E88"/>
    <w:rsid w:val="00200AA5"/>
    <w:rsid w:val="002030AB"/>
    <w:rsid w:val="002122B5"/>
    <w:rsid w:val="002139B9"/>
    <w:rsid w:val="00213F69"/>
    <w:rsid w:val="0021704A"/>
    <w:rsid w:val="002175A4"/>
    <w:rsid w:val="0022265F"/>
    <w:rsid w:val="00224AFA"/>
    <w:rsid w:val="00226601"/>
    <w:rsid w:val="00232452"/>
    <w:rsid w:val="0023251A"/>
    <w:rsid w:val="00236736"/>
    <w:rsid w:val="002372FC"/>
    <w:rsid w:val="002378D3"/>
    <w:rsid w:val="00237C0F"/>
    <w:rsid w:val="00242E28"/>
    <w:rsid w:val="002442EC"/>
    <w:rsid w:val="00245A45"/>
    <w:rsid w:val="00245BEB"/>
    <w:rsid w:val="0024637A"/>
    <w:rsid w:val="00250DF7"/>
    <w:rsid w:val="00252B68"/>
    <w:rsid w:val="00253CAE"/>
    <w:rsid w:val="002602E0"/>
    <w:rsid w:val="0026220E"/>
    <w:rsid w:val="00263227"/>
    <w:rsid w:val="00263827"/>
    <w:rsid w:val="00266AC2"/>
    <w:rsid w:val="0026756C"/>
    <w:rsid w:val="002812ED"/>
    <w:rsid w:val="002A0FC8"/>
    <w:rsid w:val="002A3C20"/>
    <w:rsid w:val="002A4CB6"/>
    <w:rsid w:val="002A4E2D"/>
    <w:rsid w:val="002D19F2"/>
    <w:rsid w:val="002D2468"/>
    <w:rsid w:val="002D746F"/>
    <w:rsid w:val="002D7A0F"/>
    <w:rsid w:val="002E64E1"/>
    <w:rsid w:val="002F79B7"/>
    <w:rsid w:val="00303C2D"/>
    <w:rsid w:val="003048A3"/>
    <w:rsid w:val="00305C3A"/>
    <w:rsid w:val="00312039"/>
    <w:rsid w:val="00320D90"/>
    <w:rsid w:val="00321A77"/>
    <w:rsid w:val="00324CCB"/>
    <w:rsid w:val="00325FD1"/>
    <w:rsid w:val="003329DC"/>
    <w:rsid w:val="00341E59"/>
    <w:rsid w:val="003440D4"/>
    <w:rsid w:val="00344B99"/>
    <w:rsid w:val="00346A57"/>
    <w:rsid w:val="00351949"/>
    <w:rsid w:val="00351AE9"/>
    <w:rsid w:val="0035272B"/>
    <w:rsid w:val="0035520A"/>
    <w:rsid w:val="00356F31"/>
    <w:rsid w:val="003571FB"/>
    <w:rsid w:val="00366DDB"/>
    <w:rsid w:val="00366E0D"/>
    <w:rsid w:val="0037219F"/>
    <w:rsid w:val="0037340E"/>
    <w:rsid w:val="00374C67"/>
    <w:rsid w:val="00376904"/>
    <w:rsid w:val="00376D2C"/>
    <w:rsid w:val="00377D98"/>
    <w:rsid w:val="00381A57"/>
    <w:rsid w:val="00384046"/>
    <w:rsid w:val="003847D6"/>
    <w:rsid w:val="003848E8"/>
    <w:rsid w:val="00385381"/>
    <w:rsid w:val="003875A9"/>
    <w:rsid w:val="00390372"/>
    <w:rsid w:val="00390C5B"/>
    <w:rsid w:val="0039272E"/>
    <w:rsid w:val="003A15D8"/>
    <w:rsid w:val="003A3CFB"/>
    <w:rsid w:val="003A406F"/>
    <w:rsid w:val="003A4A63"/>
    <w:rsid w:val="003A7282"/>
    <w:rsid w:val="003B1CFC"/>
    <w:rsid w:val="003B29F3"/>
    <w:rsid w:val="003B487D"/>
    <w:rsid w:val="003C0788"/>
    <w:rsid w:val="003C4BB9"/>
    <w:rsid w:val="003D1E6B"/>
    <w:rsid w:val="003D2D72"/>
    <w:rsid w:val="003D365F"/>
    <w:rsid w:val="003D461E"/>
    <w:rsid w:val="003D599F"/>
    <w:rsid w:val="003D62A7"/>
    <w:rsid w:val="003F5EC3"/>
    <w:rsid w:val="0040674B"/>
    <w:rsid w:val="0041068A"/>
    <w:rsid w:val="004159B7"/>
    <w:rsid w:val="00432A9F"/>
    <w:rsid w:val="0043622D"/>
    <w:rsid w:val="00436F4A"/>
    <w:rsid w:val="00437B40"/>
    <w:rsid w:val="004564BC"/>
    <w:rsid w:val="0045753D"/>
    <w:rsid w:val="00470202"/>
    <w:rsid w:val="00472D14"/>
    <w:rsid w:val="004732FA"/>
    <w:rsid w:val="00480E32"/>
    <w:rsid w:val="00481296"/>
    <w:rsid w:val="00482AC8"/>
    <w:rsid w:val="00493232"/>
    <w:rsid w:val="004954C2"/>
    <w:rsid w:val="004A1D16"/>
    <w:rsid w:val="004A615E"/>
    <w:rsid w:val="004B2956"/>
    <w:rsid w:val="004B5DD7"/>
    <w:rsid w:val="004C1DE2"/>
    <w:rsid w:val="004C51E8"/>
    <w:rsid w:val="004D500C"/>
    <w:rsid w:val="004D7402"/>
    <w:rsid w:val="004E38A8"/>
    <w:rsid w:val="004E3E23"/>
    <w:rsid w:val="004F0276"/>
    <w:rsid w:val="004F486A"/>
    <w:rsid w:val="004F627D"/>
    <w:rsid w:val="0050397C"/>
    <w:rsid w:val="00505205"/>
    <w:rsid w:val="005057D2"/>
    <w:rsid w:val="00506C7F"/>
    <w:rsid w:val="00510129"/>
    <w:rsid w:val="00510F33"/>
    <w:rsid w:val="00515BF1"/>
    <w:rsid w:val="005165C4"/>
    <w:rsid w:val="00516A9E"/>
    <w:rsid w:val="00527B2A"/>
    <w:rsid w:val="00533303"/>
    <w:rsid w:val="005343B5"/>
    <w:rsid w:val="00534DE2"/>
    <w:rsid w:val="005359D0"/>
    <w:rsid w:val="005402B1"/>
    <w:rsid w:val="00545F86"/>
    <w:rsid w:val="00547F74"/>
    <w:rsid w:val="005519B8"/>
    <w:rsid w:val="00555530"/>
    <w:rsid w:val="00564E06"/>
    <w:rsid w:val="00571676"/>
    <w:rsid w:val="00582BD2"/>
    <w:rsid w:val="005861BE"/>
    <w:rsid w:val="00587E16"/>
    <w:rsid w:val="005964B1"/>
    <w:rsid w:val="005A129E"/>
    <w:rsid w:val="005B1D4E"/>
    <w:rsid w:val="005C16F8"/>
    <w:rsid w:val="005C4FBD"/>
    <w:rsid w:val="005C7147"/>
    <w:rsid w:val="005D0061"/>
    <w:rsid w:val="005D67FA"/>
    <w:rsid w:val="005E4613"/>
    <w:rsid w:val="005E5BDD"/>
    <w:rsid w:val="005E5DC6"/>
    <w:rsid w:val="005F390D"/>
    <w:rsid w:val="005F6453"/>
    <w:rsid w:val="0060081D"/>
    <w:rsid w:val="00602B0E"/>
    <w:rsid w:val="0060401C"/>
    <w:rsid w:val="00604193"/>
    <w:rsid w:val="00606667"/>
    <w:rsid w:val="00612BC1"/>
    <w:rsid w:val="00613A55"/>
    <w:rsid w:val="00613D91"/>
    <w:rsid w:val="0061572E"/>
    <w:rsid w:val="00624EEA"/>
    <w:rsid w:val="0062535B"/>
    <w:rsid w:val="00625F98"/>
    <w:rsid w:val="00626F6A"/>
    <w:rsid w:val="00631461"/>
    <w:rsid w:val="00632630"/>
    <w:rsid w:val="00632D80"/>
    <w:rsid w:val="006365F2"/>
    <w:rsid w:val="0064405F"/>
    <w:rsid w:val="00644669"/>
    <w:rsid w:val="006463CC"/>
    <w:rsid w:val="006474A4"/>
    <w:rsid w:val="006503D6"/>
    <w:rsid w:val="0065141B"/>
    <w:rsid w:val="006532AB"/>
    <w:rsid w:val="00655E13"/>
    <w:rsid w:val="00662A5B"/>
    <w:rsid w:val="00662F10"/>
    <w:rsid w:val="0066448E"/>
    <w:rsid w:val="006654CF"/>
    <w:rsid w:val="00667F43"/>
    <w:rsid w:val="0067392E"/>
    <w:rsid w:val="0067643D"/>
    <w:rsid w:val="006833A1"/>
    <w:rsid w:val="00684883"/>
    <w:rsid w:val="006850E9"/>
    <w:rsid w:val="006934AF"/>
    <w:rsid w:val="00693A7F"/>
    <w:rsid w:val="006956B2"/>
    <w:rsid w:val="006977BA"/>
    <w:rsid w:val="006A1C53"/>
    <w:rsid w:val="006B0835"/>
    <w:rsid w:val="006B19A2"/>
    <w:rsid w:val="006B246A"/>
    <w:rsid w:val="006B4E65"/>
    <w:rsid w:val="006C10A0"/>
    <w:rsid w:val="006C27AC"/>
    <w:rsid w:val="006C4C18"/>
    <w:rsid w:val="006C7A67"/>
    <w:rsid w:val="006D349F"/>
    <w:rsid w:val="006D51E4"/>
    <w:rsid w:val="006E0E52"/>
    <w:rsid w:val="006E1F7E"/>
    <w:rsid w:val="006E2114"/>
    <w:rsid w:val="006E469E"/>
    <w:rsid w:val="006E701C"/>
    <w:rsid w:val="006E7418"/>
    <w:rsid w:val="006F2559"/>
    <w:rsid w:val="00701EA5"/>
    <w:rsid w:val="007058A9"/>
    <w:rsid w:val="00705B3D"/>
    <w:rsid w:val="00706DB9"/>
    <w:rsid w:val="00710824"/>
    <w:rsid w:val="00711F1F"/>
    <w:rsid w:val="00727164"/>
    <w:rsid w:val="00750259"/>
    <w:rsid w:val="007502C5"/>
    <w:rsid w:val="00751795"/>
    <w:rsid w:val="007537F9"/>
    <w:rsid w:val="0075503B"/>
    <w:rsid w:val="00755077"/>
    <w:rsid w:val="0075579D"/>
    <w:rsid w:val="00755B26"/>
    <w:rsid w:val="00764E13"/>
    <w:rsid w:val="00764FBA"/>
    <w:rsid w:val="00777258"/>
    <w:rsid w:val="007836E7"/>
    <w:rsid w:val="00784205"/>
    <w:rsid w:val="00786985"/>
    <w:rsid w:val="00787194"/>
    <w:rsid w:val="00787705"/>
    <w:rsid w:val="00787C62"/>
    <w:rsid w:val="0079477D"/>
    <w:rsid w:val="007969B9"/>
    <w:rsid w:val="00796E02"/>
    <w:rsid w:val="007978C9"/>
    <w:rsid w:val="007A2E23"/>
    <w:rsid w:val="007A3155"/>
    <w:rsid w:val="007A7548"/>
    <w:rsid w:val="007B61B2"/>
    <w:rsid w:val="007C7E3E"/>
    <w:rsid w:val="007D40EA"/>
    <w:rsid w:val="007D4B19"/>
    <w:rsid w:val="007D5B15"/>
    <w:rsid w:val="007D642D"/>
    <w:rsid w:val="007E6051"/>
    <w:rsid w:val="007E7520"/>
    <w:rsid w:val="007E76EC"/>
    <w:rsid w:val="007F0904"/>
    <w:rsid w:val="007F0AF2"/>
    <w:rsid w:val="008022FB"/>
    <w:rsid w:val="008070DF"/>
    <w:rsid w:val="008078BA"/>
    <w:rsid w:val="008104C6"/>
    <w:rsid w:val="008128B7"/>
    <w:rsid w:val="0081771B"/>
    <w:rsid w:val="008218C4"/>
    <w:rsid w:val="00827C27"/>
    <w:rsid w:val="00827D0E"/>
    <w:rsid w:val="00831636"/>
    <w:rsid w:val="00831C51"/>
    <w:rsid w:val="00832BF5"/>
    <w:rsid w:val="0083466A"/>
    <w:rsid w:val="008463D4"/>
    <w:rsid w:val="00846CCA"/>
    <w:rsid w:val="00870A73"/>
    <w:rsid w:val="00870C8C"/>
    <w:rsid w:val="00870F94"/>
    <w:rsid w:val="008728C6"/>
    <w:rsid w:val="00875254"/>
    <w:rsid w:val="00876DBB"/>
    <w:rsid w:val="0088160C"/>
    <w:rsid w:val="00883C70"/>
    <w:rsid w:val="008914A0"/>
    <w:rsid w:val="00893854"/>
    <w:rsid w:val="008959D7"/>
    <w:rsid w:val="008A709F"/>
    <w:rsid w:val="008B4088"/>
    <w:rsid w:val="008B7596"/>
    <w:rsid w:val="008B796E"/>
    <w:rsid w:val="008C612E"/>
    <w:rsid w:val="008C6F56"/>
    <w:rsid w:val="008C74B2"/>
    <w:rsid w:val="008D4C96"/>
    <w:rsid w:val="008E0C2C"/>
    <w:rsid w:val="008E7925"/>
    <w:rsid w:val="008F73B8"/>
    <w:rsid w:val="009071F1"/>
    <w:rsid w:val="00910C5C"/>
    <w:rsid w:val="0091424B"/>
    <w:rsid w:val="009167DA"/>
    <w:rsid w:val="00923772"/>
    <w:rsid w:val="00924094"/>
    <w:rsid w:val="009253B9"/>
    <w:rsid w:val="0092672C"/>
    <w:rsid w:val="009311B9"/>
    <w:rsid w:val="00934C2B"/>
    <w:rsid w:val="0093616B"/>
    <w:rsid w:val="00945EC6"/>
    <w:rsid w:val="00946E0C"/>
    <w:rsid w:val="009478DD"/>
    <w:rsid w:val="009507B5"/>
    <w:rsid w:val="0095541F"/>
    <w:rsid w:val="00961E0F"/>
    <w:rsid w:val="0096750B"/>
    <w:rsid w:val="009728C4"/>
    <w:rsid w:val="009735FF"/>
    <w:rsid w:val="0097737A"/>
    <w:rsid w:val="00977389"/>
    <w:rsid w:val="00980C81"/>
    <w:rsid w:val="00982318"/>
    <w:rsid w:val="00982C4E"/>
    <w:rsid w:val="00983CEA"/>
    <w:rsid w:val="00983EE0"/>
    <w:rsid w:val="00990F8B"/>
    <w:rsid w:val="00992892"/>
    <w:rsid w:val="00996715"/>
    <w:rsid w:val="009A2749"/>
    <w:rsid w:val="009A2A01"/>
    <w:rsid w:val="009A531A"/>
    <w:rsid w:val="009B0F7A"/>
    <w:rsid w:val="009B158D"/>
    <w:rsid w:val="009B500B"/>
    <w:rsid w:val="009B6744"/>
    <w:rsid w:val="009C051F"/>
    <w:rsid w:val="009C0A2B"/>
    <w:rsid w:val="009C2D7F"/>
    <w:rsid w:val="009C4CDF"/>
    <w:rsid w:val="009D01E6"/>
    <w:rsid w:val="009D0572"/>
    <w:rsid w:val="009D1B0B"/>
    <w:rsid w:val="009D52CB"/>
    <w:rsid w:val="009D7C59"/>
    <w:rsid w:val="009E0019"/>
    <w:rsid w:val="009E2473"/>
    <w:rsid w:val="009E301B"/>
    <w:rsid w:val="009E3532"/>
    <w:rsid w:val="009E41C6"/>
    <w:rsid w:val="009E44A8"/>
    <w:rsid w:val="009F094A"/>
    <w:rsid w:val="009F10C4"/>
    <w:rsid w:val="009F4FBD"/>
    <w:rsid w:val="009F7D1C"/>
    <w:rsid w:val="00A178D4"/>
    <w:rsid w:val="00A17A91"/>
    <w:rsid w:val="00A17E1E"/>
    <w:rsid w:val="00A20601"/>
    <w:rsid w:val="00A239AE"/>
    <w:rsid w:val="00A273D2"/>
    <w:rsid w:val="00A3082E"/>
    <w:rsid w:val="00A3316B"/>
    <w:rsid w:val="00A36CDB"/>
    <w:rsid w:val="00A402E3"/>
    <w:rsid w:val="00A4052F"/>
    <w:rsid w:val="00A42752"/>
    <w:rsid w:val="00A5478B"/>
    <w:rsid w:val="00A56477"/>
    <w:rsid w:val="00A63705"/>
    <w:rsid w:val="00A63751"/>
    <w:rsid w:val="00A67229"/>
    <w:rsid w:val="00A74546"/>
    <w:rsid w:val="00A75CE3"/>
    <w:rsid w:val="00A77323"/>
    <w:rsid w:val="00A77947"/>
    <w:rsid w:val="00A802CA"/>
    <w:rsid w:val="00A869CC"/>
    <w:rsid w:val="00A86D9C"/>
    <w:rsid w:val="00A90751"/>
    <w:rsid w:val="00A91FA7"/>
    <w:rsid w:val="00A931F9"/>
    <w:rsid w:val="00A932A9"/>
    <w:rsid w:val="00A94878"/>
    <w:rsid w:val="00A95A51"/>
    <w:rsid w:val="00AB0D56"/>
    <w:rsid w:val="00AC06B4"/>
    <w:rsid w:val="00AC119C"/>
    <w:rsid w:val="00AC3290"/>
    <w:rsid w:val="00AC3C6A"/>
    <w:rsid w:val="00AD2CC1"/>
    <w:rsid w:val="00AE4A2F"/>
    <w:rsid w:val="00AE6225"/>
    <w:rsid w:val="00AF1E72"/>
    <w:rsid w:val="00B00B37"/>
    <w:rsid w:val="00B0307A"/>
    <w:rsid w:val="00B0699E"/>
    <w:rsid w:val="00B074EF"/>
    <w:rsid w:val="00B10098"/>
    <w:rsid w:val="00B103DB"/>
    <w:rsid w:val="00B11D17"/>
    <w:rsid w:val="00B15424"/>
    <w:rsid w:val="00B255D6"/>
    <w:rsid w:val="00B26476"/>
    <w:rsid w:val="00B32B8D"/>
    <w:rsid w:val="00B41042"/>
    <w:rsid w:val="00B45637"/>
    <w:rsid w:val="00B46C2E"/>
    <w:rsid w:val="00B529BB"/>
    <w:rsid w:val="00B53565"/>
    <w:rsid w:val="00B54EDE"/>
    <w:rsid w:val="00B56C05"/>
    <w:rsid w:val="00B57045"/>
    <w:rsid w:val="00B57FC3"/>
    <w:rsid w:val="00B62166"/>
    <w:rsid w:val="00B6349D"/>
    <w:rsid w:val="00B67138"/>
    <w:rsid w:val="00B71F97"/>
    <w:rsid w:val="00B7264E"/>
    <w:rsid w:val="00B77BC4"/>
    <w:rsid w:val="00B802DE"/>
    <w:rsid w:val="00B83411"/>
    <w:rsid w:val="00B83C4B"/>
    <w:rsid w:val="00B84616"/>
    <w:rsid w:val="00B92E0B"/>
    <w:rsid w:val="00B92F69"/>
    <w:rsid w:val="00B96DF4"/>
    <w:rsid w:val="00BA169E"/>
    <w:rsid w:val="00BA3F1A"/>
    <w:rsid w:val="00BA50AD"/>
    <w:rsid w:val="00BB7CFB"/>
    <w:rsid w:val="00BC4ECB"/>
    <w:rsid w:val="00BC5410"/>
    <w:rsid w:val="00BC75EA"/>
    <w:rsid w:val="00BD0478"/>
    <w:rsid w:val="00BD12F4"/>
    <w:rsid w:val="00BD2B36"/>
    <w:rsid w:val="00BD6737"/>
    <w:rsid w:val="00BD70D6"/>
    <w:rsid w:val="00BE2571"/>
    <w:rsid w:val="00BF08C0"/>
    <w:rsid w:val="00BF3333"/>
    <w:rsid w:val="00BF4E28"/>
    <w:rsid w:val="00BF6460"/>
    <w:rsid w:val="00C02374"/>
    <w:rsid w:val="00C024E3"/>
    <w:rsid w:val="00C0508D"/>
    <w:rsid w:val="00C07F37"/>
    <w:rsid w:val="00C17709"/>
    <w:rsid w:val="00C2009C"/>
    <w:rsid w:val="00C248D4"/>
    <w:rsid w:val="00C2497B"/>
    <w:rsid w:val="00C33C76"/>
    <w:rsid w:val="00C42500"/>
    <w:rsid w:val="00C44E0E"/>
    <w:rsid w:val="00C51DFB"/>
    <w:rsid w:val="00C53181"/>
    <w:rsid w:val="00C5388A"/>
    <w:rsid w:val="00C5439C"/>
    <w:rsid w:val="00C6064B"/>
    <w:rsid w:val="00C6188C"/>
    <w:rsid w:val="00C64C50"/>
    <w:rsid w:val="00C6557B"/>
    <w:rsid w:val="00C65C9E"/>
    <w:rsid w:val="00C66B5B"/>
    <w:rsid w:val="00C67CDE"/>
    <w:rsid w:val="00C67FED"/>
    <w:rsid w:val="00C700F2"/>
    <w:rsid w:val="00C74A0B"/>
    <w:rsid w:val="00C74B08"/>
    <w:rsid w:val="00C766A0"/>
    <w:rsid w:val="00C772D1"/>
    <w:rsid w:val="00C8738B"/>
    <w:rsid w:val="00C977C3"/>
    <w:rsid w:val="00CA1A21"/>
    <w:rsid w:val="00CA459C"/>
    <w:rsid w:val="00CA5373"/>
    <w:rsid w:val="00CC075E"/>
    <w:rsid w:val="00CC1F81"/>
    <w:rsid w:val="00CD64B0"/>
    <w:rsid w:val="00CD7E29"/>
    <w:rsid w:val="00CF25A5"/>
    <w:rsid w:val="00CF27E1"/>
    <w:rsid w:val="00D038BD"/>
    <w:rsid w:val="00D101A1"/>
    <w:rsid w:val="00D101D1"/>
    <w:rsid w:val="00D10578"/>
    <w:rsid w:val="00D165BA"/>
    <w:rsid w:val="00D31C71"/>
    <w:rsid w:val="00D4091B"/>
    <w:rsid w:val="00D43054"/>
    <w:rsid w:val="00D43DEF"/>
    <w:rsid w:val="00D447C7"/>
    <w:rsid w:val="00D453B7"/>
    <w:rsid w:val="00D535F2"/>
    <w:rsid w:val="00D56CD6"/>
    <w:rsid w:val="00D5727E"/>
    <w:rsid w:val="00D65ABC"/>
    <w:rsid w:val="00D66C34"/>
    <w:rsid w:val="00D742D9"/>
    <w:rsid w:val="00D747B9"/>
    <w:rsid w:val="00D765F2"/>
    <w:rsid w:val="00D81F3B"/>
    <w:rsid w:val="00D829B8"/>
    <w:rsid w:val="00D868A5"/>
    <w:rsid w:val="00D915F7"/>
    <w:rsid w:val="00D92E15"/>
    <w:rsid w:val="00D93F13"/>
    <w:rsid w:val="00D95409"/>
    <w:rsid w:val="00D977E8"/>
    <w:rsid w:val="00D97A04"/>
    <w:rsid w:val="00DA3A86"/>
    <w:rsid w:val="00DA6449"/>
    <w:rsid w:val="00DA7392"/>
    <w:rsid w:val="00DB4449"/>
    <w:rsid w:val="00DB4541"/>
    <w:rsid w:val="00DC7916"/>
    <w:rsid w:val="00DD4096"/>
    <w:rsid w:val="00E004BD"/>
    <w:rsid w:val="00E07259"/>
    <w:rsid w:val="00E12F5E"/>
    <w:rsid w:val="00E155EF"/>
    <w:rsid w:val="00E17F1F"/>
    <w:rsid w:val="00E211F8"/>
    <w:rsid w:val="00E23AF5"/>
    <w:rsid w:val="00E24371"/>
    <w:rsid w:val="00E372FE"/>
    <w:rsid w:val="00E54E74"/>
    <w:rsid w:val="00E62B99"/>
    <w:rsid w:val="00E73F5C"/>
    <w:rsid w:val="00E7483A"/>
    <w:rsid w:val="00E74F83"/>
    <w:rsid w:val="00E82F66"/>
    <w:rsid w:val="00E8481F"/>
    <w:rsid w:val="00E84C65"/>
    <w:rsid w:val="00EA6B09"/>
    <w:rsid w:val="00EB117F"/>
    <w:rsid w:val="00EC5249"/>
    <w:rsid w:val="00EC66C9"/>
    <w:rsid w:val="00EC6D31"/>
    <w:rsid w:val="00ED3388"/>
    <w:rsid w:val="00EE3293"/>
    <w:rsid w:val="00EE4F56"/>
    <w:rsid w:val="00EE7627"/>
    <w:rsid w:val="00EF15AE"/>
    <w:rsid w:val="00EF4CB3"/>
    <w:rsid w:val="00F01486"/>
    <w:rsid w:val="00F12729"/>
    <w:rsid w:val="00F1645B"/>
    <w:rsid w:val="00F179AD"/>
    <w:rsid w:val="00F279B9"/>
    <w:rsid w:val="00F279C2"/>
    <w:rsid w:val="00F35ABA"/>
    <w:rsid w:val="00F450B6"/>
    <w:rsid w:val="00F46217"/>
    <w:rsid w:val="00F5048E"/>
    <w:rsid w:val="00F51631"/>
    <w:rsid w:val="00F542F3"/>
    <w:rsid w:val="00F544DE"/>
    <w:rsid w:val="00F560E8"/>
    <w:rsid w:val="00F56D29"/>
    <w:rsid w:val="00F61D84"/>
    <w:rsid w:val="00F644A1"/>
    <w:rsid w:val="00F65F59"/>
    <w:rsid w:val="00F750B5"/>
    <w:rsid w:val="00F7705F"/>
    <w:rsid w:val="00F776B8"/>
    <w:rsid w:val="00F805A3"/>
    <w:rsid w:val="00F835E9"/>
    <w:rsid w:val="00F84278"/>
    <w:rsid w:val="00F872B7"/>
    <w:rsid w:val="00F87971"/>
    <w:rsid w:val="00F93C3E"/>
    <w:rsid w:val="00FA516F"/>
    <w:rsid w:val="00FA680F"/>
    <w:rsid w:val="00FA7BC1"/>
    <w:rsid w:val="00FB08C1"/>
    <w:rsid w:val="00FB535D"/>
    <w:rsid w:val="00FB5DE6"/>
    <w:rsid w:val="00FB67B5"/>
    <w:rsid w:val="00FB70FE"/>
    <w:rsid w:val="00FC0E7A"/>
    <w:rsid w:val="00FC1147"/>
    <w:rsid w:val="00FC2B65"/>
    <w:rsid w:val="00FC360D"/>
    <w:rsid w:val="00FC3EB0"/>
    <w:rsid w:val="00FC3F46"/>
    <w:rsid w:val="00FC4B8E"/>
    <w:rsid w:val="00FC5096"/>
    <w:rsid w:val="00FC7262"/>
    <w:rsid w:val="00FC7FBB"/>
    <w:rsid w:val="00FD59BC"/>
    <w:rsid w:val="00FD7036"/>
    <w:rsid w:val="00FE20E8"/>
    <w:rsid w:val="00FE5027"/>
    <w:rsid w:val="00FF184F"/>
    <w:rsid w:val="00FF3FE7"/>
    <w:rsid w:val="00FF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7E1CE13E"/>
  <w15:chartTrackingRefBased/>
  <w15:docId w15:val="{9C05C86E-4CEC-442E-BABB-C12286AC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val="fr-FR" w:eastAsia="en-US"/>
    </w:rPr>
  </w:style>
  <w:style w:type="paragraph" w:styleId="Heading1">
    <w:name w:val="heading 1"/>
    <w:basedOn w:val="Normal"/>
    <w:next w:val="Normal"/>
    <w:qFormat/>
    <w:pPr>
      <w:keepNext/>
      <w:ind w:left="34"/>
      <w:outlineLvl w:val="0"/>
    </w:pPr>
    <w:rPr>
      <w:rFonts w:ascii="Times New Roman" w:hAnsi="Times New Roman"/>
      <w:u w:val="single"/>
    </w:rPr>
  </w:style>
  <w:style w:type="paragraph" w:styleId="Heading2">
    <w:name w:val="heading 2"/>
    <w:basedOn w:val="Normal"/>
    <w:next w:val="Normal"/>
    <w:qFormat/>
    <w:pPr>
      <w:keepNext/>
      <w:outlineLvl w:val="1"/>
    </w:pPr>
    <w:rPr>
      <w:rFonts w:ascii="Times New Roman" w:hAnsi="Times New Roman"/>
      <w:u w:val="single"/>
    </w:rPr>
  </w:style>
  <w:style w:type="paragraph" w:styleId="Heading3">
    <w:name w:val="heading 3"/>
    <w:basedOn w:val="Normal"/>
    <w:next w:val="Normal"/>
    <w:qFormat/>
    <w:pPr>
      <w:keepNext/>
      <w:suppressAutoHyphens/>
      <w:jc w:val="center"/>
      <w:outlineLvl w:val="2"/>
    </w:pPr>
    <w:rPr>
      <w:rFonts w:ascii="Times New Roman" w:hAnsi="Times New Roman"/>
      <w:b/>
    </w:rPr>
  </w:style>
  <w:style w:type="paragraph" w:styleId="Heading4">
    <w:name w:val="heading 4"/>
    <w:basedOn w:val="Normal"/>
    <w:next w:val="Normal"/>
    <w:qFormat/>
    <w:pPr>
      <w:keepNext/>
      <w:widowControl w:val="0"/>
      <w:outlineLvl w:val="3"/>
    </w:pPr>
    <w:rPr>
      <w:b/>
      <w:u w:val="single"/>
    </w:rPr>
  </w:style>
  <w:style w:type="paragraph" w:styleId="Heading5">
    <w:name w:val="heading 5"/>
    <w:basedOn w:val="Normal"/>
    <w:next w:val="Normal"/>
    <w:qFormat/>
    <w:pPr>
      <w:keepNext/>
      <w:widowControl w:val="0"/>
      <w:numPr>
        <w:numId w:val="2"/>
      </w:numPr>
      <w:tabs>
        <w:tab w:val="clear" w:pos="360"/>
      </w:tabs>
      <w:suppressAutoHyphens/>
      <w:outlineLvl w:val="4"/>
    </w:pPr>
    <w:rPr>
      <w:rFonts w:ascii="Times New Roman" w:hAnsi="Times New Roman"/>
      <w:b/>
    </w:rPr>
  </w:style>
  <w:style w:type="paragraph" w:styleId="Heading6">
    <w:name w:val="heading 6"/>
    <w:basedOn w:val="Normal"/>
    <w:next w:val="Normal"/>
    <w:qFormat/>
    <w:pPr>
      <w:keepNext/>
      <w:widowControl w:val="0"/>
      <w:outlineLvl w:val="5"/>
    </w:pPr>
    <w:rPr>
      <w:rFonts w:ascii="Times New Roman" w:hAnsi="Times New Roman"/>
      <w:b/>
    </w:rPr>
  </w:style>
  <w:style w:type="paragraph" w:styleId="Heading7">
    <w:name w:val="heading 7"/>
    <w:basedOn w:val="Normal"/>
    <w:next w:val="Normal"/>
    <w:qFormat/>
    <w:pPr>
      <w:keepNext/>
      <w:widowControl w:val="0"/>
      <w:outlineLvl w:val="6"/>
    </w:pPr>
    <w:rPr>
      <w:rFonts w:ascii="Times New Roman" w:hAnsi="Times New Roman"/>
    </w:rPr>
  </w:style>
  <w:style w:type="paragraph" w:styleId="Heading8">
    <w:name w:val="heading 8"/>
    <w:basedOn w:val="Normal"/>
    <w:next w:val="Normal"/>
    <w:qFormat/>
    <w:pPr>
      <w:tabs>
        <w:tab w:val="left" w:pos="-720"/>
      </w:tabs>
      <w:outlineLvl w:val="7"/>
    </w:pPr>
    <w:rPr>
      <w:rFonts w:ascii="Times New Roman" w:hAnsi="Times New Roman"/>
      <w:i/>
      <w:sz w:val="20"/>
      <w:lang w:val="en-US"/>
    </w:rPr>
  </w:style>
  <w:style w:type="paragraph" w:styleId="Heading9">
    <w:name w:val="heading 9"/>
    <w:basedOn w:val="Normal"/>
    <w:next w:val="Normal"/>
    <w:qFormat/>
    <w:pPr>
      <w:keepNext/>
      <w:widowControl w:val="0"/>
      <w:numPr>
        <w:ilvl w:val="12"/>
      </w:numPr>
      <w:ind w:right="-2"/>
      <w:jc w:val="both"/>
      <w:outlineLvl w:val="8"/>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aliases w:val="Note de fin Car,Note de fin Car1 Car,Note de fin Car Car Car,Note de fin Car1 Car Car Car,Note de fin Car Car Car Car Car,Note de fin Car1 Car Car Car Car Car,Note de fin Car Car Car Car Car Car Car"/>
    <w:basedOn w:val="Normal"/>
    <w:link w:val="EndnoteTextChar"/>
    <w:semiHidden/>
    <w:pPr>
      <w:tabs>
        <w:tab w:val="left" w:pos="567"/>
      </w:tabs>
    </w:pPr>
    <w:rPr>
      <w:rFonts w:ascii="Times New Roman" w:hAnsi="Times New Roman"/>
      <w:lang w:val="en-GB"/>
    </w:rPr>
  </w:style>
  <w:style w:type="paragraph" w:customStyle="1" w:styleId="Table">
    <w:name w:val="Table"/>
    <w:basedOn w:val="Normal"/>
    <w:link w:val="TableChar"/>
    <w:pPr>
      <w:keepNext/>
      <w:keepLines/>
      <w:tabs>
        <w:tab w:val="left" w:pos="284"/>
      </w:tabs>
      <w:spacing w:before="40" w:after="20"/>
    </w:pPr>
    <w:rPr>
      <w:rFonts w:ascii="Arial" w:hAnsi="Arial"/>
      <w:sz w:val="20"/>
      <w:lang w:val="en-US"/>
    </w:rPr>
  </w:style>
  <w:style w:type="paragraph" w:customStyle="1" w:styleId="paragraphSIF">
    <w:name w:val="paragraph SIF"/>
    <w:pPr>
      <w:tabs>
        <w:tab w:val="left" w:pos="-720"/>
      </w:tabs>
      <w:jc w:val="both"/>
    </w:pPr>
    <w:rPr>
      <w:sz w:val="22"/>
      <w:lang w:eastAsia="en-US"/>
    </w:rPr>
  </w:style>
  <w:style w:type="paragraph" w:customStyle="1" w:styleId="nottoc-headings">
    <w:name w:val="not toc-headings"/>
    <w:pPr>
      <w:keepNext/>
      <w:keepLines/>
      <w:tabs>
        <w:tab w:val="left" w:pos="-720"/>
      </w:tabs>
    </w:pPr>
    <w:rPr>
      <w:rFonts w:ascii="Arial" w:hAnsi="Arial"/>
      <w:b/>
      <w:sz w:val="24"/>
      <w:lang w:val="en-US" w:eastAsia="en-US"/>
    </w:rPr>
  </w:style>
  <w:style w:type="paragraph" w:styleId="BodyTextIndent">
    <w:name w:val="Body Text Indent"/>
    <w:basedOn w:val="Normal"/>
    <w:pPr>
      <w:ind w:left="567" w:hanging="567"/>
    </w:pPr>
    <w:rPr>
      <w:rFonts w:ascii="Times New Roman" w:hAnsi="Times New Roman"/>
      <w:b/>
      <w:color w:val="808080"/>
      <w:lang w:val="en-GB"/>
    </w:rPr>
  </w:style>
  <w:style w:type="paragraph" w:customStyle="1" w:styleId="Listlevel1">
    <w:name w:val="List level 1"/>
    <w:basedOn w:val="Normal"/>
    <w:pPr>
      <w:spacing w:before="40" w:after="20"/>
      <w:ind w:left="425" w:hanging="425"/>
    </w:pPr>
    <w:rPr>
      <w:rFonts w:ascii="Times New Roman" w:hAnsi="Times New Roman"/>
      <w:sz w:val="24"/>
      <w:lang w:val="en-US"/>
    </w:rPr>
  </w:style>
  <w:style w:type="paragraph" w:customStyle="1" w:styleId="paragraph">
    <w:name w:val="paragraph"/>
    <w:pPr>
      <w:tabs>
        <w:tab w:val="left" w:pos="-720"/>
      </w:tabs>
      <w:jc w:val="both"/>
    </w:pPr>
    <w:rPr>
      <w:rFonts w:ascii="Courier New" w:hAnsi="Courier New"/>
      <w:sz w:val="24"/>
      <w:lang w:val="en-US" w:eastAsia="en-US"/>
    </w:rPr>
  </w:style>
  <w:style w:type="paragraph" w:customStyle="1" w:styleId="Titlepage">
    <w:name w:val="Titlepage"/>
    <w:pPr>
      <w:tabs>
        <w:tab w:val="left" w:pos="-720"/>
      </w:tabs>
    </w:pPr>
    <w:rPr>
      <w:rFonts w:ascii="Courier New" w:hAnsi="Courier New"/>
      <w:sz w:val="24"/>
      <w:lang w:val="en-US" w:eastAsia="en-US"/>
    </w:rPr>
  </w:style>
  <w:style w:type="paragraph" w:customStyle="1" w:styleId="Text">
    <w:name w:val="Text"/>
    <w:basedOn w:val="Normal"/>
    <w:pPr>
      <w:spacing w:before="120"/>
      <w:jc w:val="both"/>
    </w:pPr>
    <w:rPr>
      <w:rFonts w:ascii="Times New Roman" w:hAnsi="Times New Roman"/>
      <w:sz w:val="24"/>
      <w:lang w:val="en-US"/>
    </w:rPr>
  </w:style>
  <w:style w:type="paragraph" w:styleId="BodyTextIndent3">
    <w:name w:val="Body Text Indent 3"/>
    <w:basedOn w:val="Normal"/>
    <w:pPr>
      <w:suppressAutoHyphens/>
      <w:ind w:left="567"/>
    </w:pPr>
    <w:rPr>
      <w:rFonts w:ascii="Times New Roman" w:hAnsi="Times New Roman"/>
    </w:rPr>
  </w:style>
  <w:style w:type="paragraph" w:styleId="BodyText3">
    <w:name w:val="Body Text 3"/>
    <w:basedOn w:val="Normal"/>
    <w:pPr>
      <w:suppressAutoHyphens/>
    </w:pPr>
    <w:rPr>
      <w:rFonts w:ascii="Times New Roman" w:hAnsi="Times New Roman"/>
      <w:b/>
    </w:rPr>
  </w:style>
  <w:style w:type="paragraph" w:styleId="BodyText2">
    <w:name w:val="Body Text 2"/>
    <w:basedOn w:val="Normal"/>
    <w:pPr>
      <w:suppressAutoHyphens/>
      <w:ind w:left="567" w:hanging="567"/>
    </w:pPr>
    <w:rPr>
      <w:rFonts w:ascii="Times New Roman" w:hAnsi="Times New Roman"/>
    </w:rPr>
  </w:style>
  <w:style w:type="paragraph" w:styleId="BodyText">
    <w:name w:val="Body Text"/>
    <w:basedOn w:val="Normal"/>
    <w:pPr>
      <w:suppressAutoHyphens/>
      <w:jc w:val="both"/>
    </w:pPr>
    <w:rPr>
      <w:rFonts w:ascii="Times New Roman" w:hAnsi="Times New Roman"/>
      <w:noProof/>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567" w:right="14"/>
    </w:pPr>
    <w:rPr>
      <w:rFonts w:ascii="Times New Roman" w:hAnsi="Times New Roman"/>
      <w:i/>
      <w:snapToGrid w:val="0"/>
      <w:lang w:val="en-GB"/>
    </w:rPr>
  </w:style>
  <w:style w:type="paragraph" w:styleId="BodyTextIndent2">
    <w:name w:val="Body Text Indent 2"/>
    <w:basedOn w:val="Normal"/>
    <w:pPr>
      <w:numPr>
        <w:ilvl w:val="12"/>
      </w:numPr>
      <w:ind w:left="567"/>
      <w:jc w:val="both"/>
    </w:pPr>
    <w:rPr>
      <w:rFonts w:ascii="Times New Roman" w:hAnsi="Times New Roman"/>
    </w:rPr>
  </w:style>
  <w:style w:type="character" w:styleId="CommentReference">
    <w:name w:val="annotation reference"/>
    <w:semiHidden/>
    <w:rPr>
      <w:sz w:val="16"/>
      <w:szCs w:val="16"/>
    </w:rPr>
  </w:style>
  <w:style w:type="paragraph" w:styleId="CommentText">
    <w:name w:val="annotation text"/>
    <w:basedOn w:val="Normal"/>
    <w:link w:val="CommentTextChar"/>
    <w:rPr>
      <w:sz w:val="20"/>
      <w:lang w:eastAsia="x-none"/>
    </w:rPr>
  </w:style>
  <w:style w:type="paragraph" w:styleId="CommentSubject">
    <w:name w:val="annotation subject"/>
    <w:basedOn w:val="CommentText"/>
    <w:next w:val="CommentText"/>
    <w:semiHidden/>
    <w:rPr>
      <w:b/>
      <w:bCs/>
    </w:rPr>
  </w:style>
  <w:style w:type="character" w:customStyle="1" w:styleId="TableChar">
    <w:name w:val="Table Char"/>
    <w:link w:val="Table"/>
    <w:rPr>
      <w:rFonts w:ascii="Arial" w:hAnsi="Arial"/>
      <w:lang w:val="en-US" w:eastAsia="en-US" w:bidi="ar-SA"/>
    </w:rPr>
  </w:style>
  <w:style w:type="character" w:customStyle="1" w:styleId="TextChar">
    <w:name w:val="Text Char"/>
    <w:rPr>
      <w:sz w:val="24"/>
      <w:lang w:val="en-US" w:eastAsia="en-US" w:bidi="ar-SA"/>
    </w:rPr>
  </w:style>
  <w:style w:type="paragraph" w:customStyle="1" w:styleId="TableCarCarCarCarCarCarCarCarCar">
    <w:name w:val="Table Car Car Car Car Car Car Car Car Car"/>
    <w:basedOn w:val="Normal"/>
    <w:link w:val="TableCarCarCarCarCarCarCarCarCarCar"/>
    <w:pPr>
      <w:keepNext/>
      <w:keepLines/>
      <w:tabs>
        <w:tab w:val="left" w:pos="284"/>
      </w:tabs>
      <w:spacing w:before="40" w:after="20"/>
    </w:pPr>
    <w:rPr>
      <w:rFonts w:ascii="Arial" w:hAnsi="Arial"/>
      <w:lang w:val="en-US"/>
    </w:rPr>
  </w:style>
  <w:style w:type="character" w:customStyle="1" w:styleId="TableCarCarCarCarCarCarCarCarCarCar">
    <w:name w:val="Table Car Car Car Car Car Car Car Car Car Car"/>
    <w:link w:val="TableCarCarCarCarCarCarCarCarCar"/>
    <w:rPr>
      <w:rFonts w:ascii="Arial" w:hAnsi="Arial"/>
      <w:sz w:val="22"/>
      <w:lang w:val="en-US" w:eastAsia="en-US" w:bidi="ar-SA"/>
    </w:rPr>
  </w:style>
  <w:style w:type="character" w:customStyle="1" w:styleId="EndnoteTextChar">
    <w:name w:val="Endnote Text Char"/>
    <w:aliases w:val="Note de fin Car Char,Note de fin Car1 Car Char,Note de fin Car Car Car Char,Note de fin Car1 Car Car Car Char,Note de fin Car Car Car Car Car Char,Note de fin Car1 Car Car Car Car Car Char,Note de fin Car Car Car Car Car Car Car Char"/>
    <w:link w:val="EndnoteText"/>
    <w:rPr>
      <w:sz w:val="22"/>
      <w:lang w:val="en-GB" w:eastAsia="en-US" w:bidi="ar-SA"/>
    </w:rPr>
  </w:style>
  <w:style w:type="table" w:styleId="TableGrid">
    <w:name w:val="Table Grid"/>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toc-headings0">
    <w:name w:val="Not toc-headings"/>
    <w:basedOn w:val="Normal"/>
    <w:next w:val="Text"/>
    <w:link w:val="Nottoc-headingsChar"/>
    <w:pPr>
      <w:keepNext/>
      <w:keepLines/>
      <w:spacing w:before="240" w:after="60"/>
      <w:ind w:left="1701" w:hanging="1701"/>
    </w:pPr>
    <w:rPr>
      <w:rFonts w:ascii="Arial" w:hAnsi="Arial"/>
      <w:b/>
      <w:sz w:val="24"/>
      <w:lang w:val="en-US"/>
    </w:rPr>
  </w:style>
  <w:style w:type="character" w:customStyle="1" w:styleId="Nottoc-headingsChar">
    <w:name w:val="Not toc-headings Char"/>
    <w:link w:val="Nottoc-headings0"/>
    <w:rPr>
      <w:rFonts w:ascii="Arial" w:hAnsi="Arial"/>
      <w:b/>
      <w:sz w:val="24"/>
      <w:lang w:val="en-US" w:eastAsia="en-US" w:bidi="ar-SA"/>
    </w:rPr>
  </w:style>
  <w:style w:type="paragraph" w:customStyle="1" w:styleId="CarCarCharCarCar">
    <w:name w:val="Car Car Char Car Car"/>
    <w:basedOn w:val="Normal"/>
    <w:pPr>
      <w:spacing w:after="160" w:line="240" w:lineRule="exact"/>
    </w:pPr>
    <w:rPr>
      <w:rFonts w:ascii="Verdana" w:hAnsi="Verdana" w:cs="Verdana"/>
      <w:sz w:val="20"/>
      <w:lang w:val="en-GB"/>
    </w:rPr>
  </w:style>
  <w:style w:type="paragraph" w:customStyle="1" w:styleId="CarCarCharCarCarCharCarCar">
    <w:name w:val="Car Car Char Car Car Char Car Car"/>
    <w:basedOn w:val="Normal"/>
    <w:pPr>
      <w:spacing w:after="160" w:line="240" w:lineRule="exact"/>
    </w:pPr>
    <w:rPr>
      <w:rFonts w:ascii="Verdana" w:hAnsi="Verdana" w:cs="Verdana"/>
      <w:sz w:val="20"/>
      <w:lang w:val="en-US"/>
    </w:rPr>
  </w:style>
  <w:style w:type="paragraph" w:customStyle="1" w:styleId="CarCar1">
    <w:name w:val="Car Car1"/>
    <w:basedOn w:val="Normal"/>
    <w:pPr>
      <w:spacing w:after="160" w:line="240" w:lineRule="exact"/>
    </w:pPr>
    <w:rPr>
      <w:rFonts w:ascii="Verdana" w:hAnsi="Verdana" w:cs="Verdana"/>
      <w:sz w:val="20"/>
      <w:lang w:val="en-GB"/>
    </w:rPr>
  </w:style>
  <w:style w:type="paragraph" w:customStyle="1" w:styleId="knZulassung01">
    <w:name w:val="knZulassung01"/>
    <w:basedOn w:val="Normal"/>
    <w:pPr>
      <w:suppressAutoHyphens/>
      <w:autoSpaceDE w:val="0"/>
      <w:autoSpaceDN w:val="0"/>
      <w:ind w:left="1843" w:right="284" w:hanging="1843"/>
    </w:pPr>
    <w:rPr>
      <w:rFonts w:ascii="Courier" w:hAnsi="Courier"/>
      <w:noProof/>
      <w:sz w:val="24"/>
      <w:szCs w:val="24"/>
      <w:lang w:val="en-US" w:eastAsia="de-DE"/>
    </w:rPr>
  </w:style>
  <w:style w:type="paragraph" w:customStyle="1" w:styleId="Style">
    <w:name w:val="Style"/>
    <w:basedOn w:val="Normal"/>
    <w:pPr>
      <w:spacing w:after="160" w:line="240" w:lineRule="exact"/>
    </w:pPr>
    <w:rPr>
      <w:rFonts w:ascii="Verdana" w:hAnsi="Verdana" w:cs="Verdana"/>
      <w:sz w:val="20"/>
      <w:lang w:val="en-GB"/>
    </w:rPr>
  </w:style>
  <w:style w:type="paragraph" w:styleId="ListParagraph">
    <w:name w:val="List Paragraph"/>
    <w:basedOn w:val="Normal"/>
    <w:uiPriority w:val="34"/>
    <w:qFormat/>
    <w:pPr>
      <w:ind w:left="720"/>
    </w:pPr>
  </w:style>
  <w:style w:type="character" w:customStyle="1" w:styleId="CommentTextChar">
    <w:name w:val="Comment Text Char"/>
    <w:link w:val="CommentText"/>
    <w:rPr>
      <w:rFonts w:ascii="Sabon" w:hAnsi="Sabon"/>
      <w:lang w:val="fr-FR"/>
    </w:rPr>
  </w:style>
  <w:style w:type="character" w:styleId="Hyperlink">
    <w:name w:val="Hyperlink"/>
    <w:uiPriority w:val="99"/>
    <w:unhideWhenUsed/>
    <w:rPr>
      <w:color w:val="0000FF"/>
      <w:u w:val="single"/>
    </w:rPr>
  </w:style>
  <w:style w:type="paragraph" w:customStyle="1" w:styleId="TabletextrowsAgency">
    <w:name w:val="Table text rows (Agency)"/>
    <w:basedOn w:val="Normal"/>
    <w:rsid w:val="002030AB"/>
    <w:pPr>
      <w:spacing w:line="280" w:lineRule="exact"/>
    </w:pPr>
    <w:rPr>
      <w:rFonts w:ascii="Verdana" w:eastAsia="SimSun" w:hAnsi="Verdana" w:cs="Verdana"/>
      <w:snapToGrid w:val="0"/>
      <w:sz w:val="18"/>
      <w:szCs w:val="18"/>
      <w:lang w:val="en-GB"/>
    </w:rPr>
  </w:style>
  <w:style w:type="character" w:styleId="FollowedHyperlink">
    <w:name w:val="FollowedHyperlink"/>
    <w:uiPriority w:val="99"/>
    <w:semiHidden/>
    <w:unhideWhenUsed/>
    <w:rsid w:val="00E8481F"/>
    <w:rPr>
      <w:color w:val="800080"/>
      <w:u w:val="single"/>
    </w:rPr>
  </w:style>
  <w:style w:type="paragraph" w:customStyle="1" w:styleId="BodytextAgency">
    <w:name w:val="Body text (Agency)"/>
    <w:basedOn w:val="Normal"/>
    <w:rsid w:val="00236736"/>
    <w:pPr>
      <w:spacing w:after="140" w:line="280" w:lineRule="atLeast"/>
    </w:pPr>
    <w:rPr>
      <w:rFonts w:ascii="Verdana" w:hAnsi="Verdana"/>
      <w:snapToGrid w:val="0"/>
      <w:sz w:val="18"/>
      <w:lang w:val="en-GB"/>
    </w:rPr>
  </w:style>
  <w:style w:type="paragraph" w:styleId="Revision">
    <w:name w:val="Revision"/>
    <w:hidden/>
    <w:uiPriority w:val="99"/>
    <w:semiHidden/>
    <w:rsid w:val="00470202"/>
    <w:rPr>
      <w:rFonts w:ascii="Sabon" w:hAnsi="Sabon"/>
      <w:sz w:val="22"/>
      <w:lang w:val="fr-FR" w:eastAsia="en-US"/>
    </w:rPr>
  </w:style>
  <w:style w:type="paragraph" w:customStyle="1" w:styleId="Default">
    <w:name w:val="Default"/>
    <w:rsid w:val="00DA7392"/>
    <w:pPr>
      <w:autoSpaceDE w:val="0"/>
      <w:autoSpaceDN w:val="0"/>
      <w:adjustRightInd w:val="0"/>
    </w:pPr>
    <w:rPr>
      <w:rFonts w:ascii="EUAlbertina" w:eastAsia="SimSun" w:hAnsi="EUAlbertina" w:cs="EUAlbertina"/>
      <w:snapToGrid w:val="0"/>
      <w:color w:val="000000"/>
      <w:sz w:val="24"/>
      <w:szCs w:val="24"/>
      <w:lang w:val="en-US" w:eastAsia="en-US"/>
    </w:rPr>
  </w:style>
  <w:style w:type="paragraph" w:styleId="NormalWeb">
    <w:name w:val="Normal (Web)"/>
    <w:basedOn w:val="Normal"/>
    <w:uiPriority w:val="99"/>
    <w:semiHidden/>
    <w:unhideWhenUsed/>
    <w:rsid w:val="00114267"/>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9186">
      <w:bodyDiv w:val="1"/>
      <w:marLeft w:val="0"/>
      <w:marRight w:val="0"/>
      <w:marTop w:val="0"/>
      <w:marBottom w:val="0"/>
      <w:divBdr>
        <w:top w:val="none" w:sz="0" w:space="0" w:color="auto"/>
        <w:left w:val="none" w:sz="0" w:space="0" w:color="auto"/>
        <w:bottom w:val="none" w:sz="0" w:space="0" w:color="auto"/>
        <w:right w:val="none" w:sz="0" w:space="0" w:color="auto"/>
      </w:divBdr>
    </w:div>
    <w:div w:id="116604633">
      <w:bodyDiv w:val="1"/>
      <w:marLeft w:val="0"/>
      <w:marRight w:val="0"/>
      <w:marTop w:val="0"/>
      <w:marBottom w:val="0"/>
      <w:divBdr>
        <w:top w:val="none" w:sz="0" w:space="0" w:color="auto"/>
        <w:left w:val="none" w:sz="0" w:space="0" w:color="auto"/>
        <w:bottom w:val="none" w:sz="0" w:space="0" w:color="auto"/>
        <w:right w:val="none" w:sz="0" w:space="0" w:color="auto"/>
      </w:divBdr>
    </w:div>
    <w:div w:id="219560626">
      <w:bodyDiv w:val="1"/>
      <w:marLeft w:val="0"/>
      <w:marRight w:val="0"/>
      <w:marTop w:val="0"/>
      <w:marBottom w:val="0"/>
      <w:divBdr>
        <w:top w:val="none" w:sz="0" w:space="0" w:color="auto"/>
        <w:left w:val="none" w:sz="0" w:space="0" w:color="auto"/>
        <w:bottom w:val="none" w:sz="0" w:space="0" w:color="auto"/>
        <w:right w:val="none" w:sz="0" w:space="0" w:color="auto"/>
      </w:divBdr>
    </w:div>
    <w:div w:id="347870421">
      <w:bodyDiv w:val="1"/>
      <w:marLeft w:val="0"/>
      <w:marRight w:val="0"/>
      <w:marTop w:val="0"/>
      <w:marBottom w:val="0"/>
      <w:divBdr>
        <w:top w:val="none" w:sz="0" w:space="0" w:color="auto"/>
        <w:left w:val="none" w:sz="0" w:space="0" w:color="auto"/>
        <w:bottom w:val="none" w:sz="0" w:space="0" w:color="auto"/>
        <w:right w:val="none" w:sz="0" w:space="0" w:color="auto"/>
      </w:divBdr>
    </w:div>
    <w:div w:id="514613514">
      <w:bodyDiv w:val="1"/>
      <w:marLeft w:val="0"/>
      <w:marRight w:val="0"/>
      <w:marTop w:val="0"/>
      <w:marBottom w:val="0"/>
      <w:divBdr>
        <w:top w:val="none" w:sz="0" w:space="0" w:color="auto"/>
        <w:left w:val="none" w:sz="0" w:space="0" w:color="auto"/>
        <w:bottom w:val="none" w:sz="0" w:space="0" w:color="auto"/>
        <w:right w:val="none" w:sz="0" w:space="0" w:color="auto"/>
      </w:divBdr>
    </w:div>
    <w:div w:id="849641432">
      <w:bodyDiv w:val="1"/>
      <w:marLeft w:val="0"/>
      <w:marRight w:val="0"/>
      <w:marTop w:val="0"/>
      <w:marBottom w:val="0"/>
      <w:divBdr>
        <w:top w:val="none" w:sz="0" w:space="0" w:color="auto"/>
        <w:left w:val="none" w:sz="0" w:space="0" w:color="auto"/>
        <w:bottom w:val="none" w:sz="0" w:space="0" w:color="auto"/>
        <w:right w:val="none" w:sz="0" w:space="0" w:color="auto"/>
      </w:divBdr>
    </w:div>
    <w:div w:id="971210577">
      <w:bodyDiv w:val="1"/>
      <w:marLeft w:val="0"/>
      <w:marRight w:val="0"/>
      <w:marTop w:val="0"/>
      <w:marBottom w:val="0"/>
      <w:divBdr>
        <w:top w:val="none" w:sz="0" w:space="0" w:color="auto"/>
        <w:left w:val="none" w:sz="0" w:space="0" w:color="auto"/>
        <w:bottom w:val="none" w:sz="0" w:space="0" w:color="auto"/>
        <w:right w:val="none" w:sz="0" w:space="0" w:color="auto"/>
      </w:divBdr>
    </w:div>
    <w:div w:id="1471748317">
      <w:bodyDiv w:val="1"/>
      <w:marLeft w:val="0"/>
      <w:marRight w:val="0"/>
      <w:marTop w:val="0"/>
      <w:marBottom w:val="0"/>
      <w:divBdr>
        <w:top w:val="none" w:sz="0" w:space="0" w:color="auto"/>
        <w:left w:val="none" w:sz="0" w:space="0" w:color="auto"/>
        <w:bottom w:val="none" w:sz="0" w:space="0" w:color="auto"/>
        <w:right w:val="none" w:sz="0" w:space="0" w:color="auto"/>
      </w:divBdr>
    </w:div>
    <w:div w:id="15378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4784-8134-4529-846C-0732F84722E8}">
  <ds:schemaRefs>
    <ds:schemaRef ds:uri="http://schemas.microsoft.com/sharepoint/v3/contenttype/forms"/>
  </ds:schemaRefs>
</ds:datastoreItem>
</file>

<file path=customXml/itemProps2.xml><?xml version="1.0" encoding="utf-8"?>
<ds:datastoreItem xmlns:ds="http://schemas.openxmlformats.org/officeDocument/2006/customXml" ds:itemID="{D15F7558-1FEF-47F3-8981-0CCD250B1355}">
  <ds:schemaRefs>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e84aa060-13d4-4ddd-8d65-c3aafff2663b"/>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4C43A23-E917-4C09-8B9F-5F9BDD08E25B}"/>
</file>

<file path=customXml/itemProps4.xml><?xml version="1.0" encoding="utf-8"?>
<ds:datastoreItem xmlns:ds="http://schemas.openxmlformats.org/officeDocument/2006/customXml" ds:itemID="{033CAABE-556E-4FD1-A064-06046B0A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45549</Words>
  <Characters>259631</Characters>
  <Application>Microsoft Office Word</Application>
  <DocSecurity>0</DocSecurity>
  <Lines>2163</Lines>
  <Paragraphs>609</Paragraphs>
  <ScaleCrop>false</ScaleCrop>
  <HeadingPairs>
    <vt:vector size="6" baseType="variant">
      <vt:variant>
        <vt:lpstr>Title</vt:lpstr>
      </vt:variant>
      <vt:variant>
        <vt:i4>1</vt:i4>
      </vt:variant>
      <vt:variant>
        <vt:lpstr>Titre</vt:lpstr>
      </vt:variant>
      <vt:variant>
        <vt:i4>1</vt:i4>
      </vt:variant>
      <vt:variant>
        <vt:lpstr>Titres</vt:lpstr>
      </vt:variant>
      <vt:variant>
        <vt:i4>1</vt:i4>
      </vt:variant>
    </vt:vector>
  </HeadingPairs>
  <TitlesOfParts>
    <vt:vector size="3" baseType="lpstr">
      <vt:lpstr>Glivec, INN-imatinib</vt:lpstr>
      <vt:lpstr>Glivec, INN-imatinib</vt:lpstr>
      <vt:lpstr>        ANNEXE I</vt:lpstr>
    </vt:vector>
  </TitlesOfParts>
  <Company>Novartis</Company>
  <LinksUpToDate>false</LinksUpToDate>
  <CharactersWithSpaces>304571</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2013-06-19T14:46:00Z</cp:lastPrinted>
  <dcterms:created xsi:type="dcterms:W3CDTF">2021-02-04T14:07:00Z</dcterms:created>
  <dcterms:modified xsi:type="dcterms:W3CDTF">2021-05-21T16:01:00Z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4929bff8-5b33-42aa-95d2-28f72e792cb0_Enabled">
    <vt:lpwstr>True</vt:lpwstr>
  </property>
  <property fmtid="{D5CDD505-2E9C-101B-9397-08002B2CF9AE}" pid="4" name="MSIP_Label_4929bff8-5b33-42aa-95d2-28f72e792cb0_SiteId">
    <vt:lpwstr>f35a6974-607f-47d4-82d7-ff31d7dc53a5</vt:lpwstr>
  </property>
  <property fmtid="{D5CDD505-2E9C-101B-9397-08002B2CF9AE}" pid="5" name="MSIP_Label_4929bff8-5b33-42aa-95d2-28f72e792cb0_SetDate">
    <vt:lpwstr>2020-03-09T08:42:40.9860125Z</vt:lpwstr>
  </property>
  <property fmtid="{D5CDD505-2E9C-101B-9397-08002B2CF9AE}" pid="6" name="MSIP_Label_4929bff8-5b33-42aa-95d2-28f72e792cb0_Name">
    <vt:lpwstr>Business Use Only</vt:lpwstr>
  </property>
  <property fmtid="{D5CDD505-2E9C-101B-9397-08002B2CF9AE}" pid="7" name="MSIP_Label_4929bff8-5b33-42aa-95d2-28f72e792cb0_ActionId">
    <vt:lpwstr>c50121a4-f470-4224-979c-4116e4533e19</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2021-05-21T16:01:45Z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a5c010d9-1add-4cac-b6c5-2b48960e116d</vt:lpwstr>
  </property>
  <property fmtid="{D5CDD505-2E9C-101B-9397-08002B2CF9AE}" pid="16" name="MSIP_Label_0eea11ca-d417-4147-80ed-01a58412c458_ContentBits">
    <vt:lpwstr>2</vt:lpwstr>
  </property>
</Properties>
</file>